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AB926" w14:textId="77777777" w:rsidR="00000000" w:rsidRDefault="00EB4933">
      <w:pPr>
        <w:jc w:val="both"/>
        <w:rPr>
          <w:rFonts w:eastAsia="Times New Roman"/>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06E23912" w14:textId="77777777">
        <w:trPr>
          <w:divId w:val="98525094"/>
          <w:tblCellSpacing w:w="15" w:type="dxa"/>
        </w:trPr>
        <w:tc>
          <w:tcPr>
            <w:tcW w:w="0" w:type="auto"/>
            <w:tcBorders>
              <w:bottom w:val="single" w:sz="36" w:space="0" w:color="auto"/>
            </w:tcBorders>
            <w:vAlign w:val="center"/>
            <w:hideMark/>
          </w:tcPr>
          <w:p w14:paraId="5B2DCB6F" w14:textId="77777777" w:rsidR="00000000" w:rsidRDefault="00EB4933">
            <w:pPr>
              <w:jc w:val="both"/>
              <w:rPr>
                <w:rFonts w:eastAsia="Times New Roman"/>
                <w:sz w:val="20"/>
                <w:szCs w:val="20"/>
              </w:rPr>
            </w:pPr>
          </w:p>
        </w:tc>
      </w:tr>
      <w:tr w:rsidR="00000000" w14:paraId="29C56DEA" w14:textId="77777777">
        <w:trPr>
          <w:divId w:val="98525094"/>
          <w:tblCellSpacing w:w="15" w:type="dxa"/>
        </w:trPr>
        <w:tc>
          <w:tcPr>
            <w:tcW w:w="0" w:type="auto"/>
            <w:tcBorders>
              <w:bottom w:val="single" w:sz="12" w:space="0" w:color="auto"/>
            </w:tcBorders>
            <w:vAlign w:val="center"/>
            <w:hideMark/>
          </w:tcPr>
          <w:p w14:paraId="2FB40F8D" w14:textId="77777777" w:rsidR="00000000" w:rsidRDefault="00EB4933">
            <w:pPr>
              <w:rPr>
                <w:rFonts w:eastAsia="Times New Roman"/>
                <w:sz w:val="20"/>
                <w:szCs w:val="20"/>
              </w:rPr>
            </w:pPr>
          </w:p>
        </w:tc>
      </w:tr>
    </w:tbl>
    <w:p w14:paraId="16166DBF"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757CF3A7"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UNITED STATES</w:t>
      </w:r>
    </w:p>
    <w:p w14:paraId="559C4182"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SECURITIES AND EXCHANGE COMMISSION</w:t>
      </w:r>
    </w:p>
    <w:p w14:paraId="6689EB2C"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Washington, D.C. 20549</w:t>
      </w:r>
    </w:p>
    <w:p w14:paraId="540FD3B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E3B1B47" w14:textId="77777777" w:rsidR="00000000" w:rsidRDefault="00EB4933">
      <w:pPr>
        <w:pStyle w:val="NormalWeb"/>
        <w:spacing w:before="0" w:beforeAutospacing="0" w:after="0" w:afterAutospacing="0"/>
        <w:jc w:val="center"/>
        <w:divId w:val="98525094"/>
        <w:rPr>
          <w:sz w:val="20"/>
          <w:szCs w:val="20"/>
        </w:rPr>
      </w:pPr>
      <w:r>
        <w:rPr>
          <w:rStyle w:val="Strong"/>
          <w:sz w:val="36"/>
          <w:szCs w:val="36"/>
        </w:rPr>
        <w:t>FORM 20-F</w:t>
      </w:r>
    </w:p>
    <w:p w14:paraId="3C926B47"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57596DB2" w14:textId="77777777">
        <w:trPr>
          <w:divId w:val="98525094"/>
          <w:trHeight w:val="225"/>
          <w:tblCellSpacing w:w="15" w:type="dxa"/>
        </w:trPr>
        <w:tc>
          <w:tcPr>
            <w:tcW w:w="200" w:type="pct"/>
            <w:hideMark/>
          </w:tcPr>
          <w:p w14:paraId="582A5FA1" w14:textId="77777777" w:rsidR="00000000" w:rsidRDefault="00EB4933">
            <w:pPr>
              <w:pStyle w:val="NormalWeb"/>
              <w:spacing w:before="0" w:beforeAutospacing="0" w:after="0" w:afterAutospacing="0"/>
              <w:rPr>
                <w:sz w:val="20"/>
                <w:szCs w:val="20"/>
              </w:rPr>
            </w:pPr>
            <w:r>
              <w:rPr>
                <w:rFonts w:ascii="Segoe UI Symbol" w:hAnsi="Segoe UI Symbol" w:cs="Segoe UI Symbol"/>
                <w:sz w:val="20"/>
                <w:szCs w:val="20"/>
              </w:rPr>
              <w:t>☐</w:t>
            </w:r>
          </w:p>
        </w:tc>
        <w:tc>
          <w:tcPr>
            <w:tcW w:w="0" w:type="auto"/>
            <w:hideMark/>
          </w:tcPr>
          <w:p w14:paraId="6CA37F59" w14:textId="77777777" w:rsidR="00000000" w:rsidRDefault="00EB4933">
            <w:pPr>
              <w:pStyle w:val="NormalWeb"/>
              <w:spacing w:before="0" w:beforeAutospacing="0" w:after="0" w:afterAutospacing="0"/>
              <w:rPr>
                <w:sz w:val="20"/>
                <w:szCs w:val="20"/>
              </w:rPr>
            </w:pPr>
            <w:r>
              <w:rPr>
                <w:rStyle w:val="Strong"/>
                <w:sz w:val="20"/>
                <w:szCs w:val="20"/>
              </w:rPr>
              <w:t>REGISTRATION STATEMENT PURSUANT TO SECTION 12(b) OR 12(g) OF THE SECURITIES EXCHANGE ACT OF 1934</w:t>
            </w:r>
          </w:p>
        </w:tc>
      </w:tr>
    </w:tbl>
    <w:p w14:paraId="1CD222F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493A396"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OR</w:t>
      </w:r>
    </w:p>
    <w:p w14:paraId="6EF78D20"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0819A0DF" w14:textId="77777777">
        <w:trPr>
          <w:divId w:val="98525094"/>
          <w:trHeight w:val="225"/>
          <w:tblCellSpacing w:w="15" w:type="dxa"/>
        </w:trPr>
        <w:tc>
          <w:tcPr>
            <w:tcW w:w="200" w:type="pct"/>
            <w:hideMark/>
          </w:tcPr>
          <w:p w14:paraId="29EE0A73" w14:textId="77777777" w:rsidR="00000000" w:rsidRDefault="00EB4933">
            <w:pPr>
              <w:pStyle w:val="NormalWeb"/>
              <w:spacing w:before="0" w:beforeAutospacing="0" w:after="0" w:afterAutospacing="0"/>
              <w:rPr>
                <w:sz w:val="20"/>
                <w:szCs w:val="20"/>
              </w:rPr>
            </w:pPr>
            <w:r>
              <w:rPr>
                <w:rFonts w:ascii="Segoe UI Symbol" w:hAnsi="Segoe UI Symbol" w:cs="Segoe UI Symbol"/>
                <w:sz w:val="20"/>
                <w:szCs w:val="20"/>
              </w:rPr>
              <w:t>☒</w:t>
            </w:r>
          </w:p>
        </w:tc>
        <w:tc>
          <w:tcPr>
            <w:tcW w:w="0" w:type="auto"/>
            <w:hideMark/>
          </w:tcPr>
          <w:p w14:paraId="2C13A124" w14:textId="77777777" w:rsidR="00000000" w:rsidRDefault="00EB4933">
            <w:pPr>
              <w:pStyle w:val="NormalWeb"/>
              <w:spacing w:before="0" w:beforeAutospacing="0" w:after="0" w:afterAutospacing="0"/>
              <w:rPr>
                <w:sz w:val="20"/>
                <w:szCs w:val="20"/>
              </w:rPr>
            </w:pPr>
            <w:r>
              <w:rPr>
                <w:rStyle w:val="Strong"/>
                <w:sz w:val="20"/>
                <w:szCs w:val="20"/>
              </w:rPr>
              <w:t>ANNUAL REPORT PURSUANT TO SECTION 13 OR 15(d) OF THE SECURITIES EXCHANGE ACT OF 1934</w:t>
            </w:r>
          </w:p>
        </w:tc>
      </w:tr>
    </w:tbl>
    <w:p w14:paraId="5A3D46B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BCF44DA"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For the fiscal year ended:</w:t>
      </w:r>
      <w:r>
        <w:rPr>
          <w:rStyle w:val="Emphasis"/>
          <w:b/>
          <w:bCs/>
          <w:sz w:val="20"/>
          <w:szCs w:val="20"/>
        </w:rPr>
        <w:t xml:space="preserve"> </w:t>
      </w:r>
      <w:r>
        <w:rPr>
          <w:rStyle w:val="Emphasis"/>
          <w:b/>
          <w:bCs/>
          <w:sz w:val="20"/>
          <w:szCs w:val="20"/>
          <w:u w:val="single"/>
        </w:rPr>
        <w:t>December 31, 2019</w:t>
      </w:r>
    </w:p>
    <w:p w14:paraId="599165F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A02926C"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OR</w:t>
      </w:r>
    </w:p>
    <w:p w14:paraId="0FB80836"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321C0592" w14:textId="77777777">
        <w:trPr>
          <w:divId w:val="98525094"/>
          <w:trHeight w:val="225"/>
          <w:tblCellSpacing w:w="15" w:type="dxa"/>
        </w:trPr>
        <w:tc>
          <w:tcPr>
            <w:tcW w:w="200" w:type="pct"/>
            <w:hideMark/>
          </w:tcPr>
          <w:p w14:paraId="221FC454" w14:textId="77777777" w:rsidR="00000000" w:rsidRDefault="00EB4933">
            <w:pPr>
              <w:pStyle w:val="NormalWeb"/>
              <w:spacing w:before="0" w:beforeAutospacing="0" w:after="0" w:afterAutospacing="0"/>
              <w:rPr>
                <w:sz w:val="20"/>
                <w:szCs w:val="20"/>
              </w:rPr>
            </w:pPr>
            <w:r>
              <w:rPr>
                <w:rFonts w:ascii="Segoe UI Symbol" w:hAnsi="Segoe UI Symbol" w:cs="Segoe UI Symbol"/>
                <w:sz w:val="20"/>
                <w:szCs w:val="20"/>
              </w:rPr>
              <w:t>☐</w:t>
            </w:r>
          </w:p>
        </w:tc>
        <w:tc>
          <w:tcPr>
            <w:tcW w:w="0" w:type="auto"/>
            <w:hideMark/>
          </w:tcPr>
          <w:p w14:paraId="37BB93A5" w14:textId="77777777" w:rsidR="00000000" w:rsidRDefault="00EB4933">
            <w:pPr>
              <w:pStyle w:val="NormalWeb"/>
              <w:spacing w:before="0" w:beforeAutospacing="0" w:after="0" w:afterAutospacing="0"/>
              <w:rPr>
                <w:sz w:val="20"/>
                <w:szCs w:val="20"/>
              </w:rPr>
            </w:pPr>
            <w:r>
              <w:rPr>
                <w:rStyle w:val="Strong"/>
                <w:sz w:val="20"/>
                <w:szCs w:val="20"/>
              </w:rPr>
              <w:t>TRANSITION REPORT PURSUANT TO SECTION 13 OR 15(d) OF THE SECURITIES EXCHANGE ACT OF 1934</w:t>
            </w:r>
          </w:p>
        </w:tc>
      </w:tr>
    </w:tbl>
    <w:p w14:paraId="780E89B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0C5AC29"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OR</w:t>
      </w:r>
    </w:p>
    <w:p w14:paraId="1A6A7EC8"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35316C3A" w14:textId="77777777">
        <w:trPr>
          <w:divId w:val="98525094"/>
          <w:trHeight w:val="225"/>
          <w:tblCellSpacing w:w="15" w:type="dxa"/>
        </w:trPr>
        <w:tc>
          <w:tcPr>
            <w:tcW w:w="200" w:type="pct"/>
            <w:hideMark/>
          </w:tcPr>
          <w:p w14:paraId="028E88FD" w14:textId="77777777" w:rsidR="00000000" w:rsidRDefault="00EB4933">
            <w:pPr>
              <w:pStyle w:val="NormalWeb"/>
              <w:spacing w:before="0" w:beforeAutospacing="0" w:after="0" w:afterAutospacing="0"/>
              <w:rPr>
                <w:sz w:val="20"/>
                <w:szCs w:val="20"/>
              </w:rPr>
            </w:pPr>
            <w:r>
              <w:rPr>
                <w:rFonts w:ascii="Segoe UI Symbol" w:hAnsi="Segoe UI Symbol" w:cs="Segoe UI Symbol"/>
                <w:sz w:val="20"/>
                <w:szCs w:val="20"/>
              </w:rPr>
              <w:t>☐</w:t>
            </w:r>
          </w:p>
        </w:tc>
        <w:tc>
          <w:tcPr>
            <w:tcW w:w="0" w:type="auto"/>
            <w:hideMark/>
          </w:tcPr>
          <w:p w14:paraId="312A0C95" w14:textId="77777777" w:rsidR="00000000" w:rsidRDefault="00EB4933">
            <w:pPr>
              <w:pStyle w:val="NormalWeb"/>
              <w:spacing w:before="0" w:beforeAutospacing="0" w:after="0" w:afterAutospacing="0"/>
              <w:rPr>
                <w:sz w:val="20"/>
                <w:szCs w:val="20"/>
              </w:rPr>
            </w:pPr>
            <w:r>
              <w:rPr>
                <w:rStyle w:val="Strong"/>
                <w:sz w:val="20"/>
                <w:szCs w:val="20"/>
              </w:rPr>
              <w:t>SHELL COMPANY REPORT PURSUANT TO SECTION 13 OR 15(d) OF THE SECURITIES EXCHANGE ACT OF 1934</w:t>
            </w:r>
          </w:p>
        </w:tc>
      </w:tr>
    </w:tbl>
    <w:p w14:paraId="4411AB1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4DE3A4B"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Date of event requiring this shell company report</w:t>
      </w:r>
    </w:p>
    <w:p w14:paraId="0C6F496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45EEB14"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For the t</w:t>
      </w:r>
      <w:r>
        <w:rPr>
          <w:rStyle w:val="Strong"/>
          <w:sz w:val="20"/>
          <w:szCs w:val="20"/>
        </w:rPr>
        <w:t xml:space="preserve">ransition period from to </w:t>
      </w:r>
    </w:p>
    <w:p w14:paraId="686D13C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B9C1434"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Commission file number: 001-34958</w:t>
      </w:r>
    </w:p>
    <w:p w14:paraId="6DBFEC19"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2750" w:type="pct"/>
        <w:tblCellSpacing w:w="15" w:type="dxa"/>
        <w:tblCellMar>
          <w:left w:w="0" w:type="dxa"/>
          <w:right w:w="0" w:type="dxa"/>
        </w:tblCellMar>
        <w:tblLook w:val="04A0" w:firstRow="1" w:lastRow="0" w:firstColumn="1" w:lastColumn="0" w:noHBand="0" w:noVBand="1"/>
      </w:tblPr>
      <w:tblGrid>
        <w:gridCol w:w="5148"/>
      </w:tblGrid>
      <w:tr w:rsidR="00000000" w14:paraId="5D39F3DA" w14:textId="77777777">
        <w:trPr>
          <w:divId w:val="98525094"/>
          <w:trHeight w:val="225"/>
          <w:tblCellSpacing w:w="15" w:type="dxa"/>
        </w:trPr>
        <w:tc>
          <w:tcPr>
            <w:tcW w:w="0" w:type="auto"/>
            <w:tcBorders>
              <w:bottom w:val="single" w:sz="6" w:space="0" w:color="000000"/>
            </w:tcBorders>
            <w:vAlign w:val="center"/>
            <w:hideMark/>
          </w:tcPr>
          <w:p w14:paraId="76D179C8" w14:textId="77777777" w:rsidR="00000000" w:rsidRDefault="00EB4933">
            <w:pPr>
              <w:pStyle w:val="NormalWeb"/>
              <w:spacing w:before="0" w:beforeAutospacing="0" w:after="0" w:afterAutospacing="0"/>
              <w:jc w:val="center"/>
              <w:rPr>
                <w:sz w:val="20"/>
                <w:szCs w:val="20"/>
              </w:rPr>
            </w:pPr>
            <w:r>
              <w:rPr>
                <w:rStyle w:val="Strong"/>
                <w:sz w:val="36"/>
                <w:szCs w:val="36"/>
              </w:rPr>
              <w:t>DUNXIN FINANCIAL HOLDINGS LIMITED</w:t>
            </w:r>
          </w:p>
        </w:tc>
      </w:tr>
      <w:tr w:rsidR="00000000" w14:paraId="0613B1BC" w14:textId="77777777">
        <w:trPr>
          <w:divId w:val="98525094"/>
          <w:trHeight w:val="225"/>
          <w:tblCellSpacing w:w="15" w:type="dxa"/>
        </w:trPr>
        <w:tc>
          <w:tcPr>
            <w:tcW w:w="0" w:type="auto"/>
            <w:vAlign w:val="center"/>
            <w:hideMark/>
          </w:tcPr>
          <w:p w14:paraId="134CD853" w14:textId="77777777" w:rsidR="00000000" w:rsidRDefault="00EB4933">
            <w:pPr>
              <w:pStyle w:val="NormalWeb"/>
              <w:spacing w:before="0" w:beforeAutospacing="0" w:after="0" w:afterAutospacing="0"/>
              <w:jc w:val="center"/>
              <w:rPr>
                <w:sz w:val="20"/>
                <w:szCs w:val="20"/>
              </w:rPr>
            </w:pPr>
            <w:r>
              <w:rPr>
                <w:rStyle w:val="Strong"/>
                <w:sz w:val="20"/>
                <w:szCs w:val="20"/>
              </w:rPr>
              <w:t>(Exact name of Registrant as specified in its charter)</w:t>
            </w:r>
          </w:p>
        </w:tc>
      </w:tr>
    </w:tbl>
    <w:p w14:paraId="3C963B02" w14:textId="77777777" w:rsidR="00000000" w:rsidRDefault="00EB4933">
      <w:pPr>
        <w:pStyle w:val="NormalWeb"/>
        <w:spacing w:before="0" w:beforeAutospacing="0" w:after="0" w:afterAutospacing="0"/>
        <w:divId w:val="98525094"/>
        <w:rPr>
          <w:sz w:val="20"/>
          <w:szCs w:val="20"/>
        </w:rPr>
      </w:pPr>
      <w:r>
        <w:rPr>
          <w:sz w:val="20"/>
          <w:szCs w:val="20"/>
        </w:rPr>
        <w:t>   </w:t>
      </w:r>
    </w:p>
    <w:tbl>
      <w:tblPr>
        <w:tblW w:w="4250" w:type="pct"/>
        <w:tblCellSpacing w:w="15" w:type="dxa"/>
        <w:tblCellMar>
          <w:left w:w="0" w:type="dxa"/>
          <w:right w:w="0" w:type="dxa"/>
        </w:tblCellMar>
        <w:tblLook w:val="04A0" w:firstRow="1" w:lastRow="0" w:firstColumn="1" w:lastColumn="0" w:noHBand="0" w:noVBand="1"/>
      </w:tblPr>
      <w:tblGrid>
        <w:gridCol w:w="3571"/>
        <w:gridCol w:w="814"/>
        <w:gridCol w:w="3571"/>
      </w:tblGrid>
      <w:tr w:rsidR="00000000" w14:paraId="7A125E74" w14:textId="77777777">
        <w:trPr>
          <w:divId w:val="98525094"/>
          <w:trHeight w:val="225"/>
          <w:tblCellSpacing w:w="15" w:type="dxa"/>
        </w:trPr>
        <w:tc>
          <w:tcPr>
            <w:tcW w:w="2250" w:type="pct"/>
            <w:tcBorders>
              <w:bottom w:val="single" w:sz="6" w:space="0" w:color="000000"/>
            </w:tcBorders>
            <w:hideMark/>
          </w:tcPr>
          <w:p w14:paraId="6A62A107" w14:textId="77777777" w:rsidR="00000000" w:rsidRDefault="00EB4933">
            <w:pPr>
              <w:pStyle w:val="NormalWeb"/>
              <w:spacing w:before="0" w:beforeAutospacing="0" w:after="0" w:afterAutospacing="0"/>
              <w:jc w:val="center"/>
              <w:rPr>
                <w:sz w:val="20"/>
                <w:szCs w:val="20"/>
              </w:rPr>
            </w:pPr>
            <w:r>
              <w:rPr>
                <w:rStyle w:val="Strong"/>
                <w:sz w:val="20"/>
                <w:szCs w:val="20"/>
              </w:rPr>
              <w:t>Not Applicable</w:t>
            </w:r>
          </w:p>
        </w:tc>
        <w:tc>
          <w:tcPr>
            <w:tcW w:w="500" w:type="pct"/>
            <w:vAlign w:val="center"/>
            <w:hideMark/>
          </w:tcPr>
          <w:p w14:paraId="64C8798F" w14:textId="77777777" w:rsidR="00000000" w:rsidRDefault="00EB4933">
            <w:pPr>
              <w:pStyle w:val="NormalWeb"/>
              <w:spacing w:before="0" w:beforeAutospacing="0" w:after="0" w:afterAutospacing="0"/>
              <w:jc w:val="both"/>
              <w:rPr>
                <w:sz w:val="20"/>
                <w:szCs w:val="20"/>
              </w:rPr>
            </w:pPr>
            <w:r>
              <w:rPr>
                <w:sz w:val="20"/>
                <w:szCs w:val="20"/>
              </w:rPr>
              <w:t> </w:t>
            </w:r>
          </w:p>
        </w:tc>
        <w:tc>
          <w:tcPr>
            <w:tcW w:w="2250" w:type="pct"/>
            <w:tcBorders>
              <w:bottom w:val="single" w:sz="6" w:space="0" w:color="000000"/>
            </w:tcBorders>
            <w:hideMark/>
          </w:tcPr>
          <w:p w14:paraId="79EC51FD" w14:textId="77777777" w:rsidR="00000000" w:rsidRDefault="00EB4933">
            <w:pPr>
              <w:pStyle w:val="NormalWeb"/>
              <w:spacing w:before="0" w:beforeAutospacing="0" w:after="0" w:afterAutospacing="0"/>
              <w:jc w:val="center"/>
              <w:rPr>
                <w:sz w:val="20"/>
                <w:szCs w:val="20"/>
              </w:rPr>
            </w:pPr>
            <w:r>
              <w:rPr>
                <w:rStyle w:val="Strong"/>
                <w:sz w:val="20"/>
                <w:szCs w:val="20"/>
              </w:rPr>
              <w:t>Cayman Islands</w:t>
            </w:r>
          </w:p>
        </w:tc>
      </w:tr>
      <w:tr w:rsidR="00000000" w14:paraId="4F9F44A1" w14:textId="77777777">
        <w:trPr>
          <w:divId w:val="98525094"/>
          <w:trHeight w:val="225"/>
          <w:tblCellSpacing w:w="15" w:type="dxa"/>
        </w:trPr>
        <w:tc>
          <w:tcPr>
            <w:tcW w:w="0" w:type="auto"/>
            <w:hideMark/>
          </w:tcPr>
          <w:p w14:paraId="2DBE789C" w14:textId="77777777" w:rsidR="00000000" w:rsidRDefault="00EB4933">
            <w:pPr>
              <w:pStyle w:val="NormalWeb"/>
              <w:spacing w:before="0" w:beforeAutospacing="0" w:after="0" w:afterAutospacing="0"/>
              <w:jc w:val="center"/>
              <w:rPr>
                <w:sz w:val="20"/>
                <w:szCs w:val="20"/>
              </w:rPr>
            </w:pPr>
            <w:r>
              <w:rPr>
                <w:rStyle w:val="Strong"/>
                <w:sz w:val="20"/>
                <w:szCs w:val="20"/>
              </w:rPr>
              <w:t>(Translation of Registrant’</w:t>
            </w:r>
            <w:r>
              <w:rPr>
                <w:rStyle w:val="Strong"/>
                <w:sz w:val="20"/>
                <w:szCs w:val="20"/>
              </w:rPr>
              <w:t>s name into English)</w:t>
            </w:r>
          </w:p>
        </w:tc>
        <w:tc>
          <w:tcPr>
            <w:tcW w:w="0" w:type="auto"/>
            <w:vAlign w:val="center"/>
            <w:hideMark/>
          </w:tcPr>
          <w:p w14:paraId="7F25C4DF"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66FE94CC" w14:textId="77777777" w:rsidR="00000000" w:rsidRDefault="00EB4933">
            <w:pPr>
              <w:pStyle w:val="NormalWeb"/>
              <w:spacing w:before="0" w:beforeAutospacing="0" w:after="0" w:afterAutospacing="0"/>
              <w:jc w:val="center"/>
              <w:rPr>
                <w:sz w:val="20"/>
                <w:szCs w:val="20"/>
              </w:rPr>
            </w:pPr>
            <w:r>
              <w:rPr>
                <w:rStyle w:val="Strong"/>
                <w:sz w:val="20"/>
                <w:szCs w:val="20"/>
              </w:rPr>
              <w:t>(Jurisdiction of Incorporation or Organization)</w:t>
            </w:r>
          </w:p>
        </w:tc>
      </w:tr>
    </w:tbl>
    <w:p w14:paraId="2C18AB42" w14:textId="77777777" w:rsidR="00000000" w:rsidRDefault="00EB4933">
      <w:pPr>
        <w:pStyle w:val="NormalWeb"/>
        <w:spacing w:before="0" w:beforeAutospacing="0" w:after="0" w:afterAutospacing="0"/>
        <w:divId w:val="98525094"/>
        <w:rPr>
          <w:sz w:val="20"/>
          <w:szCs w:val="20"/>
        </w:rPr>
      </w:pPr>
      <w:r>
        <w:rPr>
          <w:sz w:val="20"/>
          <w:szCs w:val="20"/>
        </w:rPr>
        <w:t xml:space="preserve">  </w:t>
      </w:r>
    </w:p>
    <w:p w14:paraId="496EC37D"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23rd Floor, LianFa International Building</w:t>
      </w:r>
    </w:p>
    <w:p w14:paraId="394E7B4F"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No 128 Xu Dong Street, Wuchang District</w:t>
      </w:r>
    </w:p>
    <w:p w14:paraId="12DD6AEE"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Wuhan City, Hubei Province 430063</w:t>
      </w:r>
    </w:p>
    <w:p w14:paraId="535BEF25" w14:textId="77777777" w:rsidR="00000000" w:rsidRDefault="00EB4933">
      <w:pPr>
        <w:pStyle w:val="NormalWeb"/>
        <w:spacing w:before="0" w:beforeAutospacing="0" w:after="0" w:afterAutospacing="0"/>
        <w:jc w:val="center"/>
        <w:divId w:val="98525094"/>
        <w:rPr>
          <w:sz w:val="20"/>
          <w:szCs w:val="20"/>
        </w:rPr>
      </w:pPr>
      <w:r>
        <w:rPr>
          <w:rStyle w:val="Strong"/>
          <w:sz w:val="20"/>
          <w:szCs w:val="20"/>
          <w:u w:val="single"/>
        </w:rPr>
        <w:t>People’s Republic of China</w:t>
      </w:r>
    </w:p>
    <w:p w14:paraId="08F2519C"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(Address of Principal Executive Offices)</w:t>
      </w:r>
    </w:p>
    <w:p w14:paraId="5331881D" w14:textId="77777777" w:rsidR="00000000" w:rsidRDefault="00EB4933">
      <w:pPr>
        <w:pStyle w:val="NormalWeb"/>
        <w:spacing w:before="0" w:beforeAutospacing="0" w:after="0" w:afterAutospacing="0"/>
        <w:jc w:val="center"/>
        <w:divId w:val="98525094"/>
        <w:rPr>
          <w:sz w:val="20"/>
          <w:szCs w:val="20"/>
        </w:rPr>
      </w:pPr>
      <w:r>
        <w:rPr>
          <w:sz w:val="20"/>
          <w:szCs w:val="20"/>
        </w:rPr>
        <w:t> </w:t>
      </w:r>
    </w:p>
    <w:p w14:paraId="2E3FB473"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Mr. Qizhi Wei</w:t>
      </w:r>
    </w:p>
    <w:p w14:paraId="5CFA798A"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Chief Executive Officer</w:t>
      </w:r>
    </w:p>
    <w:p w14:paraId="10159434" w14:textId="77777777" w:rsidR="00000000" w:rsidRDefault="00EB4933">
      <w:pPr>
        <w:pStyle w:val="NormalWeb"/>
        <w:spacing w:before="0" w:beforeAutospacing="0" w:after="0" w:afterAutospacing="0"/>
        <w:jc w:val="center"/>
        <w:divId w:val="98525094"/>
        <w:rPr>
          <w:sz w:val="20"/>
          <w:szCs w:val="20"/>
        </w:rPr>
      </w:pPr>
      <w:r>
        <w:rPr>
          <w:rStyle w:val="Strong"/>
          <w:sz w:val="20"/>
          <w:szCs w:val="20"/>
        </w:rPr>
        <w:lastRenderedPageBreak/>
        <w:t>Tel: +86-27-88517899</w:t>
      </w:r>
    </w:p>
    <w:p w14:paraId="26E3460A"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E-mail: ir@dunxin.us</w:t>
      </w:r>
    </w:p>
    <w:p w14:paraId="7802BB7B"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23rd Floor, LianFa International Building</w:t>
      </w:r>
    </w:p>
    <w:p w14:paraId="1BDF5353"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No 128 Xu Dong Road, Wuchang District</w:t>
      </w:r>
    </w:p>
    <w:p w14:paraId="618C5185"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Wuhan City, Hubei Province 430063</w:t>
      </w:r>
    </w:p>
    <w:p w14:paraId="5F204843" w14:textId="77777777" w:rsidR="00000000" w:rsidRDefault="00EB4933">
      <w:pPr>
        <w:pStyle w:val="NormalWeb"/>
        <w:spacing w:before="0" w:beforeAutospacing="0" w:after="0" w:afterAutospacing="0"/>
        <w:jc w:val="center"/>
        <w:divId w:val="98525094"/>
        <w:rPr>
          <w:sz w:val="20"/>
          <w:szCs w:val="20"/>
        </w:rPr>
      </w:pPr>
      <w:r>
        <w:rPr>
          <w:rStyle w:val="Strong"/>
          <w:sz w:val="20"/>
          <w:szCs w:val="20"/>
          <w:u w:val="single"/>
        </w:rPr>
        <w:t>People’s Republic of China</w:t>
      </w:r>
    </w:p>
    <w:p w14:paraId="74811039"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(Name, Telephone, E-mail and/or Facsimile number and Address of Company Contact Person)</w:t>
      </w:r>
    </w:p>
    <w:p w14:paraId="16584B67"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54516916" w14:textId="77777777" w:rsidR="00000000" w:rsidRDefault="00EB4933">
      <w:pPr>
        <w:pStyle w:val="NormalWeb"/>
        <w:spacing w:before="0" w:beforeAutospacing="0" w:after="0" w:afterAutospacing="0"/>
        <w:jc w:val="both"/>
        <w:divId w:val="98525094"/>
        <w:rPr>
          <w:sz w:val="20"/>
          <w:szCs w:val="20"/>
        </w:rPr>
      </w:pPr>
      <w:r>
        <w:rPr>
          <w:sz w:val="20"/>
          <w:szCs w:val="20"/>
        </w:rPr>
        <w:t>Securities registered or to be registered pursuant to Section 12(b) of the Act:</w:t>
      </w:r>
    </w:p>
    <w:p w14:paraId="52395372"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4250" w:type="pct"/>
        <w:tblCellSpacing w:w="15" w:type="dxa"/>
        <w:tblCellMar>
          <w:left w:w="0" w:type="dxa"/>
          <w:right w:w="0" w:type="dxa"/>
        </w:tblCellMar>
        <w:tblLook w:val="04A0" w:firstRow="1" w:lastRow="0" w:firstColumn="1" w:lastColumn="0" w:noHBand="0" w:noVBand="1"/>
      </w:tblPr>
      <w:tblGrid>
        <w:gridCol w:w="3155"/>
        <w:gridCol w:w="186"/>
        <w:gridCol w:w="1274"/>
        <w:gridCol w:w="186"/>
        <w:gridCol w:w="3155"/>
      </w:tblGrid>
      <w:tr w:rsidR="00000000" w14:paraId="2733B8D0" w14:textId="77777777">
        <w:trPr>
          <w:divId w:val="98525094"/>
          <w:trHeight w:val="225"/>
          <w:tblCellSpacing w:w="15" w:type="dxa"/>
        </w:trPr>
        <w:tc>
          <w:tcPr>
            <w:tcW w:w="2000" w:type="pct"/>
            <w:tcBorders>
              <w:bottom w:val="single" w:sz="6" w:space="0" w:color="auto"/>
            </w:tcBorders>
            <w:vAlign w:val="bottom"/>
            <w:hideMark/>
          </w:tcPr>
          <w:p w14:paraId="7C43302D" w14:textId="77777777" w:rsidR="00000000" w:rsidRDefault="00EB4933">
            <w:pPr>
              <w:pStyle w:val="NormalWeb"/>
              <w:spacing w:before="0" w:beforeAutospacing="0" w:after="0" w:afterAutospacing="0"/>
              <w:jc w:val="center"/>
              <w:rPr>
                <w:sz w:val="20"/>
                <w:szCs w:val="20"/>
              </w:rPr>
            </w:pPr>
            <w:r>
              <w:rPr>
                <w:rStyle w:val="Strong"/>
                <w:sz w:val="20"/>
                <w:szCs w:val="20"/>
              </w:rPr>
              <w:t>Title of each class</w:t>
            </w:r>
          </w:p>
        </w:tc>
        <w:tc>
          <w:tcPr>
            <w:tcW w:w="100" w:type="pct"/>
            <w:vAlign w:val="center"/>
            <w:hideMark/>
          </w:tcPr>
          <w:p w14:paraId="389C208A" w14:textId="77777777" w:rsidR="00000000" w:rsidRDefault="00EB4933">
            <w:pPr>
              <w:pStyle w:val="NormalWeb"/>
              <w:spacing w:before="0" w:beforeAutospacing="0" w:after="0" w:afterAutospacing="0"/>
              <w:jc w:val="both"/>
              <w:rPr>
                <w:sz w:val="20"/>
                <w:szCs w:val="20"/>
              </w:rPr>
            </w:pPr>
            <w:r>
              <w:rPr>
                <w:sz w:val="20"/>
                <w:szCs w:val="20"/>
              </w:rPr>
              <w:t> </w:t>
            </w:r>
          </w:p>
        </w:tc>
        <w:tc>
          <w:tcPr>
            <w:tcW w:w="800" w:type="pct"/>
            <w:tcBorders>
              <w:bottom w:val="single" w:sz="6" w:space="0" w:color="000000"/>
            </w:tcBorders>
            <w:vAlign w:val="bottom"/>
            <w:hideMark/>
          </w:tcPr>
          <w:p w14:paraId="58992114" w14:textId="77777777" w:rsidR="00000000" w:rsidRDefault="00EB4933">
            <w:pPr>
              <w:pStyle w:val="NormalWeb"/>
              <w:spacing w:before="0" w:beforeAutospacing="0" w:after="0" w:afterAutospacing="0"/>
              <w:jc w:val="center"/>
              <w:rPr>
                <w:sz w:val="20"/>
                <w:szCs w:val="20"/>
              </w:rPr>
            </w:pPr>
            <w:r>
              <w:rPr>
                <w:rStyle w:val="Strong"/>
                <w:sz w:val="20"/>
                <w:szCs w:val="20"/>
              </w:rPr>
              <w:t>Trading Symbol(s)</w:t>
            </w:r>
          </w:p>
        </w:tc>
        <w:tc>
          <w:tcPr>
            <w:tcW w:w="100" w:type="pct"/>
            <w:tcBorders>
              <w:bottom w:val="single" w:sz="6" w:space="0" w:color="auto"/>
            </w:tcBorders>
            <w:vAlign w:val="center"/>
            <w:hideMark/>
          </w:tcPr>
          <w:p w14:paraId="0596D908" w14:textId="77777777" w:rsidR="00000000" w:rsidRDefault="00EB4933">
            <w:pPr>
              <w:pStyle w:val="NormalWeb"/>
              <w:spacing w:before="0" w:beforeAutospacing="0" w:after="0" w:afterAutospacing="0"/>
              <w:jc w:val="both"/>
              <w:rPr>
                <w:sz w:val="20"/>
                <w:szCs w:val="20"/>
              </w:rPr>
            </w:pPr>
            <w:r>
              <w:rPr>
                <w:sz w:val="20"/>
                <w:szCs w:val="20"/>
              </w:rPr>
              <w:t> </w:t>
            </w:r>
          </w:p>
        </w:tc>
        <w:tc>
          <w:tcPr>
            <w:tcW w:w="2000" w:type="pct"/>
            <w:tcBorders>
              <w:bottom w:val="single" w:sz="6" w:space="0" w:color="auto"/>
            </w:tcBorders>
            <w:vAlign w:val="bottom"/>
            <w:hideMark/>
          </w:tcPr>
          <w:p w14:paraId="0710B671" w14:textId="77777777" w:rsidR="00000000" w:rsidRDefault="00EB4933">
            <w:pPr>
              <w:pStyle w:val="NormalWeb"/>
              <w:spacing w:before="0" w:beforeAutospacing="0" w:after="0" w:afterAutospacing="0"/>
              <w:jc w:val="center"/>
              <w:rPr>
                <w:sz w:val="20"/>
                <w:szCs w:val="20"/>
              </w:rPr>
            </w:pPr>
            <w:r>
              <w:rPr>
                <w:rStyle w:val="Strong"/>
                <w:sz w:val="20"/>
                <w:szCs w:val="20"/>
              </w:rPr>
              <w:t>Exchange on which registered</w:t>
            </w:r>
          </w:p>
        </w:tc>
      </w:tr>
      <w:tr w:rsidR="00000000" w14:paraId="3A974C27" w14:textId="77777777">
        <w:trPr>
          <w:divId w:val="98525094"/>
          <w:trHeight w:val="225"/>
          <w:tblCellSpacing w:w="15" w:type="dxa"/>
        </w:trPr>
        <w:tc>
          <w:tcPr>
            <w:tcW w:w="0" w:type="auto"/>
            <w:hideMark/>
          </w:tcPr>
          <w:p w14:paraId="0645BA0A" w14:textId="77777777" w:rsidR="00000000" w:rsidRDefault="00EB4933">
            <w:pPr>
              <w:pStyle w:val="NormalWeb"/>
              <w:spacing w:before="0" w:beforeAutospacing="0" w:after="0" w:afterAutospacing="0"/>
              <w:jc w:val="center"/>
              <w:rPr>
                <w:sz w:val="20"/>
                <w:szCs w:val="20"/>
              </w:rPr>
            </w:pPr>
            <w:r>
              <w:rPr>
                <w:sz w:val="20"/>
                <w:szCs w:val="20"/>
              </w:rPr>
              <w:t>Ordinary shares, par value $0.00005 per share</w:t>
            </w:r>
          </w:p>
          <w:p w14:paraId="3BFEC722" w14:textId="77777777" w:rsidR="00000000" w:rsidRDefault="00EB4933">
            <w:pPr>
              <w:pStyle w:val="NormalWeb"/>
              <w:spacing w:before="0" w:beforeAutospacing="0" w:after="0" w:afterAutospacing="0"/>
              <w:jc w:val="center"/>
              <w:rPr>
                <w:sz w:val="20"/>
                <w:szCs w:val="20"/>
              </w:rPr>
            </w:pPr>
            <w:r>
              <w:rPr>
                <w:sz w:val="20"/>
                <w:szCs w:val="20"/>
              </w:rPr>
              <w:t>American depositary shares, each representing 48 ordinary shares</w:t>
            </w:r>
          </w:p>
        </w:tc>
        <w:tc>
          <w:tcPr>
            <w:tcW w:w="0" w:type="auto"/>
            <w:vAlign w:val="center"/>
            <w:hideMark/>
          </w:tcPr>
          <w:p w14:paraId="382A315A"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45B426E8" w14:textId="77777777" w:rsidR="00000000" w:rsidRDefault="00EB4933">
            <w:pPr>
              <w:pStyle w:val="NormalWeb"/>
              <w:spacing w:before="0" w:beforeAutospacing="0" w:after="0" w:afterAutospacing="0"/>
              <w:jc w:val="center"/>
              <w:rPr>
                <w:sz w:val="20"/>
                <w:szCs w:val="20"/>
              </w:rPr>
            </w:pPr>
            <w:r>
              <w:rPr>
                <w:sz w:val="20"/>
                <w:szCs w:val="20"/>
              </w:rPr>
              <w:t>DXF</w:t>
            </w:r>
          </w:p>
        </w:tc>
        <w:tc>
          <w:tcPr>
            <w:tcW w:w="0" w:type="auto"/>
            <w:vAlign w:val="center"/>
            <w:hideMark/>
          </w:tcPr>
          <w:p w14:paraId="2B456AA0"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21183586" w14:textId="77777777" w:rsidR="00000000" w:rsidRDefault="00EB4933">
            <w:pPr>
              <w:pStyle w:val="NormalWeb"/>
              <w:spacing w:before="0" w:beforeAutospacing="0" w:after="0" w:afterAutospacing="0"/>
              <w:jc w:val="center"/>
              <w:rPr>
                <w:sz w:val="20"/>
                <w:szCs w:val="20"/>
              </w:rPr>
            </w:pPr>
            <w:r>
              <w:rPr>
                <w:sz w:val="20"/>
                <w:szCs w:val="20"/>
              </w:rPr>
              <w:t>New York Stock Exchange*</w:t>
            </w:r>
          </w:p>
          <w:p w14:paraId="38CA0E67" w14:textId="77777777" w:rsidR="00000000" w:rsidRDefault="00EB4933">
            <w:pPr>
              <w:pStyle w:val="NormalWeb"/>
              <w:spacing w:before="0" w:beforeAutospacing="0" w:after="0" w:afterAutospacing="0"/>
              <w:jc w:val="center"/>
              <w:rPr>
                <w:sz w:val="20"/>
                <w:szCs w:val="20"/>
              </w:rPr>
            </w:pPr>
            <w:r>
              <w:rPr>
                <w:sz w:val="20"/>
                <w:szCs w:val="20"/>
              </w:rPr>
              <w:t>New York Stock Exchange</w:t>
            </w:r>
          </w:p>
        </w:tc>
      </w:tr>
    </w:tbl>
    <w:p w14:paraId="595139A0"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FEFC430" w14:textId="77777777">
        <w:trPr>
          <w:divId w:val="98525094"/>
          <w:trHeight w:val="225"/>
          <w:tblCellSpacing w:w="15" w:type="dxa"/>
        </w:trPr>
        <w:tc>
          <w:tcPr>
            <w:tcW w:w="0" w:type="auto"/>
            <w:vAlign w:val="center"/>
            <w:hideMark/>
          </w:tcPr>
          <w:p w14:paraId="1C1C9794" w14:textId="77777777" w:rsidR="00000000" w:rsidRDefault="00EB4933">
            <w:pPr>
              <w:rPr>
                <w:rFonts w:eastAsia="Times New Roman"/>
                <w:sz w:val="20"/>
                <w:szCs w:val="20"/>
              </w:rPr>
            </w:pPr>
            <w:r>
              <w:rPr>
                <w:rFonts w:eastAsia="Times New Roman"/>
                <w:sz w:val="20"/>
                <w:szCs w:val="20"/>
              </w:rPr>
              <w:t> </w:t>
            </w:r>
          </w:p>
        </w:tc>
      </w:tr>
      <w:tr w:rsidR="00000000" w14:paraId="2872F7F7" w14:textId="77777777">
        <w:trPr>
          <w:divId w:val="98525094"/>
          <w:trHeight w:val="225"/>
          <w:tblCellSpacing w:w="15" w:type="dxa"/>
        </w:trPr>
        <w:tc>
          <w:tcPr>
            <w:tcW w:w="0" w:type="auto"/>
            <w:vAlign w:val="center"/>
            <w:hideMark/>
          </w:tcPr>
          <w:p w14:paraId="7C461A7C" w14:textId="77777777" w:rsidR="00000000" w:rsidRDefault="00EB4933">
            <w:pPr>
              <w:rPr>
                <w:rFonts w:eastAsia="Times New Roman"/>
                <w:sz w:val="20"/>
                <w:szCs w:val="20"/>
              </w:rPr>
            </w:pPr>
          </w:p>
        </w:tc>
      </w:tr>
      <w:tr w:rsidR="00000000" w14:paraId="4D25FC4C" w14:textId="77777777">
        <w:trPr>
          <w:divId w:val="98525094"/>
          <w:trHeight w:val="225"/>
          <w:tblCellSpacing w:w="15" w:type="dxa"/>
        </w:trPr>
        <w:tc>
          <w:tcPr>
            <w:tcW w:w="0" w:type="auto"/>
            <w:vAlign w:val="center"/>
            <w:hideMark/>
          </w:tcPr>
          <w:p w14:paraId="5D9F8E61" w14:textId="77777777" w:rsidR="00000000" w:rsidRDefault="00EB4933">
            <w:pPr>
              <w:rPr>
                <w:rFonts w:eastAsia="Times New Roman"/>
                <w:sz w:val="20"/>
                <w:szCs w:val="20"/>
              </w:rPr>
            </w:pPr>
          </w:p>
        </w:tc>
      </w:tr>
      <w:tr w:rsidR="00000000" w14:paraId="3148AAE0" w14:textId="77777777">
        <w:trPr>
          <w:divId w:val="98525094"/>
          <w:trHeight w:val="225"/>
          <w:tblCellSpacing w:w="15" w:type="dxa"/>
        </w:trPr>
        <w:tc>
          <w:tcPr>
            <w:tcW w:w="0" w:type="auto"/>
            <w:vAlign w:val="center"/>
            <w:hideMark/>
          </w:tcPr>
          <w:p w14:paraId="454CE060" w14:textId="77777777" w:rsidR="00000000" w:rsidRDefault="00EB4933">
            <w:pPr>
              <w:rPr>
                <w:rFonts w:eastAsia="Times New Roman"/>
                <w:sz w:val="20"/>
                <w:szCs w:val="20"/>
              </w:rPr>
            </w:pPr>
            <w:r>
              <w:rPr>
                <w:rFonts w:eastAsia="Times New Roman"/>
                <w:sz w:val="20"/>
                <w:szCs w:val="20"/>
              </w:rPr>
              <w:t> </w:t>
            </w:r>
          </w:p>
        </w:tc>
      </w:tr>
    </w:tbl>
    <w:p w14:paraId="4BD031B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D0FE0E5" w14:textId="77777777" w:rsidR="00000000" w:rsidRDefault="00EB4933">
      <w:pPr>
        <w:pStyle w:val="NormalWeb"/>
        <w:spacing w:before="0" w:beforeAutospacing="0" w:after="0" w:afterAutospacing="0"/>
        <w:jc w:val="both"/>
        <w:divId w:val="98525094"/>
        <w:rPr>
          <w:sz w:val="20"/>
          <w:szCs w:val="20"/>
        </w:rPr>
      </w:pPr>
      <w:r>
        <w:rPr>
          <w:sz w:val="20"/>
          <w:szCs w:val="20"/>
        </w:rPr>
        <w:t>* Not for trading but only in connection with the listing on New York Stock Exchange of the American depositary shares.</w:t>
      </w:r>
    </w:p>
    <w:p w14:paraId="3533798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2C8E1D8" w14:textId="77777777" w:rsidR="00000000" w:rsidRDefault="00EB4933">
      <w:pPr>
        <w:pStyle w:val="NormalWeb"/>
        <w:spacing w:before="0" w:beforeAutospacing="0" w:after="0" w:afterAutospacing="0"/>
        <w:jc w:val="both"/>
        <w:divId w:val="98525094"/>
        <w:rPr>
          <w:sz w:val="20"/>
          <w:szCs w:val="20"/>
        </w:rPr>
      </w:pPr>
      <w:r>
        <w:rPr>
          <w:sz w:val="20"/>
          <w:szCs w:val="20"/>
        </w:rPr>
        <w:t>Securities registered or to be registered pursuant to Section 12(g) of the Act:</w:t>
      </w:r>
      <w:r>
        <w:rPr>
          <w:rStyle w:val="Strong"/>
          <w:sz w:val="20"/>
          <w:szCs w:val="20"/>
        </w:rPr>
        <w:t xml:space="preserve"> None</w:t>
      </w:r>
    </w:p>
    <w:p w14:paraId="3F8CD3B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8A3E350" w14:textId="77777777" w:rsidR="00000000" w:rsidRDefault="00EB4933">
      <w:pPr>
        <w:pStyle w:val="NormalWeb"/>
        <w:spacing w:before="0" w:beforeAutospacing="0" w:after="0" w:afterAutospacing="0"/>
        <w:jc w:val="both"/>
        <w:divId w:val="98525094"/>
        <w:rPr>
          <w:sz w:val="20"/>
          <w:szCs w:val="20"/>
        </w:rPr>
      </w:pPr>
      <w:r>
        <w:rPr>
          <w:sz w:val="20"/>
          <w:szCs w:val="20"/>
        </w:rPr>
        <w:t>Securities for which there is a reporting oblig</w:t>
      </w:r>
      <w:r>
        <w:rPr>
          <w:sz w:val="20"/>
          <w:szCs w:val="20"/>
        </w:rPr>
        <w:t>ation pursuant to Section 15(d) of the Act:</w:t>
      </w:r>
      <w:r>
        <w:rPr>
          <w:rStyle w:val="Strong"/>
          <w:sz w:val="20"/>
          <w:szCs w:val="20"/>
        </w:rPr>
        <w:t xml:space="preserve"> None</w:t>
      </w:r>
    </w:p>
    <w:p w14:paraId="62542BE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224634E" w14:textId="77777777" w:rsidR="00000000" w:rsidRDefault="00EB4933">
      <w:pPr>
        <w:pStyle w:val="NormalWeb"/>
        <w:spacing w:before="0" w:beforeAutospacing="0" w:after="0" w:afterAutospacing="0"/>
        <w:jc w:val="both"/>
        <w:divId w:val="98525094"/>
        <w:rPr>
          <w:sz w:val="20"/>
          <w:szCs w:val="20"/>
        </w:rPr>
      </w:pPr>
      <w:r>
        <w:rPr>
          <w:sz w:val="20"/>
          <w:szCs w:val="20"/>
        </w:rPr>
        <w:t xml:space="preserve">Number of outstanding shares of each of the issuer’s classes of capital or common stock as of December 31, 2019: </w:t>
      </w:r>
      <w:r>
        <w:rPr>
          <w:rStyle w:val="Strong"/>
          <w:sz w:val="20"/>
          <w:szCs w:val="20"/>
        </w:rPr>
        <w:t>1,001,131,401 Ordinary Shares, par value $0.00005 per share</w:t>
      </w:r>
    </w:p>
    <w:p w14:paraId="590277E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EBDFD0E" w14:textId="77777777" w:rsidR="00000000" w:rsidRDefault="00EB4933">
      <w:pPr>
        <w:pStyle w:val="NormalWeb"/>
        <w:spacing w:before="0" w:beforeAutospacing="0" w:after="0" w:afterAutospacing="0"/>
        <w:jc w:val="both"/>
        <w:divId w:val="98525094"/>
        <w:rPr>
          <w:sz w:val="20"/>
          <w:szCs w:val="20"/>
        </w:rPr>
      </w:pPr>
      <w:r>
        <w:rPr>
          <w:sz w:val="20"/>
          <w:szCs w:val="20"/>
        </w:rPr>
        <w:t xml:space="preserve">Indicate by check mark if the registrant is a well-known seasoned issuer, as defined in Rule 405 of the Securities Act. Yes </w:t>
      </w:r>
      <w:r>
        <w:rPr>
          <w:rFonts w:ascii="Segoe UI Symbol" w:hAnsi="Segoe UI Symbol" w:cs="Segoe UI Symbol"/>
          <w:sz w:val="20"/>
          <w:szCs w:val="20"/>
        </w:rPr>
        <w:t>☐</w:t>
      </w:r>
      <w:r>
        <w:rPr>
          <w:sz w:val="20"/>
          <w:szCs w:val="20"/>
        </w:rPr>
        <w:t>    </w:t>
      </w:r>
      <w:r>
        <w:rPr>
          <w:sz w:val="20"/>
          <w:szCs w:val="20"/>
        </w:rPr>
        <w:t xml:space="preserve"> No </w:t>
      </w:r>
      <w:r>
        <w:rPr>
          <w:rFonts w:ascii="Segoe UI Symbol" w:hAnsi="Segoe UI Symbol" w:cs="Segoe UI Symbol"/>
          <w:sz w:val="20"/>
          <w:szCs w:val="20"/>
        </w:rPr>
        <w:t>☒</w:t>
      </w:r>
    </w:p>
    <w:p w14:paraId="69A1E7C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3451057" w14:textId="77777777" w:rsidR="00000000" w:rsidRDefault="00EB4933">
      <w:pPr>
        <w:pStyle w:val="NormalWeb"/>
        <w:spacing w:before="0" w:beforeAutospacing="0" w:after="0" w:afterAutospacing="0"/>
        <w:jc w:val="both"/>
        <w:divId w:val="98525094"/>
        <w:rPr>
          <w:sz w:val="20"/>
          <w:szCs w:val="20"/>
        </w:rPr>
      </w:pPr>
      <w:r>
        <w:rPr>
          <w:sz w:val="20"/>
          <w:szCs w:val="20"/>
        </w:rPr>
        <w:t>If this report is an annual or transition report, indicat</w:t>
      </w:r>
      <w:r>
        <w:rPr>
          <w:sz w:val="20"/>
          <w:szCs w:val="20"/>
        </w:rPr>
        <w:t xml:space="preserve">e by check mark if the registrant is not required to file reports pursuant to Section 13 or 15(d) of the Securities Exchange Act of 1934. Yes </w:t>
      </w:r>
      <w:r>
        <w:rPr>
          <w:rFonts w:ascii="Wingdings" w:hAnsi="Wingdings"/>
          <w:sz w:val="20"/>
          <w:szCs w:val="20"/>
        </w:rPr>
        <w:t>o</w:t>
      </w:r>
      <w:r>
        <w:rPr>
          <w:sz w:val="20"/>
          <w:szCs w:val="20"/>
        </w:rPr>
        <w:t>     No x</w:t>
      </w:r>
    </w:p>
    <w:p w14:paraId="0B908DA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3982F45" w14:textId="77777777" w:rsidR="00000000" w:rsidRDefault="00EB4933">
      <w:pPr>
        <w:pStyle w:val="NormalWeb"/>
        <w:spacing w:before="0" w:beforeAutospacing="0" w:after="0" w:afterAutospacing="0"/>
        <w:jc w:val="both"/>
        <w:divId w:val="98525094"/>
        <w:rPr>
          <w:sz w:val="20"/>
          <w:szCs w:val="20"/>
        </w:rPr>
      </w:pPr>
      <w:r>
        <w:rPr>
          <w:sz w:val="20"/>
          <w:szCs w:val="20"/>
        </w:rPr>
        <w:t>Indicate by check mark whether the registrant (1) has filed all reports required to be filed by Secti</w:t>
      </w:r>
      <w:r>
        <w:rPr>
          <w:sz w:val="20"/>
          <w:szCs w:val="20"/>
        </w:rPr>
        <w:t>on 13 or 15(d) of the Securities Exchange Act of 1934 during the preceding 12 months (or for such shorter period that the registrant was required to file such reports), and (2) has been subject to such filing requirements for the past 90 days. Yes </w:t>
      </w:r>
      <w:r>
        <w:rPr>
          <w:rFonts w:ascii="Segoe UI Symbol" w:hAnsi="Segoe UI Symbol" w:cs="Segoe UI Symbol"/>
          <w:sz w:val="20"/>
          <w:szCs w:val="20"/>
        </w:rPr>
        <w:t>☒</w:t>
      </w:r>
      <w:r>
        <w:rPr>
          <w:sz w:val="20"/>
          <w:szCs w:val="20"/>
        </w:rPr>
        <w:t>    </w:t>
      </w:r>
      <w:r>
        <w:rPr>
          <w:sz w:val="20"/>
          <w:szCs w:val="20"/>
        </w:rPr>
        <w:t xml:space="preserve"> No</w:t>
      </w:r>
      <w:r>
        <w:rPr>
          <w:sz w:val="20"/>
          <w:szCs w:val="20"/>
        </w:rPr>
        <w:t xml:space="preserve"> </w:t>
      </w:r>
      <w:r>
        <w:rPr>
          <w:rFonts w:ascii="Segoe UI Symbol" w:hAnsi="Segoe UI Symbol" w:cs="Segoe UI Symbol"/>
          <w:sz w:val="20"/>
          <w:szCs w:val="20"/>
        </w:rPr>
        <w:t>☐</w:t>
      </w:r>
    </w:p>
    <w:p w14:paraId="405A397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05C02EA" w14:textId="77777777" w:rsidR="00000000" w:rsidRDefault="00EB4933">
      <w:pPr>
        <w:pStyle w:val="NormalWeb"/>
        <w:spacing w:before="0" w:beforeAutospacing="0" w:after="0" w:afterAutospacing="0"/>
        <w:jc w:val="both"/>
        <w:divId w:val="98525094"/>
        <w:rPr>
          <w:sz w:val="20"/>
          <w:szCs w:val="20"/>
        </w:rPr>
      </w:pPr>
      <w:r>
        <w:rPr>
          <w:sz w:val="20"/>
          <w:szCs w:val="20"/>
        </w:rPr>
        <w:t>Indicate by check mark whether the registrant has submitted electronically every Interactive Data File required to be submitted pursuant to Rule 405 of Regulation S-T (§232.405 of this chapter) during the preceding 12 months (or for such shorter perio</w:t>
      </w:r>
      <w:r>
        <w:rPr>
          <w:sz w:val="20"/>
          <w:szCs w:val="20"/>
        </w:rPr>
        <w:t>d that the registrant was required to submit such files). Yes </w:t>
      </w:r>
      <w:r>
        <w:rPr>
          <w:rFonts w:ascii="Segoe UI Symbol" w:hAnsi="Segoe UI Symbol" w:cs="Segoe UI Symbol"/>
          <w:sz w:val="20"/>
          <w:szCs w:val="20"/>
        </w:rPr>
        <w:t>☒</w:t>
      </w:r>
      <w:r>
        <w:rPr>
          <w:sz w:val="20"/>
          <w:szCs w:val="20"/>
        </w:rPr>
        <w:t>    </w:t>
      </w:r>
      <w:r>
        <w:rPr>
          <w:sz w:val="20"/>
          <w:szCs w:val="20"/>
        </w:rPr>
        <w:t xml:space="preserve"> No </w:t>
      </w:r>
      <w:r>
        <w:rPr>
          <w:rFonts w:ascii="Segoe UI Symbol" w:hAnsi="Segoe UI Symbol" w:cs="Segoe UI Symbol"/>
          <w:sz w:val="20"/>
          <w:szCs w:val="20"/>
        </w:rPr>
        <w:t>☐</w:t>
      </w:r>
    </w:p>
    <w:p w14:paraId="44E8C60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1025137" w14:textId="77777777" w:rsidR="00000000" w:rsidRDefault="00EB4933">
      <w:pPr>
        <w:pStyle w:val="NormalWeb"/>
        <w:spacing w:before="0" w:beforeAutospacing="0" w:after="0" w:afterAutospacing="0"/>
        <w:jc w:val="both"/>
        <w:divId w:val="98525094"/>
        <w:rPr>
          <w:sz w:val="20"/>
          <w:szCs w:val="20"/>
        </w:rPr>
      </w:pPr>
      <w:r>
        <w:rPr>
          <w:sz w:val="20"/>
          <w:szCs w:val="20"/>
        </w:rPr>
        <w:t xml:space="preserve">Indicate by check mark whether the registrant is a large accelerated filer, an accelerated filer, </w:t>
      </w:r>
      <w:r>
        <w:rPr>
          <w:strike/>
          <w:sz w:val="20"/>
          <w:szCs w:val="20"/>
        </w:rPr>
        <w:t xml:space="preserve">or </w:t>
      </w:r>
      <w:r>
        <w:rPr>
          <w:sz w:val="20"/>
          <w:szCs w:val="20"/>
        </w:rPr>
        <w:t>a non-accelerated filer, or an emerging growth company. See definition of “accel</w:t>
      </w:r>
      <w:r>
        <w:rPr>
          <w:sz w:val="20"/>
          <w:szCs w:val="20"/>
        </w:rPr>
        <w:t>erated filer and large accelerated filer,” “accelerated filer,” and “emerging growth company” in Rule 12b-2 of the Exchange Act. (Check one):</w:t>
      </w:r>
    </w:p>
    <w:p w14:paraId="40F26DD1"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4250" w:type="pct"/>
        <w:tblCellSpacing w:w="15" w:type="dxa"/>
        <w:tblCellMar>
          <w:left w:w="0" w:type="dxa"/>
          <w:right w:w="0" w:type="dxa"/>
        </w:tblCellMar>
        <w:tblLook w:val="04A0" w:firstRow="1" w:lastRow="0" w:firstColumn="1" w:lastColumn="0" w:noHBand="0" w:noVBand="1"/>
      </w:tblPr>
      <w:tblGrid>
        <w:gridCol w:w="1583"/>
        <w:gridCol w:w="415"/>
        <w:gridCol w:w="1567"/>
        <w:gridCol w:w="414"/>
        <w:gridCol w:w="1567"/>
        <w:gridCol w:w="414"/>
        <w:gridCol w:w="1567"/>
        <w:gridCol w:w="429"/>
      </w:tblGrid>
      <w:tr w:rsidR="00000000" w14:paraId="7AA1F977" w14:textId="77777777">
        <w:trPr>
          <w:divId w:val="98525094"/>
          <w:trHeight w:val="225"/>
          <w:tblCellSpacing w:w="15" w:type="dxa"/>
        </w:trPr>
        <w:tc>
          <w:tcPr>
            <w:tcW w:w="1000" w:type="pct"/>
            <w:vAlign w:val="center"/>
            <w:hideMark/>
          </w:tcPr>
          <w:p w14:paraId="2F6BC5AA" w14:textId="77777777" w:rsidR="00000000" w:rsidRDefault="00EB4933">
            <w:pPr>
              <w:pStyle w:val="NormalWeb"/>
              <w:spacing w:before="0" w:beforeAutospacing="0" w:after="0" w:afterAutospacing="0"/>
              <w:rPr>
                <w:sz w:val="20"/>
                <w:szCs w:val="20"/>
              </w:rPr>
            </w:pPr>
            <w:r>
              <w:rPr>
                <w:sz w:val="20"/>
                <w:szCs w:val="20"/>
              </w:rPr>
              <w:t>Large accelerated filer</w:t>
            </w:r>
          </w:p>
        </w:tc>
        <w:tc>
          <w:tcPr>
            <w:tcW w:w="250" w:type="pct"/>
            <w:vAlign w:val="center"/>
            <w:hideMark/>
          </w:tcPr>
          <w:p w14:paraId="548AE352" w14:textId="77777777" w:rsidR="00000000" w:rsidRDefault="00EB4933">
            <w:pPr>
              <w:pStyle w:val="NormalWeb"/>
              <w:spacing w:before="0" w:beforeAutospacing="0" w:after="0" w:afterAutospacing="0"/>
              <w:rPr>
                <w:sz w:val="20"/>
                <w:szCs w:val="20"/>
              </w:rPr>
            </w:pPr>
            <w:r>
              <w:rPr>
                <w:rFonts w:ascii="Segoe UI Symbol" w:hAnsi="Segoe UI Symbol" w:cs="Segoe UI Symbol"/>
                <w:sz w:val="20"/>
                <w:szCs w:val="20"/>
              </w:rPr>
              <w:t>☐</w:t>
            </w:r>
            <w:r>
              <w:rPr>
                <w:sz w:val="20"/>
                <w:szCs w:val="20"/>
              </w:rPr>
              <w:t> </w:t>
            </w:r>
          </w:p>
        </w:tc>
        <w:tc>
          <w:tcPr>
            <w:tcW w:w="1000" w:type="pct"/>
            <w:vAlign w:val="center"/>
            <w:hideMark/>
          </w:tcPr>
          <w:p w14:paraId="6F3FB573" w14:textId="77777777" w:rsidR="00000000" w:rsidRDefault="00EB4933">
            <w:pPr>
              <w:pStyle w:val="NormalWeb"/>
              <w:spacing w:before="0" w:beforeAutospacing="0" w:after="0" w:afterAutospacing="0"/>
              <w:rPr>
                <w:sz w:val="20"/>
                <w:szCs w:val="20"/>
              </w:rPr>
            </w:pPr>
            <w:r>
              <w:rPr>
                <w:sz w:val="20"/>
                <w:szCs w:val="20"/>
              </w:rPr>
              <w:t xml:space="preserve">Accelerated filer </w:t>
            </w:r>
          </w:p>
        </w:tc>
        <w:tc>
          <w:tcPr>
            <w:tcW w:w="250" w:type="pct"/>
            <w:vAlign w:val="center"/>
            <w:hideMark/>
          </w:tcPr>
          <w:p w14:paraId="7A20F5DC" w14:textId="77777777" w:rsidR="00000000" w:rsidRDefault="00EB4933">
            <w:pPr>
              <w:pStyle w:val="NormalWeb"/>
              <w:spacing w:before="0" w:beforeAutospacing="0" w:after="0" w:afterAutospacing="0"/>
              <w:rPr>
                <w:sz w:val="20"/>
                <w:szCs w:val="20"/>
              </w:rPr>
            </w:pPr>
            <w:r>
              <w:rPr>
                <w:rFonts w:ascii="Segoe UI Symbol" w:hAnsi="Segoe UI Symbol" w:cs="Segoe UI Symbol"/>
                <w:sz w:val="20"/>
                <w:szCs w:val="20"/>
              </w:rPr>
              <w:t>☐</w:t>
            </w:r>
            <w:r>
              <w:rPr>
                <w:sz w:val="20"/>
                <w:szCs w:val="20"/>
              </w:rPr>
              <w:t> </w:t>
            </w:r>
          </w:p>
        </w:tc>
        <w:tc>
          <w:tcPr>
            <w:tcW w:w="1000" w:type="pct"/>
            <w:vAlign w:val="center"/>
            <w:hideMark/>
          </w:tcPr>
          <w:p w14:paraId="5D84E724" w14:textId="77777777" w:rsidR="00000000" w:rsidRDefault="00EB4933">
            <w:pPr>
              <w:pStyle w:val="NormalWeb"/>
              <w:spacing w:before="0" w:beforeAutospacing="0" w:after="0" w:afterAutospacing="0"/>
              <w:rPr>
                <w:sz w:val="20"/>
                <w:szCs w:val="20"/>
              </w:rPr>
            </w:pPr>
            <w:r>
              <w:rPr>
                <w:sz w:val="20"/>
                <w:szCs w:val="20"/>
              </w:rPr>
              <w:t>Non-accelerated filer</w:t>
            </w:r>
          </w:p>
        </w:tc>
        <w:tc>
          <w:tcPr>
            <w:tcW w:w="250" w:type="pct"/>
            <w:vAlign w:val="center"/>
            <w:hideMark/>
          </w:tcPr>
          <w:p w14:paraId="4EA43169" w14:textId="77777777" w:rsidR="00000000" w:rsidRDefault="00EB4933">
            <w:pPr>
              <w:pStyle w:val="NormalWeb"/>
              <w:spacing w:before="0" w:beforeAutospacing="0" w:after="0" w:afterAutospacing="0"/>
              <w:rPr>
                <w:sz w:val="20"/>
                <w:szCs w:val="20"/>
              </w:rPr>
            </w:pPr>
            <w:r>
              <w:rPr>
                <w:rFonts w:ascii="Segoe UI Symbol" w:hAnsi="Segoe UI Symbol" w:cs="Segoe UI Symbol"/>
                <w:sz w:val="20"/>
                <w:szCs w:val="20"/>
              </w:rPr>
              <w:t>☒</w:t>
            </w:r>
          </w:p>
        </w:tc>
        <w:tc>
          <w:tcPr>
            <w:tcW w:w="1000" w:type="pct"/>
            <w:vAlign w:val="center"/>
            <w:hideMark/>
          </w:tcPr>
          <w:p w14:paraId="0C08611D" w14:textId="77777777" w:rsidR="00000000" w:rsidRDefault="00EB4933">
            <w:pPr>
              <w:pStyle w:val="NormalWeb"/>
              <w:spacing w:before="0" w:beforeAutospacing="0" w:after="0" w:afterAutospacing="0"/>
              <w:rPr>
                <w:sz w:val="20"/>
                <w:szCs w:val="20"/>
              </w:rPr>
            </w:pPr>
            <w:r>
              <w:rPr>
                <w:sz w:val="20"/>
                <w:szCs w:val="20"/>
              </w:rPr>
              <w:t xml:space="preserve">Emerging growth company </w:t>
            </w:r>
          </w:p>
        </w:tc>
        <w:tc>
          <w:tcPr>
            <w:tcW w:w="250" w:type="pct"/>
            <w:vAlign w:val="center"/>
            <w:hideMark/>
          </w:tcPr>
          <w:p w14:paraId="38825274" w14:textId="77777777" w:rsidR="00000000" w:rsidRDefault="00EB4933">
            <w:pPr>
              <w:pStyle w:val="NormalWeb"/>
              <w:spacing w:before="0" w:beforeAutospacing="0" w:after="0" w:afterAutospacing="0"/>
              <w:rPr>
                <w:sz w:val="20"/>
                <w:szCs w:val="20"/>
              </w:rPr>
            </w:pPr>
            <w:r>
              <w:rPr>
                <w:rFonts w:ascii="Segoe UI Symbol" w:hAnsi="Segoe UI Symbol" w:cs="Segoe UI Symbol"/>
                <w:sz w:val="20"/>
                <w:szCs w:val="20"/>
              </w:rPr>
              <w:t>☐</w:t>
            </w:r>
          </w:p>
        </w:tc>
      </w:tr>
    </w:tbl>
    <w:p w14:paraId="32EC3574"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2ACB7A49" w14:textId="77777777" w:rsidR="00000000" w:rsidRDefault="00EB4933">
      <w:pPr>
        <w:pStyle w:val="NormalWeb"/>
        <w:spacing w:before="0" w:beforeAutospacing="0" w:after="0" w:afterAutospacing="0"/>
        <w:ind w:left="675"/>
        <w:jc w:val="both"/>
        <w:divId w:val="98525094"/>
        <w:rPr>
          <w:sz w:val="20"/>
          <w:szCs w:val="20"/>
        </w:rPr>
      </w:pPr>
      <w:r>
        <w:rPr>
          <w:sz w:val="20"/>
          <w:szCs w:val="20"/>
        </w:rPr>
        <w:lastRenderedPageBreak/>
        <w:t>If an emerging growth company that prepares its financial statements in accordance with U.S. GAAP, indicate by check mark if the registrant has elected not to use the extended transition period for complying with any new or revised financial accounting sta</w:t>
      </w:r>
      <w:r>
        <w:rPr>
          <w:sz w:val="20"/>
          <w:szCs w:val="20"/>
        </w:rPr>
        <w:t xml:space="preserve">ndards† provided pursuant to Section 13(a) of the Exchange Act. </w:t>
      </w:r>
      <w:r>
        <w:rPr>
          <w:rFonts w:ascii="Segoe UI Symbol" w:hAnsi="Segoe UI Symbol" w:cs="Segoe UI Symbol"/>
          <w:sz w:val="20"/>
          <w:szCs w:val="20"/>
        </w:rPr>
        <w:t>☐</w:t>
      </w:r>
    </w:p>
    <w:p w14:paraId="5B1EFF83"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4F3D18E2" w14:textId="77777777" w:rsidR="00000000" w:rsidRDefault="00EB4933">
      <w:pPr>
        <w:pStyle w:val="NormalWeb"/>
        <w:spacing w:before="0" w:beforeAutospacing="0" w:after="0" w:afterAutospacing="0"/>
        <w:ind w:left="675"/>
        <w:jc w:val="both"/>
        <w:divId w:val="98525094"/>
        <w:rPr>
          <w:sz w:val="20"/>
          <w:szCs w:val="20"/>
        </w:rPr>
      </w:pPr>
      <w:r>
        <w:rPr>
          <w:sz w:val="20"/>
          <w:szCs w:val="20"/>
        </w:rPr>
        <w:t>† The term “new or revised financial accounting standard” refers to any update issued by the Financial Accounting Standards Board to its Accounting Standards Codification after April 5, 20</w:t>
      </w:r>
      <w:r>
        <w:rPr>
          <w:sz w:val="20"/>
          <w:szCs w:val="20"/>
        </w:rPr>
        <w:t>12.</w:t>
      </w:r>
    </w:p>
    <w:p w14:paraId="75F07D3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6000B55" w14:textId="77777777" w:rsidR="00000000" w:rsidRDefault="00EB4933">
      <w:pPr>
        <w:pStyle w:val="NormalWeb"/>
        <w:spacing w:before="0" w:beforeAutospacing="0" w:after="0" w:afterAutospacing="0"/>
        <w:jc w:val="both"/>
        <w:divId w:val="98525094"/>
        <w:rPr>
          <w:sz w:val="20"/>
          <w:szCs w:val="20"/>
        </w:rPr>
      </w:pPr>
      <w:r>
        <w:rPr>
          <w:sz w:val="20"/>
          <w:szCs w:val="20"/>
        </w:rPr>
        <w:t>Indicate by check mark whether the registrant has filed a report on and attestation to its management’s assessment of the effectiveness of its internal control over financial reporting under Section 404(b) of the Sarbanes-Oxley Act (15 U.S.C. 7262(b)</w:t>
      </w:r>
      <w:r>
        <w:rPr>
          <w:sz w:val="20"/>
          <w:szCs w:val="20"/>
        </w:rPr>
        <w:t xml:space="preserve">) by the registered public accounting firm that prepared or issued its audit report. </w:t>
      </w:r>
      <w:r>
        <w:rPr>
          <w:rFonts w:ascii="Segoe UI Symbol" w:hAnsi="Segoe UI Symbol" w:cs="Segoe UI Symbol"/>
          <w:sz w:val="20"/>
          <w:szCs w:val="20"/>
        </w:rPr>
        <w:t>☐</w:t>
      </w:r>
    </w:p>
    <w:p w14:paraId="6ABF94D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2BD0711" w14:textId="77777777" w:rsidR="00000000" w:rsidRDefault="00EB4933">
      <w:pPr>
        <w:pStyle w:val="NormalWeb"/>
        <w:spacing w:before="0" w:beforeAutospacing="0" w:after="0" w:afterAutospacing="0"/>
        <w:jc w:val="both"/>
        <w:divId w:val="98525094"/>
        <w:rPr>
          <w:sz w:val="20"/>
          <w:szCs w:val="20"/>
        </w:rPr>
      </w:pPr>
      <w:r>
        <w:rPr>
          <w:sz w:val="20"/>
          <w:szCs w:val="20"/>
        </w:rPr>
        <w:t>Indicate by check mark which basis of accounting the registrant has used to prepare the financial statements included in this filing:</w:t>
      </w:r>
    </w:p>
    <w:p w14:paraId="38C4FBA8"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4250" w:type="pct"/>
        <w:tblCellSpacing w:w="15" w:type="dxa"/>
        <w:tblCellMar>
          <w:left w:w="0" w:type="dxa"/>
          <w:right w:w="0" w:type="dxa"/>
        </w:tblCellMar>
        <w:tblLook w:val="04A0" w:firstRow="1" w:lastRow="0" w:firstColumn="1" w:lastColumn="0" w:noHBand="0" w:noVBand="1"/>
      </w:tblPr>
      <w:tblGrid>
        <w:gridCol w:w="822"/>
        <w:gridCol w:w="419"/>
        <w:gridCol w:w="5473"/>
        <w:gridCol w:w="808"/>
        <w:gridCol w:w="434"/>
      </w:tblGrid>
      <w:tr w:rsidR="00000000" w14:paraId="7457C51D" w14:textId="77777777">
        <w:trPr>
          <w:divId w:val="98525094"/>
          <w:trHeight w:val="225"/>
          <w:tblCellSpacing w:w="15" w:type="dxa"/>
        </w:trPr>
        <w:tc>
          <w:tcPr>
            <w:tcW w:w="500" w:type="pct"/>
            <w:hideMark/>
          </w:tcPr>
          <w:p w14:paraId="77F725C2" w14:textId="77777777" w:rsidR="00000000" w:rsidRDefault="00EB4933">
            <w:pPr>
              <w:pStyle w:val="NormalWeb"/>
              <w:spacing w:before="0" w:beforeAutospacing="0" w:after="0" w:afterAutospacing="0"/>
              <w:jc w:val="both"/>
              <w:rPr>
                <w:sz w:val="20"/>
                <w:szCs w:val="20"/>
              </w:rPr>
            </w:pPr>
            <w:r>
              <w:rPr>
                <w:sz w:val="20"/>
                <w:szCs w:val="20"/>
              </w:rPr>
              <w:t xml:space="preserve">U.S. GAAP </w:t>
            </w:r>
          </w:p>
        </w:tc>
        <w:tc>
          <w:tcPr>
            <w:tcW w:w="250" w:type="pct"/>
            <w:hideMark/>
          </w:tcPr>
          <w:p w14:paraId="5F70797D" w14:textId="77777777" w:rsidR="00000000" w:rsidRDefault="00EB4933">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bottom"/>
            <w:hideMark/>
          </w:tcPr>
          <w:p w14:paraId="78F18D8B" w14:textId="77777777" w:rsidR="00000000" w:rsidRDefault="00EB4933">
            <w:pPr>
              <w:pStyle w:val="NormalWeb"/>
              <w:spacing w:before="0" w:beforeAutospacing="0" w:after="0" w:afterAutospacing="0"/>
              <w:jc w:val="center"/>
              <w:rPr>
                <w:sz w:val="20"/>
                <w:szCs w:val="20"/>
              </w:rPr>
            </w:pPr>
            <w:r>
              <w:rPr>
                <w:sz w:val="20"/>
                <w:szCs w:val="20"/>
              </w:rPr>
              <w:t xml:space="preserve">International </w:t>
            </w:r>
            <w:r>
              <w:rPr>
                <w:sz w:val="20"/>
                <w:szCs w:val="20"/>
              </w:rPr>
              <w:t>Financial Reporting Standards as issued</w:t>
            </w:r>
          </w:p>
          <w:p w14:paraId="65D0053B" w14:textId="77777777" w:rsidR="00000000" w:rsidRDefault="00EB4933">
            <w:pPr>
              <w:pStyle w:val="NormalWeb"/>
              <w:spacing w:before="0" w:beforeAutospacing="0" w:after="0" w:afterAutospacing="0"/>
              <w:jc w:val="center"/>
              <w:rPr>
                <w:sz w:val="20"/>
                <w:szCs w:val="20"/>
              </w:rPr>
            </w:pPr>
            <w:r>
              <w:rPr>
                <w:sz w:val="20"/>
                <w:szCs w:val="20"/>
              </w:rPr>
              <w:t>by the International Accounting Standards Board x</w:t>
            </w:r>
          </w:p>
        </w:tc>
        <w:tc>
          <w:tcPr>
            <w:tcW w:w="500" w:type="pct"/>
            <w:hideMark/>
          </w:tcPr>
          <w:p w14:paraId="78658C76" w14:textId="77777777" w:rsidR="00000000" w:rsidRDefault="00EB4933">
            <w:pPr>
              <w:pStyle w:val="NormalWeb"/>
              <w:spacing w:before="0" w:beforeAutospacing="0" w:after="0" w:afterAutospacing="0"/>
              <w:jc w:val="both"/>
              <w:rPr>
                <w:sz w:val="20"/>
                <w:szCs w:val="20"/>
              </w:rPr>
            </w:pPr>
            <w:r>
              <w:rPr>
                <w:sz w:val="20"/>
                <w:szCs w:val="20"/>
              </w:rPr>
              <w:t xml:space="preserve">Other </w:t>
            </w:r>
          </w:p>
        </w:tc>
        <w:tc>
          <w:tcPr>
            <w:tcW w:w="250" w:type="pct"/>
            <w:hideMark/>
          </w:tcPr>
          <w:p w14:paraId="6ACA7783" w14:textId="77777777" w:rsidR="00000000" w:rsidRDefault="00EB4933">
            <w:pPr>
              <w:pStyle w:val="NormalWeb"/>
              <w:spacing w:before="0" w:beforeAutospacing="0" w:after="0" w:afterAutospacing="0"/>
              <w:rPr>
                <w:sz w:val="20"/>
                <w:szCs w:val="20"/>
              </w:rPr>
            </w:pPr>
            <w:r>
              <w:rPr>
                <w:rFonts w:ascii="Segoe UI Symbol" w:hAnsi="Segoe UI Symbol" w:cs="Segoe UI Symbol"/>
                <w:sz w:val="20"/>
                <w:szCs w:val="20"/>
              </w:rPr>
              <w:t>☐</w:t>
            </w:r>
          </w:p>
        </w:tc>
      </w:tr>
    </w:tbl>
    <w:p w14:paraId="6631D25C"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205FF1C2" w14:textId="77777777" w:rsidR="00000000" w:rsidRDefault="00EB4933">
      <w:pPr>
        <w:pStyle w:val="NormalWeb"/>
        <w:spacing w:before="0" w:beforeAutospacing="0" w:after="0" w:afterAutospacing="0"/>
        <w:jc w:val="both"/>
        <w:divId w:val="98525094"/>
        <w:rPr>
          <w:sz w:val="20"/>
          <w:szCs w:val="20"/>
        </w:rPr>
      </w:pPr>
      <w:r>
        <w:rPr>
          <w:sz w:val="20"/>
          <w:szCs w:val="20"/>
        </w:rPr>
        <w:t>If “Other” has been checked in response to the previous question, indicate by check mark which financial statement item the registrant has elected to fol</w:t>
      </w:r>
      <w:r>
        <w:rPr>
          <w:sz w:val="20"/>
          <w:szCs w:val="20"/>
        </w:rPr>
        <w:t xml:space="preserve">low. Item 17 </w:t>
      </w:r>
      <w:r>
        <w:rPr>
          <w:rFonts w:ascii="Segoe UI Symbol" w:hAnsi="Segoe UI Symbol" w:cs="Segoe UI Symbol"/>
          <w:sz w:val="20"/>
          <w:szCs w:val="20"/>
        </w:rPr>
        <w:t>☐</w:t>
      </w:r>
      <w:r>
        <w:rPr>
          <w:sz w:val="20"/>
          <w:szCs w:val="20"/>
        </w:rPr>
        <w:t>   </w:t>
      </w:r>
      <w:r>
        <w:rPr>
          <w:sz w:val="20"/>
          <w:szCs w:val="20"/>
        </w:rPr>
        <w:t xml:space="preserve"> Item 18 </w:t>
      </w:r>
      <w:r>
        <w:rPr>
          <w:rFonts w:ascii="Segoe UI Symbol" w:hAnsi="Segoe UI Symbol" w:cs="Segoe UI Symbol"/>
          <w:sz w:val="20"/>
          <w:szCs w:val="20"/>
        </w:rPr>
        <w:t>☐</w:t>
      </w:r>
    </w:p>
    <w:p w14:paraId="1BCA6D4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FCE1EEB" w14:textId="77777777" w:rsidR="00000000" w:rsidRDefault="00EB4933">
      <w:pPr>
        <w:pStyle w:val="NormalWeb"/>
        <w:spacing w:before="0" w:beforeAutospacing="0" w:after="0" w:afterAutospacing="0"/>
        <w:jc w:val="both"/>
        <w:divId w:val="98525094"/>
        <w:rPr>
          <w:sz w:val="20"/>
          <w:szCs w:val="20"/>
        </w:rPr>
      </w:pPr>
      <w:r>
        <w:rPr>
          <w:sz w:val="20"/>
          <w:szCs w:val="20"/>
        </w:rPr>
        <w:t xml:space="preserve">If this is an annual report, indicate by check mark whether the registrant is a shell company (as defined in Rule 12b-2 of the Securities Exchange Act of 1934). Yes </w:t>
      </w:r>
      <w:r>
        <w:rPr>
          <w:rFonts w:ascii="Segoe UI Symbol" w:hAnsi="Segoe UI Symbol" w:cs="Segoe UI Symbol"/>
          <w:sz w:val="20"/>
          <w:szCs w:val="20"/>
        </w:rPr>
        <w:t>☐</w:t>
      </w:r>
      <w:r>
        <w:rPr>
          <w:sz w:val="20"/>
          <w:szCs w:val="20"/>
        </w:rPr>
        <w:t>   </w:t>
      </w:r>
      <w:r>
        <w:rPr>
          <w:sz w:val="20"/>
          <w:szCs w:val="20"/>
        </w:rPr>
        <w:t xml:space="preserve"> No </w:t>
      </w:r>
      <w:r>
        <w:rPr>
          <w:rFonts w:ascii="Segoe UI Symbol" w:hAnsi="Segoe UI Symbol" w:cs="Segoe UI Symbol"/>
          <w:sz w:val="20"/>
          <w:szCs w:val="20"/>
        </w:rPr>
        <w:t>☒</w:t>
      </w:r>
    </w:p>
    <w:p w14:paraId="6185021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6AD7189" w14:textId="77777777" w:rsidR="00000000" w:rsidRDefault="00EB4933">
      <w:pPr>
        <w:pStyle w:val="NormalWeb"/>
        <w:spacing w:before="0" w:beforeAutospacing="0" w:after="0" w:afterAutospacing="0"/>
        <w:jc w:val="center"/>
        <w:divId w:val="98525094"/>
        <w:rPr>
          <w:sz w:val="20"/>
          <w:szCs w:val="20"/>
        </w:rPr>
      </w:pPr>
      <w:r>
        <w:rPr>
          <w:sz w:val="20"/>
          <w:szCs w:val="20"/>
        </w:rPr>
        <w:t xml:space="preserve">(APPLICABLE ONLY TO ISSUERS INVOLVED IN BANKRUPTCY PROCEEDINGS DURING THE PAST </w:t>
      </w:r>
      <w:r>
        <w:rPr>
          <w:sz w:val="20"/>
          <w:szCs w:val="20"/>
        </w:rPr>
        <w:t>FIVE YEARS)</w:t>
      </w:r>
    </w:p>
    <w:p w14:paraId="06E97E6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6A3AD0E" w14:textId="77777777" w:rsidR="00000000" w:rsidRDefault="00EB4933">
      <w:pPr>
        <w:pStyle w:val="NormalWeb"/>
        <w:spacing w:before="0" w:beforeAutospacing="0" w:after="0" w:afterAutospacing="0"/>
        <w:jc w:val="both"/>
        <w:divId w:val="98525094"/>
        <w:rPr>
          <w:sz w:val="20"/>
          <w:szCs w:val="20"/>
        </w:rPr>
      </w:pPr>
      <w:r>
        <w:rPr>
          <w:sz w:val="20"/>
          <w:szCs w:val="20"/>
        </w:rPr>
        <w:t>Indicate by check mark whether the registrant has filed all documents and reports required to be filed by Sections 12, 13 or 15(d) of the Securities Exchange Act of 1934 subsequent to the distribution of securities under a plan confirmed by a</w:t>
      </w:r>
      <w:r>
        <w:rPr>
          <w:sz w:val="20"/>
          <w:szCs w:val="20"/>
        </w:rPr>
        <w:t xml:space="preserve"> court. Yes </w:t>
      </w:r>
      <w:r>
        <w:rPr>
          <w:rFonts w:ascii="Segoe UI Symbol" w:hAnsi="Segoe UI Symbol" w:cs="Segoe UI Symbol"/>
          <w:sz w:val="20"/>
          <w:szCs w:val="20"/>
        </w:rPr>
        <w:t>☐</w:t>
      </w:r>
      <w:r>
        <w:rPr>
          <w:sz w:val="20"/>
          <w:szCs w:val="20"/>
        </w:rPr>
        <w:t>   </w:t>
      </w:r>
      <w:r>
        <w:rPr>
          <w:sz w:val="20"/>
          <w:szCs w:val="20"/>
        </w:rPr>
        <w:t xml:space="preserve"> No </w:t>
      </w:r>
      <w:r>
        <w:rPr>
          <w:rFonts w:ascii="Segoe UI Symbol" w:hAnsi="Segoe UI Symbol" w:cs="Segoe UI Symbol"/>
          <w:sz w:val="20"/>
          <w:szCs w:val="20"/>
        </w:rPr>
        <w:t>☐</w:t>
      </w:r>
    </w:p>
    <w:p w14:paraId="1032D84B"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6879E2EA" w14:textId="77777777">
        <w:trPr>
          <w:divId w:val="98525094"/>
          <w:tblCellSpacing w:w="15" w:type="dxa"/>
        </w:trPr>
        <w:tc>
          <w:tcPr>
            <w:tcW w:w="0" w:type="auto"/>
            <w:tcBorders>
              <w:bottom w:val="single" w:sz="12" w:space="0" w:color="auto"/>
            </w:tcBorders>
            <w:vAlign w:val="center"/>
            <w:hideMark/>
          </w:tcPr>
          <w:p w14:paraId="09A05F6F" w14:textId="77777777" w:rsidR="00000000" w:rsidRDefault="00EB4933">
            <w:pPr>
              <w:rPr>
                <w:sz w:val="20"/>
                <w:szCs w:val="20"/>
              </w:rPr>
            </w:pPr>
          </w:p>
        </w:tc>
      </w:tr>
      <w:tr w:rsidR="00000000" w14:paraId="3BA3F612" w14:textId="77777777">
        <w:trPr>
          <w:divId w:val="98525094"/>
          <w:tblCellSpacing w:w="15" w:type="dxa"/>
        </w:trPr>
        <w:tc>
          <w:tcPr>
            <w:tcW w:w="0" w:type="auto"/>
            <w:tcBorders>
              <w:bottom w:val="single" w:sz="36" w:space="0" w:color="auto"/>
            </w:tcBorders>
            <w:vAlign w:val="center"/>
            <w:hideMark/>
          </w:tcPr>
          <w:p w14:paraId="270310B0" w14:textId="77777777" w:rsidR="00000000" w:rsidRDefault="00EB4933">
            <w:pPr>
              <w:rPr>
                <w:rFonts w:eastAsia="Times New Roman"/>
                <w:sz w:val="20"/>
                <w:szCs w:val="20"/>
              </w:rPr>
            </w:pPr>
          </w:p>
        </w:tc>
      </w:tr>
    </w:tbl>
    <w:p w14:paraId="1C23EAFB" w14:textId="77777777" w:rsidR="00000000" w:rsidRDefault="00EB4933">
      <w:pPr>
        <w:jc w:val="both"/>
        <w:divId w:val="98525094"/>
        <w:rPr>
          <w:rFonts w:eastAsia="Times New Roman"/>
          <w:vanish/>
          <w:sz w:val="20"/>
          <w:szCs w:val="20"/>
        </w:rPr>
      </w:pP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7A37F29" w14:textId="77777777">
        <w:trPr>
          <w:divId w:val="98525094"/>
          <w:trHeight w:val="225"/>
          <w:tblCellSpacing w:w="15" w:type="dxa"/>
        </w:trPr>
        <w:tc>
          <w:tcPr>
            <w:tcW w:w="0" w:type="auto"/>
            <w:vAlign w:val="center"/>
            <w:hideMark/>
          </w:tcPr>
          <w:p w14:paraId="28FA5BE1" w14:textId="77777777" w:rsidR="00000000" w:rsidRDefault="00EB4933">
            <w:pPr>
              <w:rPr>
                <w:rFonts w:eastAsia="Times New Roman"/>
                <w:sz w:val="20"/>
                <w:szCs w:val="20"/>
              </w:rPr>
            </w:pPr>
            <w:r>
              <w:rPr>
                <w:rFonts w:eastAsia="Times New Roman"/>
                <w:sz w:val="20"/>
                <w:szCs w:val="20"/>
              </w:rPr>
              <w:t> </w:t>
            </w:r>
          </w:p>
        </w:tc>
      </w:tr>
      <w:tr w:rsidR="00000000" w14:paraId="569A69D7" w14:textId="77777777">
        <w:trPr>
          <w:divId w:val="98525094"/>
          <w:trHeight w:val="225"/>
          <w:tblCellSpacing w:w="15" w:type="dxa"/>
        </w:trPr>
        <w:tc>
          <w:tcPr>
            <w:tcW w:w="0" w:type="auto"/>
            <w:vAlign w:val="center"/>
            <w:hideMark/>
          </w:tcPr>
          <w:p w14:paraId="4652191E" w14:textId="77777777" w:rsidR="00000000" w:rsidRDefault="00EB4933">
            <w:pPr>
              <w:rPr>
                <w:rFonts w:eastAsia="Times New Roman"/>
                <w:sz w:val="20"/>
                <w:szCs w:val="20"/>
              </w:rPr>
            </w:pPr>
          </w:p>
        </w:tc>
      </w:tr>
      <w:tr w:rsidR="00000000" w14:paraId="02CEBCF5" w14:textId="77777777">
        <w:trPr>
          <w:divId w:val="98525094"/>
          <w:trHeight w:val="225"/>
          <w:tblCellSpacing w:w="15" w:type="dxa"/>
        </w:trPr>
        <w:tc>
          <w:tcPr>
            <w:tcW w:w="0" w:type="auto"/>
            <w:vAlign w:val="center"/>
            <w:hideMark/>
          </w:tcPr>
          <w:p w14:paraId="7CDB440E" w14:textId="77777777" w:rsidR="00000000" w:rsidRDefault="00EB4933">
            <w:pPr>
              <w:rPr>
                <w:rFonts w:eastAsia="Times New Roman"/>
                <w:sz w:val="20"/>
                <w:szCs w:val="20"/>
              </w:rPr>
            </w:pPr>
          </w:p>
        </w:tc>
      </w:tr>
      <w:tr w:rsidR="00000000" w14:paraId="6C0611AE" w14:textId="77777777">
        <w:trPr>
          <w:divId w:val="98525094"/>
          <w:trHeight w:val="225"/>
          <w:tblCellSpacing w:w="15" w:type="dxa"/>
        </w:trPr>
        <w:tc>
          <w:tcPr>
            <w:tcW w:w="0" w:type="auto"/>
            <w:vAlign w:val="center"/>
            <w:hideMark/>
          </w:tcPr>
          <w:p w14:paraId="5033BDD2" w14:textId="77777777" w:rsidR="00000000" w:rsidRDefault="00EB4933">
            <w:pPr>
              <w:rPr>
                <w:rFonts w:eastAsia="Times New Roman"/>
                <w:sz w:val="20"/>
                <w:szCs w:val="20"/>
              </w:rPr>
            </w:pPr>
            <w:r>
              <w:rPr>
                <w:rFonts w:eastAsia="Times New Roman"/>
                <w:sz w:val="20"/>
                <w:szCs w:val="20"/>
              </w:rPr>
              <w:t> </w:t>
            </w:r>
          </w:p>
        </w:tc>
      </w:tr>
    </w:tbl>
    <w:p w14:paraId="3FE142B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FCA1052" w14:textId="77777777" w:rsidR="00000000" w:rsidRDefault="00EB4933">
      <w:pPr>
        <w:pStyle w:val="NormalWeb"/>
        <w:spacing w:before="0" w:beforeAutospacing="0" w:after="0" w:afterAutospacing="0"/>
        <w:jc w:val="center"/>
        <w:divId w:val="98525094"/>
        <w:rPr>
          <w:sz w:val="20"/>
          <w:szCs w:val="20"/>
        </w:rPr>
      </w:pPr>
      <w:bookmarkStart w:id="0" w:name="toc"/>
      <w:r>
        <w:rPr>
          <w:rStyle w:val="Strong"/>
          <w:sz w:val="20"/>
          <w:szCs w:val="20"/>
        </w:rPr>
        <w:t>TABLE OF CONTENTS</w:t>
      </w:r>
      <w:bookmarkEnd w:id="0"/>
    </w:p>
    <w:p w14:paraId="45E0F474"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871"/>
        <w:gridCol w:w="7374"/>
        <w:gridCol w:w="122"/>
        <w:gridCol w:w="856"/>
        <w:gridCol w:w="137"/>
      </w:tblGrid>
      <w:tr w:rsidR="00000000" w14:paraId="565D7CF9" w14:textId="77777777">
        <w:trPr>
          <w:divId w:val="98525094"/>
          <w:trHeight w:val="225"/>
          <w:tblCellSpacing w:w="15" w:type="dxa"/>
        </w:trPr>
        <w:tc>
          <w:tcPr>
            <w:tcW w:w="0" w:type="auto"/>
            <w:gridSpan w:val="2"/>
            <w:shd w:val="clear" w:color="auto" w:fill="CCEEFF"/>
            <w:hideMark/>
          </w:tcPr>
          <w:p w14:paraId="620ED7BC" w14:textId="77777777" w:rsidR="00000000" w:rsidRDefault="00EB4933">
            <w:pPr>
              <w:pStyle w:val="NormalWeb"/>
              <w:spacing w:before="0" w:beforeAutospacing="0" w:after="0" w:afterAutospacing="0"/>
              <w:rPr>
                <w:sz w:val="20"/>
                <w:szCs w:val="20"/>
              </w:rPr>
            </w:pPr>
            <w:hyperlink r:id="rId4" w:anchor="CONVENTIONS" w:history="1">
              <w:r>
                <w:rPr>
                  <w:rStyle w:val="Hyperlink"/>
                  <w:sz w:val="20"/>
                  <w:szCs w:val="20"/>
                </w:rPr>
                <w:t>CONVENTIONS THAT APPLY TO THIS ANNUAL REPORT</w:t>
              </w:r>
            </w:hyperlink>
          </w:p>
        </w:tc>
        <w:tc>
          <w:tcPr>
            <w:tcW w:w="0" w:type="auto"/>
            <w:shd w:val="clear" w:color="auto" w:fill="CCEEFF"/>
            <w:vAlign w:val="center"/>
            <w:hideMark/>
          </w:tcPr>
          <w:p w14:paraId="6E774014"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6FE237F9" w14:textId="77777777" w:rsidR="00000000" w:rsidRDefault="00EB4933">
            <w:pPr>
              <w:pStyle w:val="NormalWeb"/>
              <w:spacing w:before="0" w:beforeAutospacing="0" w:after="0" w:afterAutospacing="0"/>
              <w:jc w:val="right"/>
              <w:rPr>
                <w:sz w:val="20"/>
                <w:szCs w:val="20"/>
              </w:rPr>
            </w:pPr>
            <w:r>
              <w:rPr>
                <w:sz w:val="20"/>
                <w:szCs w:val="20"/>
              </w:rPr>
              <w:t>4</w:t>
            </w:r>
          </w:p>
        </w:tc>
        <w:tc>
          <w:tcPr>
            <w:tcW w:w="0" w:type="auto"/>
            <w:shd w:val="clear" w:color="auto" w:fill="CCEEFF"/>
            <w:vAlign w:val="center"/>
            <w:hideMark/>
          </w:tcPr>
          <w:p w14:paraId="548A3D46" w14:textId="77777777" w:rsidR="00000000" w:rsidRDefault="00EB4933">
            <w:pPr>
              <w:rPr>
                <w:sz w:val="20"/>
                <w:szCs w:val="20"/>
              </w:rPr>
            </w:pPr>
          </w:p>
        </w:tc>
      </w:tr>
      <w:tr w:rsidR="00000000" w14:paraId="3E70E113" w14:textId="77777777">
        <w:trPr>
          <w:divId w:val="98525094"/>
          <w:trHeight w:val="225"/>
          <w:tblCellSpacing w:w="15" w:type="dxa"/>
        </w:trPr>
        <w:tc>
          <w:tcPr>
            <w:tcW w:w="0" w:type="auto"/>
            <w:gridSpan w:val="2"/>
            <w:shd w:val="clear" w:color="auto" w:fill="FFFFFF"/>
            <w:vAlign w:val="center"/>
            <w:hideMark/>
          </w:tcPr>
          <w:p w14:paraId="5B902E6D"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55200DC"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5F7DC06"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0C0C5CB" w14:textId="77777777" w:rsidR="00000000" w:rsidRDefault="00EB4933">
            <w:pPr>
              <w:pStyle w:val="NormalWeb"/>
              <w:spacing w:before="0" w:beforeAutospacing="0" w:after="0" w:afterAutospacing="0"/>
              <w:jc w:val="right"/>
              <w:rPr>
                <w:sz w:val="20"/>
                <w:szCs w:val="20"/>
              </w:rPr>
            </w:pPr>
            <w:r>
              <w:rPr>
                <w:sz w:val="20"/>
                <w:szCs w:val="20"/>
              </w:rPr>
              <w:t> </w:t>
            </w:r>
          </w:p>
        </w:tc>
      </w:tr>
      <w:tr w:rsidR="00000000" w14:paraId="1149683E" w14:textId="77777777">
        <w:trPr>
          <w:divId w:val="98525094"/>
          <w:trHeight w:val="225"/>
          <w:tblCellSpacing w:w="15" w:type="dxa"/>
        </w:trPr>
        <w:tc>
          <w:tcPr>
            <w:tcW w:w="0" w:type="auto"/>
            <w:gridSpan w:val="2"/>
            <w:shd w:val="clear" w:color="auto" w:fill="CCEEFF"/>
            <w:hideMark/>
          </w:tcPr>
          <w:p w14:paraId="0B777810" w14:textId="77777777" w:rsidR="00000000" w:rsidRDefault="00EB4933">
            <w:pPr>
              <w:pStyle w:val="NormalWeb"/>
              <w:spacing w:before="0" w:beforeAutospacing="0" w:after="0" w:afterAutospacing="0"/>
              <w:rPr>
                <w:sz w:val="20"/>
                <w:szCs w:val="20"/>
              </w:rPr>
            </w:pPr>
            <w:hyperlink r:id="rId5" w:anchor="FORWARD" w:history="1">
              <w:r>
                <w:rPr>
                  <w:rStyle w:val="Hyperlink"/>
                  <w:sz w:val="20"/>
                  <w:szCs w:val="20"/>
                </w:rPr>
                <w:t>FORWARD-LOOKING STATEMENTS</w:t>
              </w:r>
            </w:hyperlink>
          </w:p>
        </w:tc>
        <w:tc>
          <w:tcPr>
            <w:tcW w:w="0" w:type="auto"/>
            <w:shd w:val="clear" w:color="auto" w:fill="CCEEFF"/>
            <w:vAlign w:val="center"/>
            <w:hideMark/>
          </w:tcPr>
          <w:p w14:paraId="0145AF58"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696478EA" w14:textId="77777777" w:rsidR="00000000" w:rsidRDefault="00EB4933">
            <w:pPr>
              <w:pStyle w:val="NormalWeb"/>
              <w:spacing w:before="0" w:beforeAutospacing="0" w:after="0" w:afterAutospacing="0"/>
              <w:jc w:val="right"/>
              <w:rPr>
                <w:sz w:val="20"/>
                <w:szCs w:val="20"/>
              </w:rPr>
            </w:pPr>
            <w:r>
              <w:rPr>
                <w:sz w:val="20"/>
                <w:szCs w:val="20"/>
              </w:rPr>
              <w:t>6</w:t>
            </w:r>
          </w:p>
        </w:tc>
        <w:tc>
          <w:tcPr>
            <w:tcW w:w="0" w:type="auto"/>
            <w:shd w:val="clear" w:color="auto" w:fill="CCEEFF"/>
            <w:vAlign w:val="center"/>
            <w:hideMark/>
          </w:tcPr>
          <w:p w14:paraId="4E7FA0D2" w14:textId="77777777" w:rsidR="00000000" w:rsidRDefault="00EB4933">
            <w:pPr>
              <w:rPr>
                <w:sz w:val="20"/>
                <w:szCs w:val="20"/>
              </w:rPr>
            </w:pPr>
          </w:p>
        </w:tc>
      </w:tr>
      <w:tr w:rsidR="00000000" w14:paraId="292EC8F4" w14:textId="77777777">
        <w:trPr>
          <w:divId w:val="98525094"/>
          <w:trHeight w:val="225"/>
          <w:tblCellSpacing w:w="15" w:type="dxa"/>
        </w:trPr>
        <w:tc>
          <w:tcPr>
            <w:tcW w:w="450" w:type="pct"/>
            <w:shd w:val="clear" w:color="auto" w:fill="FFFFFF"/>
            <w:vAlign w:val="center"/>
            <w:hideMark/>
          </w:tcPr>
          <w:p w14:paraId="4830BEBB"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111EC3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779FE37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BE6B5EE" w14:textId="77777777" w:rsidR="00000000" w:rsidRDefault="00EB4933">
            <w:pPr>
              <w:pStyle w:val="NormalWeb"/>
              <w:spacing w:before="0" w:beforeAutospacing="0" w:after="0" w:afterAutospacing="0"/>
              <w:jc w:val="right"/>
              <w:rPr>
                <w:sz w:val="20"/>
                <w:szCs w:val="20"/>
              </w:rPr>
            </w:pPr>
            <w:r>
              <w:rPr>
                <w:sz w:val="20"/>
                <w:szCs w:val="20"/>
              </w:rPr>
              <w:t> </w:t>
            </w:r>
          </w:p>
        </w:tc>
        <w:tc>
          <w:tcPr>
            <w:tcW w:w="50" w:type="pct"/>
            <w:shd w:val="clear" w:color="auto" w:fill="FFFFFF"/>
            <w:vAlign w:val="center"/>
            <w:hideMark/>
          </w:tcPr>
          <w:p w14:paraId="6CDE59FA" w14:textId="77777777" w:rsidR="00000000" w:rsidRDefault="00EB4933">
            <w:pPr>
              <w:pStyle w:val="NormalWeb"/>
              <w:spacing w:before="0" w:beforeAutospacing="0" w:after="0" w:afterAutospacing="0"/>
              <w:rPr>
                <w:sz w:val="20"/>
                <w:szCs w:val="20"/>
              </w:rPr>
            </w:pPr>
            <w:r>
              <w:rPr>
                <w:sz w:val="20"/>
                <w:szCs w:val="20"/>
              </w:rPr>
              <w:t> </w:t>
            </w:r>
          </w:p>
        </w:tc>
      </w:tr>
      <w:tr w:rsidR="00000000" w14:paraId="1735709E" w14:textId="77777777">
        <w:trPr>
          <w:divId w:val="98525094"/>
          <w:trHeight w:val="225"/>
          <w:tblCellSpacing w:w="15" w:type="dxa"/>
        </w:trPr>
        <w:tc>
          <w:tcPr>
            <w:tcW w:w="0" w:type="auto"/>
            <w:shd w:val="clear" w:color="auto" w:fill="FFFFFF"/>
            <w:hideMark/>
          </w:tcPr>
          <w:p w14:paraId="02DFF94F" w14:textId="77777777" w:rsidR="00000000" w:rsidRDefault="00EB4933">
            <w:pPr>
              <w:pStyle w:val="NormalWeb"/>
              <w:spacing w:before="0" w:beforeAutospacing="0" w:after="0" w:afterAutospacing="0"/>
              <w:rPr>
                <w:sz w:val="20"/>
                <w:szCs w:val="20"/>
              </w:rPr>
            </w:pPr>
            <w:hyperlink r:id="rId6" w:anchor="p1" w:history="1">
              <w:r>
                <w:rPr>
                  <w:rStyle w:val="Hyperlink"/>
                  <w:sz w:val="20"/>
                  <w:szCs w:val="20"/>
                </w:rPr>
                <w:t>PART I</w:t>
              </w:r>
            </w:hyperlink>
          </w:p>
        </w:tc>
        <w:tc>
          <w:tcPr>
            <w:tcW w:w="0" w:type="auto"/>
            <w:shd w:val="clear" w:color="auto" w:fill="FFFFFF"/>
            <w:vAlign w:val="center"/>
            <w:hideMark/>
          </w:tcPr>
          <w:p w14:paraId="656BF5CF"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9C1E32F"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E3582E1" w14:textId="77777777" w:rsidR="00000000" w:rsidRDefault="00EB4933">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05EAAE82" w14:textId="77777777" w:rsidR="00000000" w:rsidRDefault="00EB4933">
            <w:pPr>
              <w:pStyle w:val="NormalWeb"/>
              <w:spacing w:before="0" w:beforeAutospacing="0" w:after="0" w:afterAutospacing="0"/>
              <w:rPr>
                <w:sz w:val="20"/>
                <w:szCs w:val="20"/>
              </w:rPr>
            </w:pPr>
            <w:r>
              <w:rPr>
                <w:sz w:val="20"/>
                <w:szCs w:val="20"/>
              </w:rPr>
              <w:t> </w:t>
            </w:r>
          </w:p>
        </w:tc>
      </w:tr>
      <w:tr w:rsidR="00000000" w14:paraId="05493634" w14:textId="77777777">
        <w:trPr>
          <w:divId w:val="98525094"/>
          <w:trHeight w:val="225"/>
          <w:tblCellSpacing w:w="15" w:type="dxa"/>
        </w:trPr>
        <w:tc>
          <w:tcPr>
            <w:tcW w:w="0" w:type="auto"/>
            <w:shd w:val="clear" w:color="auto" w:fill="FFFFFF"/>
            <w:vAlign w:val="center"/>
            <w:hideMark/>
          </w:tcPr>
          <w:p w14:paraId="782E2A7F"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E2146D2"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DA6A35A"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CD5B551"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D99EDEC" w14:textId="77777777" w:rsidR="00000000" w:rsidRDefault="00EB4933">
            <w:pPr>
              <w:pStyle w:val="NormalWeb"/>
              <w:spacing w:before="0" w:beforeAutospacing="0" w:after="0" w:afterAutospacing="0"/>
              <w:rPr>
                <w:sz w:val="20"/>
                <w:szCs w:val="20"/>
              </w:rPr>
            </w:pPr>
            <w:r>
              <w:rPr>
                <w:sz w:val="20"/>
                <w:szCs w:val="20"/>
              </w:rPr>
              <w:t> </w:t>
            </w:r>
          </w:p>
        </w:tc>
      </w:tr>
      <w:tr w:rsidR="00000000" w14:paraId="054D002F" w14:textId="77777777">
        <w:trPr>
          <w:divId w:val="98525094"/>
          <w:trHeight w:val="225"/>
          <w:tblCellSpacing w:w="15" w:type="dxa"/>
        </w:trPr>
        <w:tc>
          <w:tcPr>
            <w:tcW w:w="0" w:type="auto"/>
            <w:shd w:val="clear" w:color="auto" w:fill="CCEEFF"/>
            <w:hideMark/>
          </w:tcPr>
          <w:p w14:paraId="64B11698" w14:textId="77777777" w:rsidR="00000000" w:rsidRDefault="00EB4933">
            <w:pPr>
              <w:pStyle w:val="NormalWeb"/>
              <w:spacing w:before="0" w:beforeAutospacing="0" w:after="0" w:afterAutospacing="0"/>
              <w:rPr>
                <w:sz w:val="20"/>
                <w:szCs w:val="20"/>
              </w:rPr>
            </w:pPr>
            <w:hyperlink r:id="rId7" w:anchor="i1" w:history="1">
              <w:r>
                <w:rPr>
                  <w:rStyle w:val="Hyperlink"/>
                  <w:sz w:val="20"/>
                  <w:szCs w:val="20"/>
                </w:rPr>
                <w:t>Item 1.</w:t>
              </w:r>
            </w:hyperlink>
          </w:p>
        </w:tc>
        <w:tc>
          <w:tcPr>
            <w:tcW w:w="0" w:type="auto"/>
            <w:shd w:val="clear" w:color="auto" w:fill="CCEEFF"/>
            <w:hideMark/>
          </w:tcPr>
          <w:p w14:paraId="78BCBDC6" w14:textId="77777777" w:rsidR="00000000" w:rsidRDefault="00EB4933">
            <w:pPr>
              <w:pStyle w:val="NormalWeb"/>
              <w:spacing w:before="0" w:beforeAutospacing="0" w:after="0" w:afterAutospacing="0"/>
              <w:rPr>
                <w:sz w:val="20"/>
                <w:szCs w:val="20"/>
              </w:rPr>
            </w:pPr>
            <w:hyperlink r:id="rId8" w:anchor="i1" w:history="1">
              <w:r>
                <w:rPr>
                  <w:rStyle w:val="Hyperlink"/>
                  <w:sz w:val="20"/>
                  <w:szCs w:val="20"/>
                </w:rPr>
                <w:t>Identity of Directors, Senior Management and Advisers</w:t>
              </w:r>
            </w:hyperlink>
          </w:p>
        </w:tc>
        <w:tc>
          <w:tcPr>
            <w:tcW w:w="0" w:type="auto"/>
            <w:shd w:val="clear" w:color="auto" w:fill="CCEEFF"/>
            <w:vAlign w:val="center"/>
            <w:hideMark/>
          </w:tcPr>
          <w:p w14:paraId="7BC95F18"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775219D2" w14:textId="77777777" w:rsidR="00000000" w:rsidRDefault="00EB4933">
            <w:pPr>
              <w:pStyle w:val="NormalWeb"/>
              <w:spacing w:before="0" w:beforeAutospacing="0" w:after="0" w:afterAutospacing="0"/>
              <w:jc w:val="right"/>
              <w:rPr>
                <w:sz w:val="20"/>
                <w:szCs w:val="20"/>
              </w:rPr>
            </w:pPr>
            <w:r>
              <w:rPr>
                <w:sz w:val="20"/>
                <w:szCs w:val="20"/>
              </w:rPr>
              <w:t>8</w:t>
            </w:r>
          </w:p>
        </w:tc>
        <w:tc>
          <w:tcPr>
            <w:tcW w:w="0" w:type="auto"/>
            <w:shd w:val="clear" w:color="auto" w:fill="CCEEFF"/>
            <w:vAlign w:val="center"/>
            <w:hideMark/>
          </w:tcPr>
          <w:p w14:paraId="23B5821B" w14:textId="77777777" w:rsidR="00000000" w:rsidRDefault="00EB4933">
            <w:pPr>
              <w:pStyle w:val="NormalWeb"/>
              <w:spacing w:before="0" w:beforeAutospacing="0" w:after="0" w:afterAutospacing="0"/>
              <w:rPr>
                <w:sz w:val="20"/>
                <w:szCs w:val="20"/>
              </w:rPr>
            </w:pPr>
            <w:r>
              <w:rPr>
                <w:sz w:val="20"/>
                <w:szCs w:val="20"/>
              </w:rPr>
              <w:t> </w:t>
            </w:r>
          </w:p>
        </w:tc>
      </w:tr>
      <w:tr w:rsidR="00000000" w14:paraId="28910EDD" w14:textId="77777777">
        <w:trPr>
          <w:divId w:val="98525094"/>
          <w:trHeight w:val="225"/>
          <w:tblCellSpacing w:w="15" w:type="dxa"/>
        </w:trPr>
        <w:tc>
          <w:tcPr>
            <w:tcW w:w="0" w:type="auto"/>
            <w:shd w:val="clear" w:color="auto" w:fill="FFFFFF"/>
            <w:hideMark/>
          </w:tcPr>
          <w:p w14:paraId="760CAB4A" w14:textId="77777777" w:rsidR="00000000" w:rsidRDefault="00EB4933">
            <w:pPr>
              <w:pStyle w:val="NormalWeb"/>
              <w:spacing w:before="0" w:beforeAutospacing="0" w:after="0" w:afterAutospacing="0"/>
              <w:rPr>
                <w:sz w:val="20"/>
                <w:szCs w:val="20"/>
              </w:rPr>
            </w:pPr>
            <w:hyperlink r:id="rId9" w:anchor="i2" w:history="1">
              <w:r>
                <w:rPr>
                  <w:rStyle w:val="Hyperlink"/>
                  <w:sz w:val="20"/>
                  <w:szCs w:val="20"/>
                </w:rPr>
                <w:t>Item 2.</w:t>
              </w:r>
            </w:hyperlink>
          </w:p>
        </w:tc>
        <w:tc>
          <w:tcPr>
            <w:tcW w:w="0" w:type="auto"/>
            <w:shd w:val="clear" w:color="auto" w:fill="FFFFFF"/>
            <w:hideMark/>
          </w:tcPr>
          <w:p w14:paraId="5F143A21" w14:textId="77777777" w:rsidR="00000000" w:rsidRDefault="00EB4933">
            <w:pPr>
              <w:pStyle w:val="NormalWeb"/>
              <w:spacing w:before="0" w:beforeAutospacing="0" w:after="0" w:afterAutospacing="0"/>
              <w:rPr>
                <w:sz w:val="20"/>
                <w:szCs w:val="20"/>
              </w:rPr>
            </w:pPr>
            <w:hyperlink r:id="rId10" w:anchor="i2" w:history="1">
              <w:r>
                <w:rPr>
                  <w:rStyle w:val="Hyperlink"/>
                  <w:sz w:val="20"/>
                  <w:szCs w:val="20"/>
                </w:rPr>
                <w:t>Offer Statistics and Expected Timetable</w:t>
              </w:r>
            </w:hyperlink>
          </w:p>
        </w:tc>
        <w:tc>
          <w:tcPr>
            <w:tcW w:w="0" w:type="auto"/>
            <w:shd w:val="clear" w:color="auto" w:fill="FFFFFF"/>
            <w:vAlign w:val="center"/>
            <w:hideMark/>
          </w:tcPr>
          <w:p w14:paraId="2606F4C2"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73E8781C" w14:textId="77777777" w:rsidR="00000000" w:rsidRDefault="00EB4933">
            <w:pPr>
              <w:pStyle w:val="NormalWeb"/>
              <w:spacing w:before="0" w:beforeAutospacing="0" w:after="0" w:afterAutospacing="0"/>
              <w:jc w:val="right"/>
              <w:rPr>
                <w:sz w:val="20"/>
                <w:szCs w:val="20"/>
              </w:rPr>
            </w:pPr>
            <w:r>
              <w:rPr>
                <w:sz w:val="20"/>
                <w:szCs w:val="20"/>
              </w:rPr>
              <w:t>8</w:t>
            </w:r>
          </w:p>
        </w:tc>
        <w:tc>
          <w:tcPr>
            <w:tcW w:w="0" w:type="auto"/>
            <w:shd w:val="clear" w:color="auto" w:fill="FFFFFF"/>
            <w:vAlign w:val="center"/>
            <w:hideMark/>
          </w:tcPr>
          <w:p w14:paraId="3854CEDF" w14:textId="77777777" w:rsidR="00000000" w:rsidRDefault="00EB4933">
            <w:pPr>
              <w:pStyle w:val="NormalWeb"/>
              <w:spacing w:before="0" w:beforeAutospacing="0" w:after="0" w:afterAutospacing="0"/>
              <w:rPr>
                <w:sz w:val="20"/>
                <w:szCs w:val="20"/>
              </w:rPr>
            </w:pPr>
            <w:r>
              <w:rPr>
                <w:sz w:val="20"/>
                <w:szCs w:val="20"/>
              </w:rPr>
              <w:t> </w:t>
            </w:r>
          </w:p>
        </w:tc>
      </w:tr>
      <w:tr w:rsidR="00000000" w14:paraId="4619AED2" w14:textId="77777777">
        <w:trPr>
          <w:divId w:val="98525094"/>
          <w:trHeight w:val="225"/>
          <w:tblCellSpacing w:w="15" w:type="dxa"/>
        </w:trPr>
        <w:tc>
          <w:tcPr>
            <w:tcW w:w="0" w:type="auto"/>
            <w:shd w:val="clear" w:color="auto" w:fill="CCEEFF"/>
            <w:hideMark/>
          </w:tcPr>
          <w:p w14:paraId="5FF4038F" w14:textId="77777777" w:rsidR="00000000" w:rsidRDefault="00EB4933">
            <w:pPr>
              <w:pStyle w:val="NormalWeb"/>
              <w:spacing w:before="0" w:beforeAutospacing="0" w:after="0" w:afterAutospacing="0"/>
              <w:rPr>
                <w:sz w:val="20"/>
                <w:szCs w:val="20"/>
              </w:rPr>
            </w:pPr>
            <w:hyperlink r:id="rId11" w:anchor="i3" w:history="1">
              <w:r>
                <w:rPr>
                  <w:rStyle w:val="Hyperlink"/>
                  <w:sz w:val="20"/>
                  <w:szCs w:val="20"/>
                </w:rPr>
                <w:t>Item 3.</w:t>
              </w:r>
            </w:hyperlink>
          </w:p>
        </w:tc>
        <w:tc>
          <w:tcPr>
            <w:tcW w:w="0" w:type="auto"/>
            <w:shd w:val="clear" w:color="auto" w:fill="CCEEFF"/>
            <w:hideMark/>
          </w:tcPr>
          <w:p w14:paraId="2F396588" w14:textId="77777777" w:rsidR="00000000" w:rsidRDefault="00EB4933">
            <w:pPr>
              <w:pStyle w:val="NormalWeb"/>
              <w:spacing w:before="0" w:beforeAutospacing="0" w:after="0" w:afterAutospacing="0"/>
              <w:rPr>
                <w:sz w:val="20"/>
                <w:szCs w:val="20"/>
              </w:rPr>
            </w:pPr>
            <w:hyperlink r:id="rId12" w:anchor="i3" w:history="1">
              <w:r>
                <w:rPr>
                  <w:rStyle w:val="Hyperlink"/>
                  <w:sz w:val="20"/>
                  <w:szCs w:val="20"/>
                </w:rPr>
                <w:t>Key Information</w:t>
              </w:r>
            </w:hyperlink>
          </w:p>
        </w:tc>
        <w:tc>
          <w:tcPr>
            <w:tcW w:w="0" w:type="auto"/>
            <w:shd w:val="clear" w:color="auto" w:fill="CCEEFF"/>
            <w:vAlign w:val="center"/>
            <w:hideMark/>
          </w:tcPr>
          <w:p w14:paraId="47F8F16A"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345255A3" w14:textId="77777777" w:rsidR="00000000" w:rsidRDefault="00EB4933">
            <w:pPr>
              <w:pStyle w:val="NormalWeb"/>
              <w:spacing w:before="0" w:beforeAutospacing="0" w:after="0" w:afterAutospacing="0"/>
              <w:jc w:val="right"/>
              <w:rPr>
                <w:sz w:val="20"/>
                <w:szCs w:val="20"/>
              </w:rPr>
            </w:pPr>
            <w:r>
              <w:rPr>
                <w:sz w:val="20"/>
                <w:szCs w:val="20"/>
              </w:rPr>
              <w:t>8</w:t>
            </w:r>
          </w:p>
        </w:tc>
        <w:tc>
          <w:tcPr>
            <w:tcW w:w="0" w:type="auto"/>
            <w:shd w:val="clear" w:color="auto" w:fill="CCEEFF"/>
            <w:vAlign w:val="center"/>
            <w:hideMark/>
          </w:tcPr>
          <w:p w14:paraId="55AC17CB" w14:textId="77777777" w:rsidR="00000000" w:rsidRDefault="00EB4933">
            <w:pPr>
              <w:pStyle w:val="NormalWeb"/>
              <w:spacing w:before="0" w:beforeAutospacing="0" w:after="0" w:afterAutospacing="0"/>
              <w:rPr>
                <w:sz w:val="20"/>
                <w:szCs w:val="20"/>
              </w:rPr>
            </w:pPr>
            <w:r>
              <w:rPr>
                <w:sz w:val="20"/>
                <w:szCs w:val="20"/>
              </w:rPr>
              <w:t> </w:t>
            </w:r>
          </w:p>
        </w:tc>
      </w:tr>
      <w:tr w:rsidR="00000000" w14:paraId="2622343E" w14:textId="77777777">
        <w:trPr>
          <w:divId w:val="98525094"/>
          <w:trHeight w:val="225"/>
          <w:tblCellSpacing w:w="15" w:type="dxa"/>
        </w:trPr>
        <w:tc>
          <w:tcPr>
            <w:tcW w:w="0" w:type="auto"/>
            <w:shd w:val="clear" w:color="auto" w:fill="FFFFFF"/>
            <w:hideMark/>
          </w:tcPr>
          <w:p w14:paraId="62549397" w14:textId="77777777" w:rsidR="00000000" w:rsidRDefault="00EB4933">
            <w:pPr>
              <w:pStyle w:val="NormalWeb"/>
              <w:spacing w:before="0" w:beforeAutospacing="0" w:after="0" w:afterAutospacing="0"/>
              <w:rPr>
                <w:sz w:val="20"/>
                <w:szCs w:val="20"/>
              </w:rPr>
            </w:pPr>
            <w:hyperlink r:id="rId13" w:anchor="i4" w:history="1">
              <w:r>
                <w:rPr>
                  <w:rStyle w:val="Hyperlink"/>
                  <w:sz w:val="20"/>
                  <w:szCs w:val="20"/>
                </w:rPr>
                <w:t>Item 4.</w:t>
              </w:r>
            </w:hyperlink>
          </w:p>
        </w:tc>
        <w:tc>
          <w:tcPr>
            <w:tcW w:w="0" w:type="auto"/>
            <w:shd w:val="clear" w:color="auto" w:fill="FFFFFF"/>
            <w:hideMark/>
          </w:tcPr>
          <w:p w14:paraId="61AEF7DF" w14:textId="77777777" w:rsidR="00000000" w:rsidRDefault="00EB4933">
            <w:pPr>
              <w:pStyle w:val="NormalWeb"/>
              <w:spacing w:before="0" w:beforeAutospacing="0" w:after="0" w:afterAutospacing="0"/>
              <w:rPr>
                <w:sz w:val="20"/>
                <w:szCs w:val="20"/>
              </w:rPr>
            </w:pPr>
            <w:hyperlink r:id="rId14" w:anchor="i4" w:history="1">
              <w:r>
                <w:rPr>
                  <w:rStyle w:val="Hyperlink"/>
                  <w:sz w:val="20"/>
                  <w:szCs w:val="20"/>
                </w:rPr>
                <w:t>Information on the Company</w:t>
              </w:r>
            </w:hyperlink>
          </w:p>
        </w:tc>
        <w:tc>
          <w:tcPr>
            <w:tcW w:w="0" w:type="auto"/>
            <w:shd w:val="clear" w:color="auto" w:fill="FFFFFF"/>
            <w:vAlign w:val="center"/>
            <w:hideMark/>
          </w:tcPr>
          <w:p w14:paraId="1068150F"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03FC9B46" w14:textId="77777777" w:rsidR="00000000" w:rsidRDefault="00EB4933">
            <w:pPr>
              <w:pStyle w:val="NormalWeb"/>
              <w:spacing w:before="0" w:beforeAutospacing="0" w:after="0" w:afterAutospacing="0"/>
              <w:jc w:val="right"/>
              <w:rPr>
                <w:sz w:val="20"/>
                <w:szCs w:val="20"/>
              </w:rPr>
            </w:pPr>
            <w:r>
              <w:rPr>
                <w:sz w:val="20"/>
                <w:szCs w:val="20"/>
              </w:rPr>
              <w:t>39</w:t>
            </w:r>
          </w:p>
        </w:tc>
        <w:tc>
          <w:tcPr>
            <w:tcW w:w="0" w:type="auto"/>
            <w:shd w:val="clear" w:color="auto" w:fill="FFFFFF"/>
            <w:vAlign w:val="center"/>
            <w:hideMark/>
          </w:tcPr>
          <w:p w14:paraId="0CDD7019" w14:textId="77777777" w:rsidR="00000000" w:rsidRDefault="00EB4933">
            <w:pPr>
              <w:pStyle w:val="NormalWeb"/>
              <w:spacing w:before="0" w:beforeAutospacing="0" w:after="0" w:afterAutospacing="0"/>
              <w:rPr>
                <w:sz w:val="20"/>
                <w:szCs w:val="20"/>
              </w:rPr>
            </w:pPr>
            <w:r>
              <w:rPr>
                <w:sz w:val="20"/>
                <w:szCs w:val="20"/>
              </w:rPr>
              <w:t> </w:t>
            </w:r>
          </w:p>
        </w:tc>
      </w:tr>
      <w:tr w:rsidR="00000000" w14:paraId="00AB9C8A" w14:textId="77777777">
        <w:trPr>
          <w:divId w:val="98525094"/>
          <w:trHeight w:val="225"/>
          <w:tblCellSpacing w:w="15" w:type="dxa"/>
        </w:trPr>
        <w:tc>
          <w:tcPr>
            <w:tcW w:w="0" w:type="auto"/>
            <w:shd w:val="clear" w:color="auto" w:fill="CCEEFF"/>
            <w:hideMark/>
          </w:tcPr>
          <w:p w14:paraId="093AFB1B" w14:textId="77777777" w:rsidR="00000000" w:rsidRDefault="00EB4933">
            <w:pPr>
              <w:pStyle w:val="NormalWeb"/>
              <w:spacing w:before="0" w:beforeAutospacing="0" w:after="0" w:afterAutospacing="0"/>
              <w:rPr>
                <w:sz w:val="20"/>
                <w:szCs w:val="20"/>
              </w:rPr>
            </w:pPr>
            <w:hyperlink r:id="rId15" w:anchor="i4a" w:history="1">
              <w:r>
                <w:rPr>
                  <w:rStyle w:val="Hyperlink"/>
                  <w:sz w:val="20"/>
                  <w:szCs w:val="20"/>
                </w:rPr>
                <w:t>Item 4A.</w:t>
              </w:r>
            </w:hyperlink>
          </w:p>
        </w:tc>
        <w:tc>
          <w:tcPr>
            <w:tcW w:w="0" w:type="auto"/>
            <w:shd w:val="clear" w:color="auto" w:fill="CCEEFF"/>
            <w:hideMark/>
          </w:tcPr>
          <w:p w14:paraId="36BFE059" w14:textId="77777777" w:rsidR="00000000" w:rsidRDefault="00EB4933">
            <w:pPr>
              <w:pStyle w:val="NormalWeb"/>
              <w:spacing w:before="0" w:beforeAutospacing="0" w:after="0" w:afterAutospacing="0"/>
              <w:rPr>
                <w:sz w:val="20"/>
                <w:szCs w:val="20"/>
              </w:rPr>
            </w:pPr>
            <w:hyperlink r:id="rId16" w:anchor="i4a" w:history="1">
              <w:r>
                <w:rPr>
                  <w:rStyle w:val="Hyperlink"/>
                  <w:sz w:val="20"/>
                  <w:szCs w:val="20"/>
                </w:rPr>
                <w:t>Unresolved Staff Comments</w:t>
              </w:r>
            </w:hyperlink>
          </w:p>
        </w:tc>
        <w:tc>
          <w:tcPr>
            <w:tcW w:w="0" w:type="auto"/>
            <w:shd w:val="clear" w:color="auto" w:fill="CCEEFF"/>
            <w:vAlign w:val="center"/>
            <w:hideMark/>
          </w:tcPr>
          <w:p w14:paraId="7A0E903E"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1BC09988" w14:textId="77777777" w:rsidR="00000000" w:rsidRDefault="00EB4933">
            <w:pPr>
              <w:pStyle w:val="NormalWeb"/>
              <w:spacing w:before="0" w:beforeAutospacing="0" w:after="0" w:afterAutospacing="0"/>
              <w:jc w:val="right"/>
              <w:rPr>
                <w:sz w:val="20"/>
                <w:szCs w:val="20"/>
              </w:rPr>
            </w:pPr>
            <w:r>
              <w:rPr>
                <w:sz w:val="20"/>
                <w:szCs w:val="20"/>
              </w:rPr>
              <w:t>56</w:t>
            </w:r>
          </w:p>
        </w:tc>
        <w:tc>
          <w:tcPr>
            <w:tcW w:w="0" w:type="auto"/>
            <w:shd w:val="clear" w:color="auto" w:fill="CCEEFF"/>
            <w:vAlign w:val="center"/>
            <w:hideMark/>
          </w:tcPr>
          <w:p w14:paraId="46CEA563" w14:textId="77777777" w:rsidR="00000000" w:rsidRDefault="00EB4933">
            <w:pPr>
              <w:pStyle w:val="NormalWeb"/>
              <w:spacing w:before="0" w:beforeAutospacing="0" w:after="0" w:afterAutospacing="0"/>
              <w:rPr>
                <w:sz w:val="20"/>
                <w:szCs w:val="20"/>
              </w:rPr>
            </w:pPr>
            <w:r>
              <w:rPr>
                <w:sz w:val="20"/>
                <w:szCs w:val="20"/>
              </w:rPr>
              <w:t> </w:t>
            </w:r>
          </w:p>
        </w:tc>
      </w:tr>
      <w:tr w:rsidR="00000000" w14:paraId="73404294" w14:textId="77777777">
        <w:trPr>
          <w:divId w:val="98525094"/>
          <w:trHeight w:val="225"/>
          <w:tblCellSpacing w:w="15" w:type="dxa"/>
        </w:trPr>
        <w:tc>
          <w:tcPr>
            <w:tcW w:w="0" w:type="auto"/>
            <w:shd w:val="clear" w:color="auto" w:fill="FFFFFF"/>
            <w:hideMark/>
          </w:tcPr>
          <w:p w14:paraId="52A0F7E1" w14:textId="77777777" w:rsidR="00000000" w:rsidRDefault="00EB4933">
            <w:pPr>
              <w:pStyle w:val="NormalWeb"/>
              <w:spacing w:before="0" w:beforeAutospacing="0" w:after="0" w:afterAutospacing="0"/>
              <w:rPr>
                <w:sz w:val="20"/>
                <w:szCs w:val="20"/>
              </w:rPr>
            </w:pPr>
            <w:hyperlink r:id="rId17" w:anchor="i5" w:history="1">
              <w:r>
                <w:rPr>
                  <w:rStyle w:val="Hyperlink"/>
                  <w:sz w:val="20"/>
                  <w:szCs w:val="20"/>
                </w:rPr>
                <w:t>Item 5.</w:t>
              </w:r>
            </w:hyperlink>
          </w:p>
        </w:tc>
        <w:tc>
          <w:tcPr>
            <w:tcW w:w="0" w:type="auto"/>
            <w:shd w:val="clear" w:color="auto" w:fill="FFFFFF"/>
            <w:hideMark/>
          </w:tcPr>
          <w:p w14:paraId="045250DA" w14:textId="77777777" w:rsidR="00000000" w:rsidRDefault="00EB4933">
            <w:pPr>
              <w:pStyle w:val="NormalWeb"/>
              <w:spacing w:before="0" w:beforeAutospacing="0" w:after="0" w:afterAutospacing="0"/>
              <w:rPr>
                <w:sz w:val="20"/>
                <w:szCs w:val="20"/>
              </w:rPr>
            </w:pPr>
            <w:hyperlink r:id="rId18" w:anchor="i5" w:history="1">
              <w:r>
                <w:rPr>
                  <w:rStyle w:val="Hyperlink"/>
                  <w:sz w:val="20"/>
                  <w:szCs w:val="20"/>
                </w:rPr>
                <w:t>Operating and Financial Review and Prospects</w:t>
              </w:r>
            </w:hyperlink>
          </w:p>
        </w:tc>
        <w:tc>
          <w:tcPr>
            <w:tcW w:w="0" w:type="auto"/>
            <w:shd w:val="clear" w:color="auto" w:fill="FFFFFF"/>
            <w:vAlign w:val="center"/>
            <w:hideMark/>
          </w:tcPr>
          <w:p w14:paraId="64F47F87"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12CD5110" w14:textId="77777777" w:rsidR="00000000" w:rsidRDefault="00EB4933">
            <w:pPr>
              <w:pStyle w:val="NormalWeb"/>
              <w:spacing w:before="0" w:beforeAutospacing="0" w:after="0" w:afterAutospacing="0"/>
              <w:jc w:val="right"/>
              <w:rPr>
                <w:sz w:val="20"/>
                <w:szCs w:val="20"/>
              </w:rPr>
            </w:pPr>
            <w:r>
              <w:rPr>
                <w:sz w:val="20"/>
                <w:szCs w:val="20"/>
              </w:rPr>
              <w:t>56</w:t>
            </w:r>
          </w:p>
        </w:tc>
        <w:tc>
          <w:tcPr>
            <w:tcW w:w="0" w:type="auto"/>
            <w:shd w:val="clear" w:color="auto" w:fill="FFFFFF"/>
            <w:vAlign w:val="center"/>
            <w:hideMark/>
          </w:tcPr>
          <w:p w14:paraId="69AB7F51" w14:textId="77777777" w:rsidR="00000000" w:rsidRDefault="00EB4933">
            <w:pPr>
              <w:pStyle w:val="NormalWeb"/>
              <w:spacing w:before="0" w:beforeAutospacing="0" w:after="0" w:afterAutospacing="0"/>
              <w:rPr>
                <w:sz w:val="20"/>
                <w:szCs w:val="20"/>
              </w:rPr>
            </w:pPr>
            <w:r>
              <w:rPr>
                <w:sz w:val="20"/>
                <w:szCs w:val="20"/>
              </w:rPr>
              <w:t> </w:t>
            </w:r>
          </w:p>
        </w:tc>
      </w:tr>
      <w:tr w:rsidR="00000000" w14:paraId="6C323222" w14:textId="77777777">
        <w:trPr>
          <w:divId w:val="98525094"/>
          <w:trHeight w:val="225"/>
          <w:tblCellSpacing w:w="15" w:type="dxa"/>
        </w:trPr>
        <w:tc>
          <w:tcPr>
            <w:tcW w:w="0" w:type="auto"/>
            <w:shd w:val="clear" w:color="auto" w:fill="CCEEFF"/>
            <w:hideMark/>
          </w:tcPr>
          <w:p w14:paraId="03472726" w14:textId="77777777" w:rsidR="00000000" w:rsidRDefault="00EB4933">
            <w:pPr>
              <w:pStyle w:val="NormalWeb"/>
              <w:spacing w:before="0" w:beforeAutospacing="0" w:after="0" w:afterAutospacing="0"/>
              <w:rPr>
                <w:sz w:val="20"/>
                <w:szCs w:val="20"/>
              </w:rPr>
            </w:pPr>
            <w:hyperlink r:id="rId19" w:anchor="i6" w:history="1">
              <w:r>
                <w:rPr>
                  <w:rStyle w:val="Hyperlink"/>
                  <w:sz w:val="20"/>
                  <w:szCs w:val="20"/>
                </w:rPr>
                <w:t>Item 6.</w:t>
              </w:r>
            </w:hyperlink>
          </w:p>
        </w:tc>
        <w:tc>
          <w:tcPr>
            <w:tcW w:w="0" w:type="auto"/>
            <w:shd w:val="clear" w:color="auto" w:fill="CCEEFF"/>
            <w:hideMark/>
          </w:tcPr>
          <w:p w14:paraId="5BB58830" w14:textId="77777777" w:rsidR="00000000" w:rsidRDefault="00EB4933">
            <w:pPr>
              <w:pStyle w:val="NormalWeb"/>
              <w:spacing w:before="0" w:beforeAutospacing="0" w:after="0" w:afterAutospacing="0"/>
              <w:rPr>
                <w:sz w:val="20"/>
                <w:szCs w:val="20"/>
              </w:rPr>
            </w:pPr>
            <w:hyperlink r:id="rId20" w:anchor="i6" w:history="1">
              <w:r>
                <w:rPr>
                  <w:rStyle w:val="Hyperlink"/>
                  <w:sz w:val="20"/>
                  <w:szCs w:val="20"/>
                </w:rPr>
                <w:t>Directors, Senior Management and Employees</w:t>
              </w:r>
            </w:hyperlink>
          </w:p>
        </w:tc>
        <w:tc>
          <w:tcPr>
            <w:tcW w:w="0" w:type="auto"/>
            <w:shd w:val="clear" w:color="auto" w:fill="CCEEFF"/>
            <w:vAlign w:val="center"/>
            <w:hideMark/>
          </w:tcPr>
          <w:p w14:paraId="5E3679CC"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6AEB6837" w14:textId="77777777" w:rsidR="00000000" w:rsidRDefault="00EB4933">
            <w:pPr>
              <w:pStyle w:val="NormalWeb"/>
              <w:spacing w:before="0" w:beforeAutospacing="0" w:after="0" w:afterAutospacing="0"/>
              <w:jc w:val="right"/>
              <w:rPr>
                <w:sz w:val="20"/>
                <w:szCs w:val="20"/>
              </w:rPr>
            </w:pPr>
            <w:r>
              <w:rPr>
                <w:sz w:val="20"/>
                <w:szCs w:val="20"/>
              </w:rPr>
              <w:t>72</w:t>
            </w:r>
          </w:p>
        </w:tc>
        <w:tc>
          <w:tcPr>
            <w:tcW w:w="0" w:type="auto"/>
            <w:shd w:val="clear" w:color="auto" w:fill="CCEEFF"/>
            <w:vAlign w:val="center"/>
            <w:hideMark/>
          </w:tcPr>
          <w:p w14:paraId="6409EF67" w14:textId="77777777" w:rsidR="00000000" w:rsidRDefault="00EB4933">
            <w:pPr>
              <w:pStyle w:val="NormalWeb"/>
              <w:spacing w:before="0" w:beforeAutospacing="0" w:after="0" w:afterAutospacing="0"/>
              <w:rPr>
                <w:sz w:val="20"/>
                <w:szCs w:val="20"/>
              </w:rPr>
            </w:pPr>
            <w:r>
              <w:rPr>
                <w:sz w:val="20"/>
                <w:szCs w:val="20"/>
              </w:rPr>
              <w:t> </w:t>
            </w:r>
          </w:p>
        </w:tc>
      </w:tr>
      <w:tr w:rsidR="00000000" w14:paraId="07711A51" w14:textId="77777777">
        <w:trPr>
          <w:divId w:val="98525094"/>
          <w:trHeight w:val="225"/>
          <w:tblCellSpacing w:w="15" w:type="dxa"/>
        </w:trPr>
        <w:tc>
          <w:tcPr>
            <w:tcW w:w="0" w:type="auto"/>
            <w:shd w:val="clear" w:color="auto" w:fill="FFFFFF"/>
            <w:hideMark/>
          </w:tcPr>
          <w:p w14:paraId="5CBA3BE2" w14:textId="77777777" w:rsidR="00000000" w:rsidRDefault="00EB4933">
            <w:pPr>
              <w:pStyle w:val="NormalWeb"/>
              <w:spacing w:before="0" w:beforeAutospacing="0" w:after="0" w:afterAutospacing="0"/>
              <w:rPr>
                <w:sz w:val="20"/>
                <w:szCs w:val="20"/>
              </w:rPr>
            </w:pPr>
            <w:hyperlink r:id="rId21" w:anchor="i7" w:history="1">
              <w:r>
                <w:rPr>
                  <w:rStyle w:val="Hyperlink"/>
                  <w:sz w:val="20"/>
                  <w:szCs w:val="20"/>
                </w:rPr>
                <w:t>Item 7.</w:t>
              </w:r>
            </w:hyperlink>
          </w:p>
        </w:tc>
        <w:tc>
          <w:tcPr>
            <w:tcW w:w="0" w:type="auto"/>
            <w:shd w:val="clear" w:color="auto" w:fill="FFFFFF"/>
            <w:hideMark/>
          </w:tcPr>
          <w:p w14:paraId="6F983EEA" w14:textId="77777777" w:rsidR="00000000" w:rsidRDefault="00EB4933">
            <w:pPr>
              <w:pStyle w:val="NormalWeb"/>
              <w:spacing w:before="0" w:beforeAutospacing="0" w:after="0" w:afterAutospacing="0"/>
              <w:rPr>
                <w:sz w:val="20"/>
                <w:szCs w:val="20"/>
              </w:rPr>
            </w:pPr>
            <w:hyperlink r:id="rId22" w:anchor="i7" w:history="1">
              <w:r>
                <w:rPr>
                  <w:rStyle w:val="Hyperlink"/>
                  <w:sz w:val="20"/>
                  <w:szCs w:val="20"/>
                </w:rPr>
                <w:t>Major Shareholders and Related Party Transactions</w:t>
              </w:r>
            </w:hyperlink>
          </w:p>
        </w:tc>
        <w:tc>
          <w:tcPr>
            <w:tcW w:w="0" w:type="auto"/>
            <w:shd w:val="clear" w:color="auto" w:fill="FFFFFF"/>
            <w:vAlign w:val="center"/>
            <w:hideMark/>
          </w:tcPr>
          <w:p w14:paraId="3EB293D7"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63DE6A42" w14:textId="77777777" w:rsidR="00000000" w:rsidRDefault="00EB4933">
            <w:pPr>
              <w:pStyle w:val="NormalWeb"/>
              <w:spacing w:before="0" w:beforeAutospacing="0" w:after="0" w:afterAutospacing="0"/>
              <w:jc w:val="right"/>
              <w:rPr>
                <w:sz w:val="20"/>
                <w:szCs w:val="20"/>
              </w:rPr>
            </w:pPr>
            <w:r>
              <w:rPr>
                <w:sz w:val="20"/>
                <w:szCs w:val="20"/>
              </w:rPr>
              <w:t>81</w:t>
            </w:r>
          </w:p>
        </w:tc>
        <w:tc>
          <w:tcPr>
            <w:tcW w:w="0" w:type="auto"/>
            <w:shd w:val="clear" w:color="auto" w:fill="FFFFFF"/>
            <w:vAlign w:val="center"/>
            <w:hideMark/>
          </w:tcPr>
          <w:p w14:paraId="669F46EF" w14:textId="77777777" w:rsidR="00000000" w:rsidRDefault="00EB4933">
            <w:pPr>
              <w:pStyle w:val="NormalWeb"/>
              <w:spacing w:before="0" w:beforeAutospacing="0" w:after="0" w:afterAutospacing="0"/>
              <w:rPr>
                <w:sz w:val="20"/>
                <w:szCs w:val="20"/>
              </w:rPr>
            </w:pPr>
            <w:r>
              <w:rPr>
                <w:sz w:val="20"/>
                <w:szCs w:val="20"/>
              </w:rPr>
              <w:t> </w:t>
            </w:r>
          </w:p>
        </w:tc>
      </w:tr>
      <w:tr w:rsidR="00000000" w14:paraId="2605F41E" w14:textId="77777777">
        <w:trPr>
          <w:divId w:val="98525094"/>
          <w:trHeight w:val="225"/>
          <w:tblCellSpacing w:w="15" w:type="dxa"/>
        </w:trPr>
        <w:tc>
          <w:tcPr>
            <w:tcW w:w="0" w:type="auto"/>
            <w:shd w:val="clear" w:color="auto" w:fill="CCEEFF"/>
            <w:hideMark/>
          </w:tcPr>
          <w:p w14:paraId="190B4096" w14:textId="77777777" w:rsidR="00000000" w:rsidRDefault="00EB4933">
            <w:pPr>
              <w:pStyle w:val="NormalWeb"/>
              <w:spacing w:before="0" w:beforeAutospacing="0" w:after="0" w:afterAutospacing="0"/>
              <w:rPr>
                <w:sz w:val="20"/>
                <w:szCs w:val="20"/>
              </w:rPr>
            </w:pPr>
            <w:hyperlink r:id="rId23" w:anchor="i8" w:history="1">
              <w:r>
                <w:rPr>
                  <w:rStyle w:val="Hyperlink"/>
                  <w:sz w:val="20"/>
                  <w:szCs w:val="20"/>
                </w:rPr>
                <w:t>Item 8.</w:t>
              </w:r>
            </w:hyperlink>
          </w:p>
        </w:tc>
        <w:tc>
          <w:tcPr>
            <w:tcW w:w="0" w:type="auto"/>
            <w:shd w:val="clear" w:color="auto" w:fill="CCEEFF"/>
            <w:hideMark/>
          </w:tcPr>
          <w:p w14:paraId="5FB985F2" w14:textId="77777777" w:rsidR="00000000" w:rsidRDefault="00EB4933">
            <w:pPr>
              <w:pStyle w:val="NormalWeb"/>
              <w:spacing w:before="0" w:beforeAutospacing="0" w:after="0" w:afterAutospacing="0"/>
              <w:rPr>
                <w:sz w:val="20"/>
                <w:szCs w:val="20"/>
              </w:rPr>
            </w:pPr>
            <w:hyperlink r:id="rId24" w:anchor="i8" w:history="1">
              <w:r>
                <w:rPr>
                  <w:rStyle w:val="Hyperlink"/>
                  <w:sz w:val="20"/>
                  <w:szCs w:val="20"/>
                </w:rPr>
                <w:t>Financial Information</w:t>
              </w:r>
            </w:hyperlink>
          </w:p>
        </w:tc>
        <w:tc>
          <w:tcPr>
            <w:tcW w:w="0" w:type="auto"/>
            <w:shd w:val="clear" w:color="auto" w:fill="CCEEFF"/>
            <w:vAlign w:val="center"/>
            <w:hideMark/>
          </w:tcPr>
          <w:p w14:paraId="6B546B61"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20A8599B" w14:textId="77777777" w:rsidR="00000000" w:rsidRDefault="00EB4933">
            <w:pPr>
              <w:pStyle w:val="NormalWeb"/>
              <w:spacing w:before="0" w:beforeAutospacing="0" w:after="0" w:afterAutospacing="0"/>
              <w:jc w:val="right"/>
              <w:rPr>
                <w:sz w:val="20"/>
                <w:szCs w:val="20"/>
              </w:rPr>
            </w:pPr>
            <w:r>
              <w:rPr>
                <w:sz w:val="20"/>
                <w:szCs w:val="20"/>
              </w:rPr>
              <w:t>86</w:t>
            </w:r>
          </w:p>
        </w:tc>
        <w:tc>
          <w:tcPr>
            <w:tcW w:w="0" w:type="auto"/>
            <w:shd w:val="clear" w:color="auto" w:fill="CCEEFF"/>
            <w:vAlign w:val="center"/>
            <w:hideMark/>
          </w:tcPr>
          <w:p w14:paraId="75826267" w14:textId="77777777" w:rsidR="00000000" w:rsidRDefault="00EB4933">
            <w:pPr>
              <w:pStyle w:val="NormalWeb"/>
              <w:spacing w:before="0" w:beforeAutospacing="0" w:after="0" w:afterAutospacing="0"/>
              <w:rPr>
                <w:sz w:val="20"/>
                <w:szCs w:val="20"/>
              </w:rPr>
            </w:pPr>
            <w:r>
              <w:rPr>
                <w:sz w:val="20"/>
                <w:szCs w:val="20"/>
              </w:rPr>
              <w:t> </w:t>
            </w:r>
          </w:p>
        </w:tc>
      </w:tr>
      <w:tr w:rsidR="00000000" w14:paraId="0192BC73" w14:textId="77777777">
        <w:trPr>
          <w:divId w:val="98525094"/>
          <w:trHeight w:val="225"/>
          <w:tblCellSpacing w:w="15" w:type="dxa"/>
        </w:trPr>
        <w:tc>
          <w:tcPr>
            <w:tcW w:w="0" w:type="auto"/>
            <w:shd w:val="clear" w:color="auto" w:fill="FFFFFF"/>
            <w:hideMark/>
          </w:tcPr>
          <w:p w14:paraId="4D72EF8D" w14:textId="77777777" w:rsidR="00000000" w:rsidRDefault="00EB4933">
            <w:pPr>
              <w:pStyle w:val="NormalWeb"/>
              <w:spacing w:before="0" w:beforeAutospacing="0" w:after="0" w:afterAutospacing="0"/>
              <w:rPr>
                <w:sz w:val="20"/>
                <w:szCs w:val="20"/>
              </w:rPr>
            </w:pPr>
            <w:hyperlink r:id="rId25" w:anchor="i9" w:history="1">
              <w:r>
                <w:rPr>
                  <w:rStyle w:val="Hyperlink"/>
                  <w:sz w:val="20"/>
                  <w:szCs w:val="20"/>
                </w:rPr>
                <w:t>Item 9.</w:t>
              </w:r>
            </w:hyperlink>
          </w:p>
        </w:tc>
        <w:tc>
          <w:tcPr>
            <w:tcW w:w="0" w:type="auto"/>
            <w:shd w:val="clear" w:color="auto" w:fill="FFFFFF"/>
            <w:hideMark/>
          </w:tcPr>
          <w:p w14:paraId="4D5CC718" w14:textId="77777777" w:rsidR="00000000" w:rsidRDefault="00EB4933">
            <w:pPr>
              <w:pStyle w:val="NormalWeb"/>
              <w:spacing w:before="0" w:beforeAutospacing="0" w:after="0" w:afterAutospacing="0"/>
              <w:rPr>
                <w:sz w:val="20"/>
                <w:szCs w:val="20"/>
              </w:rPr>
            </w:pPr>
            <w:hyperlink r:id="rId26" w:anchor="i9" w:history="1">
              <w:r>
                <w:rPr>
                  <w:rStyle w:val="Hyperlink"/>
                  <w:sz w:val="20"/>
                  <w:szCs w:val="20"/>
                </w:rPr>
                <w:t>The Offe</w:t>
              </w:r>
              <w:r>
                <w:rPr>
                  <w:rStyle w:val="Hyperlink"/>
                  <w:sz w:val="20"/>
                  <w:szCs w:val="20"/>
                </w:rPr>
                <w:t>r and Listing</w:t>
              </w:r>
            </w:hyperlink>
          </w:p>
        </w:tc>
        <w:tc>
          <w:tcPr>
            <w:tcW w:w="0" w:type="auto"/>
            <w:shd w:val="clear" w:color="auto" w:fill="FFFFFF"/>
            <w:vAlign w:val="center"/>
            <w:hideMark/>
          </w:tcPr>
          <w:p w14:paraId="7B4EB982"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162FAF9C" w14:textId="77777777" w:rsidR="00000000" w:rsidRDefault="00EB4933">
            <w:pPr>
              <w:pStyle w:val="NormalWeb"/>
              <w:spacing w:before="0" w:beforeAutospacing="0" w:after="0" w:afterAutospacing="0"/>
              <w:jc w:val="right"/>
              <w:rPr>
                <w:sz w:val="20"/>
                <w:szCs w:val="20"/>
              </w:rPr>
            </w:pPr>
            <w:r>
              <w:rPr>
                <w:sz w:val="20"/>
                <w:szCs w:val="20"/>
              </w:rPr>
              <w:t>90</w:t>
            </w:r>
          </w:p>
        </w:tc>
        <w:tc>
          <w:tcPr>
            <w:tcW w:w="0" w:type="auto"/>
            <w:shd w:val="clear" w:color="auto" w:fill="FFFFFF"/>
            <w:vAlign w:val="center"/>
            <w:hideMark/>
          </w:tcPr>
          <w:p w14:paraId="3E709F0E" w14:textId="77777777" w:rsidR="00000000" w:rsidRDefault="00EB4933">
            <w:pPr>
              <w:pStyle w:val="NormalWeb"/>
              <w:spacing w:before="0" w:beforeAutospacing="0" w:after="0" w:afterAutospacing="0"/>
              <w:rPr>
                <w:sz w:val="20"/>
                <w:szCs w:val="20"/>
              </w:rPr>
            </w:pPr>
            <w:r>
              <w:rPr>
                <w:sz w:val="20"/>
                <w:szCs w:val="20"/>
              </w:rPr>
              <w:t> </w:t>
            </w:r>
          </w:p>
        </w:tc>
      </w:tr>
      <w:tr w:rsidR="00000000" w14:paraId="370DE90E" w14:textId="77777777">
        <w:trPr>
          <w:divId w:val="98525094"/>
          <w:trHeight w:val="225"/>
          <w:tblCellSpacing w:w="15" w:type="dxa"/>
        </w:trPr>
        <w:tc>
          <w:tcPr>
            <w:tcW w:w="0" w:type="auto"/>
            <w:shd w:val="clear" w:color="auto" w:fill="CCEEFF"/>
            <w:hideMark/>
          </w:tcPr>
          <w:p w14:paraId="75542B84" w14:textId="77777777" w:rsidR="00000000" w:rsidRDefault="00EB4933">
            <w:pPr>
              <w:pStyle w:val="NormalWeb"/>
              <w:spacing w:before="0" w:beforeAutospacing="0" w:after="0" w:afterAutospacing="0"/>
              <w:rPr>
                <w:sz w:val="20"/>
                <w:szCs w:val="20"/>
              </w:rPr>
            </w:pPr>
            <w:hyperlink r:id="rId27" w:anchor="i10" w:history="1">
              <w:r>
                <w:rPr>
                  <w:rStyle w:val="Hyperlink"/>
                  <w:sz w:val="20"/>
                  <w:szCs w:val="20"/>
                </w:rPr>
                <w:t>Item 10.</w:t>
              </w:r>
            </w:hyperlink>
          </w:p>
        </w:tc>
        <w:tc>
          <w:tcPr>
            <w:tcW w:w="0" w:type="auto"/>
            <w:shd w:val="clear" w:color="auto" w:fill="CCEEFF"/>
            <w:hideMark/>
          </w:tcPr>
          <w:p w14:paraId="39165972" w14:textId="77777777" w:rsidR="00000000" w:rsidRDefault="00EB4933">
            <w:pPr>
              <w:pStyle w:val="NormalWeb"/>
              <w:spacing w:before="0" w:beforeAutospacing="0" w:after="0" w:afterAutospacing="0"/>
              <w:rPr>
                <w:sz w:val="20"/>
                <w:szCs w:val="20"/>
              </w:rPr>
            </w:pPr>
            <w:hyperlink r:id="rId28" w:anchor="i10" w:history="1">
              <w:r>
                <w:rPr>
                  <w:rStyle w:val="Hyperlink"/>
                  <w:sz w:val="20"/>
                  <w:szCs w:val="20"/>
                </w:rPr>
                <w:t>Additional Information</w:t>
              </w:r>
            </w:hyperlink>
          </w:p>
        </w:tc>
        <w:tc>
          <w:tcPr>
            <w:tcW w:w="0" w:type="auto"/>
            <w:shd w:val="clear" w:color="auto" w:fill="CCEEFF"/>
            <w:vAlign w:val="center"/>
            <w:hideMark/>
          </w:tcPr>
          <w:p w14:paraId="29723E69"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1ED10D60" w14:textId="77777777" w:rsidR="00000000" w:rsidRDefault="00EB4933">
            <w:pPr>
              <w:pStyle w:val="NormalWeb"/>
              <w:spacing w:before="0" w:beforeAutospacing="0" w:after="0" w:afterAutospacing="0"/>
              <w:jc w:val="right"/>
              <w:rPr>
                <w:sz w:val="20"/>
                <w:szCs w:val="20"/>
              </w:rPr>
            </w:pPr>
            <w:r>
              <w:rPr>
                <w:sz w:val="20"/>
                <w:szCs w:val="20"/>
              </w:rPr>
              <w:t>91</w:t>
            </w:r>
          </w:p>
        </w:tc>
        <w:tc>
          <w:tcPr>
            <w:tcW w:w="0" w:type="auto"/>
            <w:shd w:val="clear" w:color="auto" w:fill="CCEEFF"/>
            <w:vAlign w:val="center"/>
            <w:hideMark/>
          </w:tcPr>
          <w:p w14:paraId="54FADD70" w14:textId="77777777" w:rsidR="00000000" w:rsidRDefault="00EB4933">
            <w:pPr>
              <w:pStyle w:val="NormalWeb"/>
              <w:spacing w:before="0" w:beforeAutospacing="0" w:after="0" w:afterAutospacing="0"/>
              <w:rPr>
                <w:sz w:val="20"/>
                <w:szCs w:val="20"/>
              </w:rPr>
            </w:pPr>
            <w:r>
              <w:rPr>
                <w:sz w:val="20"/>
                <w:szCs w:val="20"/>
              </w:rPr>
              <w:t> </w:t>
            </w:r>
          </w:p>
        </w:tc>
      </w:tr>
      <w:tr w:rsidR="00000000" w14:paraId="5D495D39" w14:textId="77777777">
        <w:trPr>
          <w:divId w:val="98525094"/>
          <w:trHeight w:val="225"/>
          <w:tblCellSpacing w:w="15" w:type="dxa"/>
        </w:trPr>
        <w:tc>
          <w:tcPr>
            <w:tcW w:w="0" w:type="auto"/>
            <w:shd w:val="clear" w:color="auto" w:fill="FFFFFF"/>
            <w:hideMark/>
          </w:tcPr>
          <w:p w14:paraId="2BB28FFC" w14:textId="77777777" w:rsidR="00000000" w:rsidRDefault="00EB4933">
            <w:pPr>
              <w:pStyle w:val="NormalWeb"/>
              <w:spacing w:before="0" w:beforeAutospacing="0" w:after="0" w:afterAutospacing="0"/>
              <w:rPr>
                <w:sz w:val="20"/>
                <w:szCs w:val="20"/>
              </w:rPr>
            </w:pPr>
            <w:hyperlink r:id="rId29" w:anchor="i11" w:history="1">
              <w:r>
                <w:rPr>
                  <w:rStyle w:val="Hyperlink"/>
                  <w:sz w:val="20"/>
                  <w:szCs w:val="20"/>
                </w:rPr>
                <w:t>Item 11.</w:t>
              </w:r>
            </w:hyperlink>
          </w:p>
        </w:tc>
        <w:tc>
          <w:tcPr>
            <w:tcW w:w="0" w:type="auto"/>
            <w:shd w:val="clear" w:color="auto" w:fill="FFFFFF"/>
            <w:hideMark/>
          </w:tcPr>
          <w:p w14:paraId="7C4A7E7A" w14:textId="77777777" w:rsidR="00000000" w:rsidRDefault="00EB4933">
            <w:pPr>
              <w:pStyle w:val="NormalWeb"/>
              <w:spacing w:before="0" w:beforeAutospacing="0" w:after="0" w:afterAutospacing="0"/>
              <w:rPr>
                <w:sz w:val="20"/>
                <w:szCs w:val="20"/>
              </w:rPr>
            </w:pPr>
            <w:hyperlink r:id="rId30" w:anchor="i11" w:history="1">
              <w:r>
                <w:rPr>
                  <w:rStyle w:val="Hyperlink"/>
                  <w:sz w:val="20"/>
                  <w:szCs w:val="20"/>
                </w:rPr>
                <w:t>Quantitative and Qualitative Disclosure About Market Risk</w:t>
              </w:r>
            </w:hyperlink>
          </w:p>
        </w:tc>
        <w:tc>
          <w:tcPr>
            <w:tcW w:w="0" w:type="auto"/>
            <w:shd w:val="clear" w:color="auto" w:fill="FFFFFF"/>
            <w:vAlign w:val="center"/>
            <w:hideMark/>
          </w:tcPr>
          <w:p w14:paraId="50E2F68B"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2E1925D0" w14:textId="77777777" w:rsidR="00000000" w:rsidRDefault="00EB4933">
            <w:pPr>
              <w:pStyle w:val="NormalWeb"/>
              <w:spacing w:before="0" w:beforeAutospacing="0" w:after="0" w:afterAutospacing="0"/>
              <w:jc w:val="right"/>
              <w:rPr>
                <w:sz w:val="20"/>
                <w:szCs w:val="20"/>
              </w:rPr>
            </w:pPr>
            <w:r>
              <w:rPr>
                <w:sz w:val="20"/>
                <w:szCs w:val="20"/>
              </w:rPr>
              <w:t>100</w:t>
            </w:r>
          </w:p>
        </w:tc>
        <w:tc>
          <w:tcPr>
            <w:tcW w:w="0" w:type="auto"/>
            <w:shd w:val="clear" w:color="auto" w:fill="FFFFFF"/>
            <w:vAlign w:val="center"/>
            <w:hideMark/>
          </w:tcPr>
          <w:p w14:paraId="15CC64F2" w14:textId="77777777" w:rsidR="00000000" w:rsidRDefault="00EB4933">
            <w:pPr>
              <w:pStyle w:val="NormalWeb"/>
              <w:spacing w:before="0" w:beforeAutospacing="0" w:after="0" w:afterAutospacing="0"/>
              <w:rPr>
                <w:sz w:val="20"/>
                <w:szCs w:val="20"/>
              </w:rPr>
            </w:pPr>
            <w:r>
              <w:rPr>
                <w:sz w:val="20"/>
                <w:szCs w:val="20"/>
              </w:rPr>
              <w:t> </w:t>
            </w:r>
          </w:p>
        </w:tc>
      </w:tr>
      <w:tr w:rsidR="00000000" w14:paraId="1D7B49C6" w14:textId="77777777">
        <w:trPr>
          <w:divId w:val="98525094"/>
          <w:trHeight w:val="225"/>
          <w:tblCellSpacing w:w="15" w:type="dxa"/>
        </w:trPr>
        <w:tc>
          <w:tcPr>
            <w:tcW w:w="0" w:type="auto"/>
            <w:shd w:val="clear" w:color="auto" w:fill="CCEEFF"/>
            <w:hideMark/>
          </w:tcPr>
          <w:p w14:paraId="628A2E38" w14:textId="77777777" w:rsidR="00000000" w:rsidRDefault="00EB4933">
            <w:pPr>
              <w:pStyle w:val="NormalWeb"/>
              <w:spacing w:before="0" w:beforeAutospacing="0" w:after="0" w:afterAutospacing="0"/>
              <w:rPr>
                <w:sz w:val="20"/>
                <w:szCs w:val="20"/>
              </w:rPr>
            </w:pPr>
            <w:hyperlink r:id="rId31" w:anchor="i12" w:history="1">
              <w:r>
                <w:rPr>
                  <w:rStyle w:val="Hyperlink"/>
                  <w:sz w:val="20"/>
                  <w:szCs w:val="20"/>
                </w:rPr>
                <w:t>Item 12.</w:t>
              </w:r>
            </w:hyperlink>
          </w:p>
        </w:tc>
        <w:tc>
          <w:tcPr>
            <w:tcW w:w="0" w:type="auto"/>
            <w:shd w:val="clear" w:color="auto" w:fill="CCEEFF"/>
            <w:hideMark/>
          </w:tcPr>
          <w:p w14:paraId="6A1C045D" w14:textId="77777777" w:rsidR="00000000" w:rsidRDefault="00EB4933">
            <w:pPr>
              <w:pStyle w:val="NormalWeb"/>
              <w:spacing w:before="0" w:beforeAutospacing="0" w:after="0" w:afterAutospacing="0"/>
              <w:rPr>
                <w:sz w:val="20"/>
                <w:szCs w:val="20"/>
              </w:rPr>
            </w:pPr>
            <w:hyperlink r:id="rId32" w:anchor="i12" w:history="1">
              <w:r>
                <w:rPr>
                  <w:rStyle w:val="Hyperlink"/>
                  <w:sz w:val="20"/>
                  <w:szCs w:val="20"/>
                </w:rPr>
                <w:t>Description of Securities Other Than Equity Securities</w:t>
              </w:r>
            </w:hyperlink>
          </w:p>
        </w:tc>
        <w:tc>
          <w:tcPr>
            <w:tcW w:w="0" w:type="auto"/>
            <w:shd w:val="clear" w:color="auto" w:fill="CCEEFF"/>
            <w:vAlign w:val="center"/>
            <w:hideMark/>
          </w:tcPr>
          <w:p w14:paraId="4FE064D0"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6E885128" w14:textId="77777777" w:rsidR="00000000" w:rsidRDefault="00EB4933">
            <w:pPr>
              <w:pStyle w:val="NormalWeb"/>
              <w:spacing w:before="0" w:beforeAutospacing="0" w:after="0" w:afterAutospacing="0"/>
              <w:jc w:val="right"/>
              <w:rPr>
                <w:sz w:val="20"/>
                <w:szCs w:val="20"/>
              </w:rPr>
            </w:pPr>
            <w:r>
              <w:rPr>
                <w:sz w:val="20"/>
                <w:szCs w:val="20"/>
              </w:rPr>
              <w:t>101</w:t>
            </w:r>
          </w:p>
        </w:tc>
        <w:tc>
          <w:tcPr>
            <w:tcW w:w="0" w:type="auto"/>
            <w:shd w:val="clear" w:color="auto" w:fill="CCEEFF"/>
            <w:vAlign w:val="center"/>
            <w:hideMark/>
          </w:tcPr>
          <w:p w14:paraId="7E9E6450" w14:textId="77777777" w:rsidR="00000000" w:rsidRDefault="00EB4933">
            <w:pPr>
              <w:pStyle w:val="NormalWeb"/>
              <w:spacing w:before="0" w:beforeAutospacing="0" w:after="0" w:afterAutospacing="0"/>
              <w:rPr>
                <w:sz w:val="20"/>
                <w:szCs w:val="20"/>
              </w:rPr>
            </w:pPr>
            <w:r>
              <w:rPr>
                <w:sz w:val="20"/>
                <w:szCs w:val="20"/>
              </w:rPr>
              <w:t> </w:t>
            </w:r>
          </w:p>
        </w:tc>
      </w:tr>
      <w:tr w:rsidR="00000000" w14:paraId="5B846B58" w14:textId="77777777">
        <w:trPr>
          <w:divId w:val="98525094"/>
          <w:trHeight w:val="225"/>
          <w:tblCellSpacing w:w="15" w:type="dxa"/>
        </w:trPr>
        <w:tc>
          <w:tcPr>
            <w:tcW w:w="0" w:type="auto"/>
            <w:shd w:val="clear" w:color="auto" w:fill="FFFFFF"/>
            <w:vAlign w:val="center"/>
            <w:hideMark/>
          </w:tcPr>
          <w:p w14:paraId="1DC9FC63"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8E41211"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096078C"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6AC3284" w14:textId="77777777" w:rsidR="00000000" w:rsidRDefault="00EB4933">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771AD5AE" w14:textId="77777777" w:rsidR="00000000" w:rsidRDefault="00EB4933">
            <w:pPr>
              <w:pStyle w:val="NormalWeb"/>
              <w:spacing w:before="0" w:beforeAutospacing="0" w:after="0" w:afterAutospacing="0"/>
              <w:rPr>
                <w:sz w:val="20"/>
                <w:szCs w:val="20"/>
              </w:rPr>
            </w:pPr>
            <w:r>
              <w:rPr>
                <w:sz w:val="20"/>
                <w:szCs w:val="20"/>
              </w:rPr>
              <w:t> </w:t>
            </w:r>
          </w:p>
        </w:tc>
      </w:tr>
      <w:tr w:rsidR="00000000" w14:paraId="4FD93627" w14:textId="77777777">
        <w:trPr>
          <w:divId w:val="98525094"/>
          <w:trHeight w:val="225"/>
          <w:tblCellSpacing w:w="15" w:type="dxa"/>
        </w:trPr>
        <w:tc>
          <w:tcPr>
            <w:tcW w:w="0" w:type="auto"/>
            <w:shd w:val="clear" w:color="auto" w:fill="FFFFFF"/>
            <w:hideMark/>
          </w:tcPr>
          <w:p w14:paraId="021707FB" w14:textId="77777777" w:rsidR="00000000" w:rsidRDefault="00EB4933">
            <w:pPr>
              <w:pStyle w:val="NormalWeb"/>
              <w:spacing w:before="0" w:beforeAutospacing="0" w:after="0" w:afterAutospacing="0"/>
              <w:rPr>
                <w:sz w:val="20"/>
                <w:szCs w:val="20"/>
              </w:rPr>
            </w:pPr>
            <w:hyperlink r:id="rId33" w:anchor="p2" w:history="1">
              <w:r>
                <w:rPr>
                  <w:rStyle w:val="Hyperlink"/>
                  <w:sz w:val="20"/>
                  <w:szCs w:val="20"/>
                </w:rPr>
                <w:t>PART II</w:t>
              </w:r>
            </w:hyperlink>
          </w:p>
        </w:tc>
        <w:tc>
          <w:tcPr>
            <w:tcW w:w="0" w:type="auto"/>
            <w:shd w:val="clear" w:color="auto" w:fill="FFFFFF"/>
            <w:vAlign w:val="center"/>
            <w:hideMark/>
          </w:tcPr>
          <w:p w14:paraId="4899E912"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38F3CEB"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3920EAFF" w14:textId="77777777" w:rsidR="00000000" w:rsidRDefault="00EB4933">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3EE41A7E" w14:textId="77777777" w:rsidR="00000000" w:rsidRDefault="00EB4933">
            <w:pPr>
              <w:pStyle w:val="NormalWeb"/>
              <w:spacing w:before="0" w:beforeAutospacing="0" w:after="0" w:afterAutospacing="0"/>
              <w:rPr>
                <w:sz w:val="20"/>
                <w:szCs w:val="20"/>
              </w:rPr>
            </w:pPr>
            <w:r>
              <w:rPr>
                <w:sz w:val="20"/>
                <w:szCs w:val="20"/>
              </w:rPr>
              <w:t> </w:t>
            </w:r>
          </w:p>
        </w:tc>
      </w:tr>
      <w:tr w:rsidR="00000000" w14:paraId="0AE97E0F" w14:textId="77777777">
        <w:trPr>
          <w:divId w:val="98525094"/>
          <w:trHeight w:val="225"/>
          <w:tblCellSpacing w:w="15" w:type="dxa"/>
        </w:trPr>
        <w:tc>
          <w:tcPr>
            <w:tcW w:w="0" w:type="auto"/>
            <w:vAlign w:val="center"/>
            <w:hideMark/>
          </w:tcPr>
          <w:p w14:paraId="5AFF62F6"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12846DAF"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7D707EC7"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5FBC9EF0"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622A46C2" w14:textId="77777777" w:rsidR="00000000" w:rsidRDefault="00EB4933">
            <w:pPr>
              <w:pStyle w:val="NormalWeb"/>
              <w:spacing w:before="0" w:beforeAutospacing="0" w:after="0" w:afterAutospacing="0"/>
              <w:rPr>
                <w:sz w:val="20"/>
                <w:szCs w:val="20"/>
              </w:rPr>
            </w:pPr>
            <w:r>
              <w:rPr>
                <w:sz w:val="20"/>
                <w:szCs w:val="20"/>
              </w:rPr>
              <w:t> </w:t>
            </w:r>
          </w:p>
        </w:tc>
      </w:tr>
      <w:tr w:rsidR="00000000" w14:paraId="23BDB3D5" w14:textId="77777777">
        <w:trPr>
          <w:divId w:val="98525094"/>
          <w:trHeight w:val="225"/>
          <w:tblCellSpacing w:w="15" w:type="dxa"/>
        </w:trPr>
        <w:tc>
          <w:tcPr>
            <w:tcW w:w="0" w:type="auto"/>
            <w:shd w:val="clear" w:color="auto" w:fill="CCEEFF"/>
            <w:hideMark/>
          </w:tcPr>
          <w:p w14:paraId="3A95C969" w14:textId="77777777" w:rsidR="00000000" w:rsidRDefault="00EB4933">
            <w:pPr>
              <w:pStyle w:val="NormalWeb"/>
              <w:spacing w:before="0" w:beforeAutospacing="0" w:after="0" w:afterAutospacing="0"/>
              <w:rPr>
                <w:sz w:val="20"/>
                <w:szCs w:val="20"/>
              </w:rPr>
            </w:pPr>
            <w:hyperlink r:id="rId34" w:anchor="i13" w:history="1">
              <w:r>
                <w:rPr>
                  <w:rStyle w:val="Hyperlink"/>
                  <w:sz w:val="20"/>
                  <w:szCs w:val="20"/>
                </w:rPr>
                <w:t>Item 13.</w:t>
              </w:r>
            </w:hyperlink>
          </w:p>
        </w:tc>
        <w:tc>
          <w:tcPr>
            <w:tcW w:w="0" w:type="auto"/>
            <w:shd w:val="clear" w:color="auto" w:fill="CCEEFF"/>
            <w:hideMark/>
          </w:tcPr>
          <w:p w14:paraId="1F5C9152" w14:textId="77777777" w:rsidR="00000000" w:rsidRDefault="00EB4933">
            <w:pPr>
              <w:pStyle w:val="NormalWeb"/>
              <w:spacing w:before="0" w:beforeAutospacing="0" w:after="0" w:afterAutospacing="0"/>
              <w:rPr>
                <w:sz w:val="20"/>
                <w:szCs w:val="20"/>
              </w:rPr>
            </w:pPr>
            <w:hyperlink r:id="rId35" w:anchor="i13" w:history="1">
              <w:r>
                <w:rPr>
                  <w:rStyle w:val="Hyperlink"/>
                  <w:sz w:val="20"/>
                  <w:szCs w:val="20"/>
                </w:rPr>
                <w:t>Defaults, Dividend Arrearages and Delinquencies</w:t>
              </w:r>
            </w:hyperlink>
          </w:p>
        </w:tc>
        <w:tc>
          <w:tcPr>
            <w:tcW w:w="0" w:type="auto"/>
            <w:shd w:val="clear" w:color="auto" w:fill="CCEEFF"/>
            <w:vAlign w:val="center"/>
            <w:hideMark/>
          </w:tcPr>
          <w:p w14:paraId="3D3FB7E7"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507EECD6" w14:textId="77777777" w:rsidR="00000000" w:rsidRDefault="00EB4933">
            <w:pPr>
              <w:pStyle w:val="NormalWeb"/>
              <w:spacing w:before="0" w:beforeAutospacing="0" w:after="0" w:afterAutospacing="0"/>
              <w:jc w:val="right"/>
              <w:rPr>
                <w:sz w:val="20"/>
                <w:szCs w:val="20"/>
              </w:rPr>
            </w:pPr>
            <w:r>
              <w:rPr>
                <w:sz w:val="20"/>
                <w:szCs w:val="20"/>
              </w:rPr>
              <w:t>104</w:t>
            </w:r>
          </w:p>
        </w:tc>
        <w:tc>
          <w:tcPr>
            <w:tcW w:w="0" w:type="auto"/>
            <w:shd w:val="clear" w:color="auto" w:fill="CCEEFF"/>
            <w:vAlign w:val="center"/>
            <w:hideMark/>
          </w:tcPr>
          <w:p w14:paraId="3050B85E" w14:textId="77777777" w:rsidR="00000000" w:rsidRDefault="00EB4933">
            <w:pPr>
              <w:pStyle w:val="NormalWeb"/>
              <w:spacing w:before="0" w:beforeAutospacing="0" w:after="0" w:afterAutospacing="0"/>
              <w:rPr>
                <w:sz w:val="20"/>
                <w:szCs w:val="20"/>
              </w:rPr>
            </w:pPr>
            <w:r>
              <w:rPr>
                <w:sz w:val="20"/>
                <w:szCs w:val="20"/>
              </w:rPr>
              <w:t> </w:t>
            </w:r>
          </w:p>
        </w:tc>
      </w:tr>
      <w:tr w:rsidR="00000000" w14:paraId="097C3668" w14:textId="77777777">
        <w:trPr>
          <w:divId w:val="98525094"/>
          <w:trHeight w:val="225"/>
          <w:tblCellSpacing w:w="15" w:type="dxa"/>
        </w:trPr>
        <w:tc>
          <w:tcPr>
            <w:tcW w:w="0" w:type="auto"/>
            <w:shd w:val="clear" w:color="auto" w:fill="FFFFFF"/>
            <w:hideMark/>
          </w:tcPr>
          <w:p w14:paraId="3FA8C95F" w14:textId="77777777" w:rsidR="00000000" w:rsidRDefault="00EB4933">
            <w:pPr>
              <w:pStyle w:val="NormalWeb"/>
              <w:spacing w:before="0" w:beforeAutospacing="0" w:after="0" w:afterAutospacing="0"/>
              <w:rPr>
                <w:sz w:val="20"/>
                <w:szCs w:val="20"/>
              </w:rPr>
            </w:pPr>
            <w:hyperlink r:id="rId36" w:anchor="i14" w:history="1">
              <w:r>
                <w:rPr>
                  <w:rStyle w:val="Hyperlink"/>
                  <w:sz w:val="20"/>
                  <w:szCs w:val="20"/>
                </w:rPr>
                <w:t>Item 14.</w:t>
              </w:r>
            </w:hyperlink>
          </w:p>
        </w:tc>
        <w:tc>
          <w:tcPr>
            <w:tcW w:w="0" w:type="auto"/>
            <w:shd w:val="clear" w:color="auto" w:fill="FFFFFF"/>
            <w:hideMark/>
          </w:tcPr>
          <w:p w14:paraId="494216EE" w14:textId="77777777" w:rsidR="00000000" w:rsidRDefault="00EB4933">
            <w:pPr>
              <w:pStyle w:val="NormalWeb"/>
              <w:spacing w:before="0" w:beforeAutospacing="0" w:after="0" w:afterAutospacing="0"/>
              <w:rPr>
                <w:sz w:val="20"/>
                <w:szCs w:val="20"/>
              </w:rPr>
            </w:pPr>
            <w:hyperlink r:id="rId37" w:anchor="i14" w:history="1">
              <w:r>
                <w:rPr>
                  <w:rStyle w:val="Hyperlink"/>
                  <w:sz w:val="20"/>
                  <w:szCs w:val="20"/>
                </w:rPr>
                <w:t>Material Modifications to the Rights Of Security Holders and Use of Proceeds</w:t>
              </w:r>
            </w:hyperlink>
          </w:p>
        </w:tc>
        <w:tc>
          <w:tcPr>
            <w:tcW w:w="0" w:type="auto"/>
            <w:shd w:val="clear" w:color="auto" w:fill="FFFFFF"/>
            <w:vAlign w:val="center"/>
            <w:hideMark/>
          </w:tcPr>
          <w:p w14:paraId="07768500"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68D910FD" w14:textId="77777777" w:rsidR="00000000" w:rsidRDefault="00EB4933">
            <w:pPr>
              <w:pStyle w:val="NormalWeb"/>
              <w:spacing w:before="0" w:beforeAutospacing="0" w:after="0" w:afterAutospacing="0"/>
              <w:jc w:val="right"/>
              <w:rPr>
                <w:sz w:val="20"/>
                <w:szCs w:val="20"/>
              </w:rPr>
            </w:pPr>
            <w:r>
              <w:rPr>
                <w:sz w:val="20"/>
                <w:szCs w:val="20"/>
              </w:rPr>
              <w:t>104</w:t>
            </w:r>
          </w:p>
        </w:tc>
        <w:tc>
          <w:tcPr>
            <w:tcW w:w="0" w:type="auto"/>
            <w:shd w:val="clear" w:color="auto" w:fill="FFFFFF"/>
            <w:vAlign w:val="center"/>
            <w:hideMark/>
          </w:tcPr>
          <w:p w14:paraId="6A6D9864" w14:textId="77777777" w:rsidR="00000000" w:rsidRDefault="00EB4933">
            <w:pPr>
              <w:pStyle w:val="NormalWeb"/>
              <w:spacing w:before="0" w:beforeAutospacing="0" w:after="0" w:afterAutospacing="0"/>
              <w:rPr>
                <w:sz w:val="20"/>
                <w:szCs w:val="20"/>
              </w:rPr>
            </w:pPr>
            <w:r>
              <w:rPr>
                <w:sz w:val="20"/>
                <w:szCs w:val="20"/>
              </w:rPr>
              <w:t> </w:t>
            </w:r>
          </w:p>
        </w:tc>
      </w:tr>
      <w:tr w:rsidR="00000000" w14:paraId="39EA0DCB" w14:textId="77777777">
        <w:trPr>
          <w:divId w:val="98525094"/>
          <w:trHeight w:val="225"/>
          <w:tblCellSpacing w:w="15" w:type="dxa"/>
        </w:trPr>
        <w:tc>
          <w:tcPr>
            <w:tcW w:w="0" w:type="auto"/>
            <w:shd w:val="clear" w:color="auto" w:fill="CCEEFF"/>
            <w:hideMark/>
          </w:tcPr>
          <w:p w14:paraId="7D3FF3D7" w14:textId="77777777" w:rsidR="00000000" w:rsidRDefault="00EB4933">
            <w:pPr>
              <w:pStyle w:val="NormalWeb"/>
              <w:spacing w:before="0" w:beforeAutospacing="0" w:after="0" w:afterAutospacing="0"/>
              <w:rPr>
                <w:sz w:val="20"/>
                <w:szCs w:val="20"/>
              </w:rPr>
            </w:pPr>
            <w:hyperlink r:id="rId38" w:anchor="i15" w:history="1">
              <w:r>
                <w:rPr>
                  <w:rStyle w:val="Hyperlink"/>
                  <w:sz w:val="20"/>
                  <w:szCs w:val="20"/>
                </w:rPr>
                <w:t>Item 15.</w:t>
              </w:r>
            </w:hyperlink>
          </w:p>
        </w:tc>
        <w:tc>
          <w:tcPr>
            <w:tcW w:w="0" w:type="auto"/>
            <w:shd w:val="clear" w:color="auto" w:fill="CCEEFF"/>
            <w:hideMark/>
          </w:tcPr>
          <w:p w14:paraId="197A8AED" w14:textId="77777777" w:rsidR="00000000" w:rsidRDefault="00EB4933">
            <w:pPr>
              <w:pStyle w:val="NormalWeb"/>
              <w:spacing w:before="0" w:beforeAutospacing="0" w:after="0" w:afterAutospacing="0"/>
              <w:rPr>
                <w:sz w:val="20"/>
                <w:szCs w:val="20"/>
              </w:rPr>
            </w:pPr>
            <w:hyperlink r:id="rId39" w:anchor="i15" w:history="1">
              <w:r>
                <w:rPr>
                  <w:rStyle w:val="Hyperlink"/>
                  <w:sz w:val="20"/>
                  <w:szCs w:val="20"/>
                </w:rPr>
                <w:t>Controls and Procedures</w:t>
              </w:r>
            </w:hyperlink>
          </w:p>
        </w:tc>
        <w:tc>
          <w:tcPr>
            <w:tcW w:w="0" w:type="auto"/>
            <w:shd w:val="clear" w:color="auto" w:fill="CCEEFF"/>
            <w:vAlign w:val="center"/>
            <w:hideMark/>
          </w:tcPr>
          <w:p w14:paraId="0D30577B"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1298B1B3" w14:textId="77777777" w:rsidR="00000000" w:rsidRDefault="00EB4933">
            <w:pPr>
              <w:pStyle w:val="NormalWeb"/>
              <w:spacing w:before="0" w:beforeAutospacing="0" w:after="0" w:afterAutospacing="0"/>
              <w:jc w:val="right"/>
              <w:rPr>
                <w:sz w:val="20"/>
                <w:szCs w:val="20"/>
              </w:rPr>
            </w:pPr>
            <w:r>
              <w:rPr>
                <w:sz w:val="20"/>
                <w:szCs w:val="20"/>
              </w:rPr>
              <w:t>104</w:t>
            </w:r>
          </w:p>
        </w:tc>
        <w:tc>
          <w:tcPr>
            <w:tcW w:w="0" w:type="auto"/>
            <w:shd w:val="clear" w:color="auto" w:fill="CCEEFF"/>
            <w:vAlign w:val="center"/>
            <w:hideMark/>
          </w:tcPr>
          <w:p w14:paraId="06E5D35B" w14:textId="77777777" w:rsidR="00000000" w:rsidRDefault="00EB4933">
            <w:pPr>
              <w:pStyle w:val="NormalWeb"/>
              <w:spacing w:before="0" w:beforeAutospacing="0" w:after="0" w:afterAutospacing="0"/>
              <w:rPr>
                <w:sz w:val="20"/>
                <w:szCs w:val="20"/>
              </w:rPr>
            </w:pPr>
            <w:r>
              <w:rPr>
                <w:sz w:val="20"/>
                <w:szCs w:val="20"/>
              </w:rPr>
              <w:t> </w:t>
            </w:r>
          </w:p>
        </w:tc>
      </w:tr>
      <w:tr w:rsidR="00000000" w14:paraId="2A6FFC38" w14:textId="77777777">
        <w:trPr>
          <w:divId w:val="98525094"/>
          <w:trHeight w:val="225"/>
          <w:tblCellSpacing w:w="15" w:type="dxa"/>
        </w:trPr>
        <w:tc>
          <w:tcPr>
            <w:tcW w:w="0" w:type="auto"/>
            <w:shd w:val="clear" w:color="auto" w:fill="FFFFFF"/>
            <w:hideMark/>
          </w:tcPr>
          <w:p w14:paraId="63200660" w14:textId="77777777" w:rsidR="00000000" w:rsidRDefault="00EB4933">
            <w:pPr>
              <w:pStyle w:val="NormalWeb"/>
              <w:spacing w:before="0" w:beforeAutospacing="0" w:after="0" w:afterAutospacing="0"/>
              <w:rPr>
                <w:sz w:val="20"/>
                <w:szCs w:val="20"/>
              </w:rPr>
            </w:pPr>
            <w:hyperlink r:id="rId40" w:anchor="i16a" w:history="1">
              <w:r>
                <w:rPr>
                  <w:rStyle w:val="Hyperlink"/>
                  <w:sz w:val="20"/>
                  <w:szCs w:val="20"/>
                </w:rPr>
                <w:t>Item 16A.</w:t>
              </w:r>
            </w:hyperlink>
          </w:p>
        </w:tc>
        <w:tc>
          <w:tcPr>
            <w:tcW w:w="0" w:type="auto"/>
            <w:shd w:val="clear" w:color="auto" w:fill="FFFFFF"/>
            <w:hideMark/>
          </w:tcPr>
          <w:p w14:paraId="5EA184B6" w14:textId="77777777" w:rsidR="00000000" w:rsidRDefault="00EB4933">
            <w:pPr>
              <w:pStyle w:val="NormalWeb"/>
              <w:spacing w:before="0" w:beforeAutospacing="0" w:after="0" w:afterAutospacing="0"/>
              <w:rPr>
                <w:sz w:val="20"/>
                <w:szCs w:val="20"/>
              </w:rPr>
            </w:pPr>
            <w:hyperlink r:id="rId41" w:anchor="i16a" w:history="1">
              <w:r>
                <w:rPr>
                  <w:rStyle w:val="Hyperlink"/>
                  <w:sz w:val="20"/>
                  <w:szCs w:val="20"/>
                </w:rPr>
                <w:t>Audit Committee Financial Expert</w:t>
              </w:r>
            </w:hyperlink>
          </w:p>
        </w:tc>
        <w:tc>
          <w:tcPr>
            <w:tcW w:w="0" w:type="auto"/>
            <w:shd w:val="clear" w:color="auto" w:fill="FFFFFF"/>
            <w:vAlign w:val="center"/>
            <w:hideMark/>
          </w:tcPr>
          <w:p w14:paraId="756D3346"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7954F99D" w14:textId="77777777" w:rsidR="00000000" w:rsidRDefault="00EB4933">
            <w:pPr>
              <w:pStyle w:val="NormalWeb"/>
              <w:spacing w:before="0" w:beforeAutospacing="0" w:after="0" w:afterAutospacing="0"/>
              <w:jc w:val="right"/>
              <w:rPr>
                <w:sz w:val="20"/>
                <w:szCs w:val="20"/>
              </w:rPr>
            </w:pPr>
            <w:r>
              <w:rPr>
                <w:sz w:val="20"/>
                <w:szCs w:val="20"/>
              </w:rPr>
              <w:t>106</w:t>
            </w:r>
          </w:p>
        </w:tc>
        <w:tc>
          <w:tcPr>
            <w:tcW w:w="0" w:type="auto"/>
            <w:shd w:val="clear" w:color="auto" w:fill="FFFFFF"/>
            <w:vAlign w:val="center"/>
            <w:hideMark/>
          </w:tcPr>
          <w:p w14:paraId="4BF8FF89" w14:textId="77777777" w:rsidR="00000000" w:rsidRDefault="00EB4933">
            <w:pPr>
              <w:pStyle w:val="NormalWeb"/>
              <w:spacing w:before="0" w:beforeAutospacing="0" w:after="0" w:afterAutospacing="0"/>
              <w:rPr>
                <w:sz w:val="20"/>
                <w:szCs w:val="20"/>
              </w:rPr>
            </w:pPr>
            <w:r>
              <w:rPr>
                <w:sz w:val="20"/>
                <w:szCs w:val="20"/>
              </w:rPr>
              <w:t> </w:t>
            </w:r>
          </w:p>
        </w:tc>
      </w:tr>
      <w:tr w:rsidR="00000000" w14:paraId="307A2A55" w14:textId="77777777">
        <w:trPr>
          <w:divId w:val="98525094"/>
          <w:trHeight w:val="225"/>
          <w:tblCellSpacing w:w="15" w:type="dxa"/>
        </w:trPr>
        <w:tc>
          <w:tcPr>
            <w:tcW w:w="0" w:type="auto"/>
            <w:shd w:val="clear" w:color="auto" w:fill="CCEEFF"/>
            <w:hideMark/>
          </w:tcPr>
          <w:p w14:paraId="252BB4D5" w14:textId="77777777" w:rsidR="00000000" w:rsidRDefault="00EB4933">
            <w:pPr>
              <w:pStyle w:val="NormalWeb"/>
              <w:spacing w:before="0" w:beforeAutospacing="0" w:after="0" w:afterAutospacing="0"/>
              <w:rPr>
                <w:sz w:val="20"/>
                <w:szCs w:val="20"/>
              </w:rPr>
            </w:pPr>
            <w:hyperlink r:id="rId42" w:anchor="i16b" w:history="1">
              <w:r>
                <w:rPr>
                  <w:rStyle w:val="Hyperlink"/>
                  <w:sz w:val="20"/>
                  <w:szCs w:val="20"/>
                </w:rPr>
                <w:t>Item 16B.</w:t>
              </w:r>
            </w:hyperlink>
          </w:p>
        </w:tc>
        <w:tc>
          <w:tcPr>
            <w:tcW w:w="0" w:type="auto"/>
            <w:shd w:val="clear" w:color="auto" w:fill="CCEEFF"/>
            <w:hideMark/>
          </w:tcPr>
          <w:p w14:paraId="18C5039B" w14:textId="77777777" w:rsidR="00000000" w:rsidRDefault="00EB4933">
            <w:pPr>
              <w:pStyle w:val="NormalWeb"/>
              <w:spacing w:before="0" w:beforeAutospacing="0" w:after="0" w:afterAutospacing="0"/>
              <w:rPr>
                <w:sz w:val="20"/>
                <w:szCs w:val="20"/>
              </w:rPr>
            </w:pPr>
            <w:hyperlink r:id="rId43" w:anchor="i16b" w:history="1">
              <w:r>
                <w:rPr>
                  <w:rStyle w:val="Hyperlink"/>
                  <w:sz w:val="20"/>
                  <w:szCs w:val="20"/>
                </w:rPr>
                <w:t>Code of Ethics</w:t>
              </w:r>
            </w:hyperlink>
          </w:p>
        </w:tc>
        <w:tc>
          <w:tcPr>
            <w:tcW w:w="0" w:type="auto"/>
            <w:shd w:val="clear" w:color="auto" w:fill="CCEEFF"/>
            <w:vAlign w:val="center"/>
            <w:hideMark/>
          </w:tcPr>
          <w:p w14:paraId="59281BF0"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72C49CBA" w14:textId="77777777" w:rsidR="00000000" w:rsidRDefault="00EB4933">
            <w:pPr>
              <w:pStyle w:val="NormalWeb"/>
              <w:spacing w:before="0" w:beforeAutospacing="0" w:after="0" w:afterAutospacing="0"/>
              <w:jc w:val="right"/>
              <w:rPr>
                <w:sz w:val="20"/>
                <w:szCs w:val="20"/>
              </w:rPr>
            </w:pPr>
            <w:r>
              <w:rPr>
                <w:sz w:val="20"/>
                <w:szCs w:val="20"/>
              </w:rPr>
              <w:t>106</w:t>
            </w:r>
          </w:p>
        </w:tc>
        <w:tc>
          <w:tcPr>
            <w:tcW w:w="0" w:type="auto"/>
            <w:shd w:val="clear" w:color="auto" w:fill="CCEEFF"/>
            <w:vAlign w:val="center"/>
            <w:hideMark/>
          </w:tcPr>
          <w:p w14:paraId="7BBD83E7" w14:textId="77777777" w:rsidR="00000000" w:rsidRDefault="00EB4933">
            <w:pPr>
              <w:pStyle w:val="NormalWeb"/>
              <w:spacing w:before="0" w:beforeAutospacing="0" w:after="0" w:afterAutospacing="0"/>
              <w:rPr>
                <w:sz w:val="20"/>
                <w:szCs w:val="20"/>
              </w:rPr>
            </w:pPr>
            <w:r>
              <w:rPr>
                <w:sz w:val="20"/>
                <w:szCs w:val="20"/>
              </w:rPr>
              <w:t> </w:t>
            </w:r>
          </w:p>
        </w:tc>
      </w:tr>
      <w:tr w:rsidR="00000000" w14:paraId="0CC094F1" w14:textId="77777777">
        <w:trPr>
          <w:divId w:val="98525094"/>
          <w:trHeight w:val="225"/>
          <w:tblCellSpacing w:w="15" w:type="dxa"/>
        </w:trPr>
        <w:tc>
          <w:tcPr>
            <w:tcW w:w="0" w:type="auto"/>
            <w:shd w:val="clear" w:color="auto" w:fill="FFFFFF"/>
            <w:hideMark/>
          </w:tcPr>
          <w:p w14:paraId="59B6CAA1" w14:textId="77777777" w:rsidR="00000000" w:rsidRDefault="00EB4933">
            <w:pPr>
              <w:pStyle w:val="NormalWeb"/>
              <w:spacing w:before="0" w:beforeAutospacing="0" w:after="0" w:afterAutospacing="0"/>
              <w:rPr>
                <w:sz w:val="20"/>
                <w:szCs w:val="20"/>
              </w:rPr>
            </w:pPr>
            <w:hyperlink r:id="rId44" w:anchor="i16c" w:history="1">
              <w:r>
                <w:rPr>
                  <w:rStyle w:val="Hyperlink"/>
                  <w:sz w:val="20"/>
                  <w:szCs w:val="20"/>
                </w:rPr>
                <w:t>Item 16C.</w:t>
              </w:r>
            </w:hyperlink>
          </w:p>
        </w:tc>
        <w:tc>
          <w:tcPr>
            <w:tcW w:w="0" w:type="auto"/>
            <w:shd w:val="clear" w:color="auto" w:fill="FFFFFF"/>
            <w:hideMark/>
          </w:tcPr>
          <w:p w14:paraId="548874D4" w14:textId="77777777" w:rsidR="00000000" w:rsidRDefault="00EB4933">
            <w:pPr>
              <w:pStyle w:val="NormalWeb"/>
              <w:spacing w:before="0" w:beforeAutospacing="0" w:after="0" w:afterAutospacing="0"/>
              <w:rPr>
                <w:sz w:val="20"/>
                <w:szCs w:val="20"/>
              </w:rPr>
            </w:pPr>
            <w:hyperlink r:id="rId45" w:anchor="i16c" w:history="1">
              <w:r>
                <w:rPr>
                  <w:rStyle w:val="Hyperlink"/>
                  <w:sz w:val="20"/>
                  <w:szCs w:val="20"/>
                </w:rPr>
                <w:t>Principal Accountant Fees and Services</w:t>
              </w:r>
            </w:hyperlink>
          </w:p>
        </w:tc>
        <w:tc>
          <w:tcPr>
            <w:tcW w:w="0" w:type="auto"/>
            <w:shd w:val="clear" w:color="auto" w:fill="FFFFFF"/>
            <w:vAlign w:val="center"/>
            <w:hideMark/>
          </w:tcPr>
          <w:p w14:paraId="11F6C9E7"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43AC5113" w14:textId="77777777" w:rsidR="00000000" w:rsidRDefault="00EB4933">
            <w:pPr>
              <w:pStyle w:val="NormalWeb"/>
              <w:spacing w:before="0" w:beforeAutospacing="0" w:after="0" w:afterAutospacing="0"/>
              <w:jc w:val="right"/>
              <w:rPr>
                <w:sz w:val="20"/>
                <w:szCs w:val="20"/>
              </w:rPr>
            </w:pPr>
            <w:r>
              <w:rPr>
                <w:sz w:val="20"/>
                <w:szCs w:val="20"/>
              </w:rPr>
              <w:t>106</w:t>
            </w:r>
          </w:p>
        </w:tc>
        <w:tc>
          <w:tcPr>
            <w:tcW w:w="0" w:type="auto"/>
            <w:shd w:val="clear" w:color="auto" w:fill="FFFFFF"/>
            <w:vAlign w:val="center"/>
            <w:hideMark/>
          </w:tcPr>
          <w:p w14:paraId="44AF1B8C" w14:textId="77777777" w:rsidR="00000000" w:rsidRDefault="00EB4933">
            <w:pPr>
              <w:pStyle w:val="NormalWeb"/>
              <w:spacing w:before="0" w:beforeAutospacing="0" w:after="0" w:afterAutospacing="0"/>
              <w:rPr>
                <w:sz w:val="20"/>
                <w:szCs w:val="20"/>
              </w:rPr>
            </w:pPr>
            <w:r>
              <w:rPr>
                <w:sz w:val="20"/>
                <w:szCs w:val="20"/>
              </w:rPr>
              <w:t> </w:t>
            </w:r>
          </w:p>
        </w:tc>
      </w:tr>
      <w:tr w:rsidR="00000000" w14:paraId="68AB964C" w14:textId="77777777">
        <w:trPr>
          <w:divId w:val="98525094"/>
          <w:trHeight w:val="225"/>
          <w:tblCellSpacing w:w="15" w:type="dxa"/>
        </w:trPr>
        <w:tc>
          <w:tcPr>
            <w:tcW w:w="0" w:type="auto"/>
            <w:shd w:val="clear" w:color="auto" w:fill="CCEEFF"/>
            <w:hideMark/>
          </w:tcPr>
          <w:p w14:paraId="531E952D" w14:textId="77777777" w:rsidR="00000000" w:rsidRDefault="00EB4933">
            <w:pPr>
              <w:pStyle w:val="NormalWeb"/>
              <w:spacing w:before="0" w:beforeAutospacing="0" w:after="0" w:afterAutospacing="0"/>
              <w:rPr>
                <w:sz w:val="20"/>
                <w:szCs w:val="20"/>
              </w:rPr>
            </w:pPr>
            <w:hyperlink r:id="rId46" w:anchor="i16d" w:history="1">
              <w:r>
                <w:rPr>
                  <w:rStyle w:val="Hyperlink"/>
                  <w:sz w:val="20"/>
                  <w:szCs w:val="20"/>
                </w:rPr>
                <w:t>Item 16D.</w:t>
              </w:r>
            </w:hyperlink>
          </w:p>
        </w:tc>
        <w:tc>
          <w:tcPr>
            <w:tcW w:w="0" w:type="auto"/>
            <w:shd w:val="clear" w:color="auto" w:fill="CCEEFF"/>
            <w:hideMark/>
          </w:tcPr>
          <w:p w14:paraId="574DBEF4" w14:textId="77777777" w:rsidR="00000000" w:rsidRDefault="00EB4933">
            <w:pPr>
              <w:pStyle w:val="NormalWeb"/>
              <w:spacing w:before="0" w:beforeAutospacing="0" w:after="0" w:afterAutospacing="0"/>
              <w:rPr>
                <w:sz w:val="20"/>
                <w:szCs w:val="20"/>
              </w:rPr>
            </w:pPr>
            <w:hyperlink r:id="rId47" w:anchor="i16d" w:history="1">
              <w:r>
                <w:rPr>
                  <w:rStyle w:val="Hyperlink"/>
                  <w:sz w:val="20"/>
                  <w:szCs w:val="20"/>
                </w:rPr>
                <w:t>Exemptions from the Listing Standards for Audit Commit</w:t>
              </w:r>
              <w:r>
                <w:rPr>
                  <w:rStyle w:val="Hyperlink"/>
                  <w:sz w:val="20"/>
                  <w:szCs w:val="20"/>
                </w:rPr>
                <w:t>tees</w:t>
              </w:r>
            </w:hyperlink>
          </w:p>
        </w:tc>
        <w:tc>
          <w:tcPr>
            <w:tcW w:w="0" w:type="auto"/>
            <w:shd w:val="clear" w:color="auto" w:fill="CCEEFF"/>
            <w:vAlign w:val="center"/>
            <w:hideMark/>
          </w:tcPr>
          <w:p w14:paraId="5CA38E26"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09913D25" w14:textId="77777777" w:rsidR="00000000" w:rsidRDefault="00EB4933">
            <w:pPr>
              <w:pStyle w:val="NormalWeb"/>
              <w:spacing w:before="0" w:beforeAutospacing="0" w:after="0" w:afterAutospacing="0"/>
              <w:jc w:val="right"/>
              <w:rPr>
                <w:sz w:val="20"/>
                <w:szCs w:val="20"/>
              </w:rPr>
            </w:pPr>
            <w:r>
              <w:rPr>
                <w:sz w:val="20"/>
                <w:szCs w:val="20"/>
              </w:rPr>
              <w:t>107</w:t>
            </w:r>
          </w:p>
        </w:tc>
        <w:tc>
          <w:tcPr>
            <w:tcW w:w="0" w:type="auto"/>
            <w:shd w:val="clear" w:color="auto" w:fill="CCEEFF"/>
            <w:vAlign w:val="center"/>
            <w:hideMark/>
          </w:tcPr>
          <w:p w14:paraId="23E37927" w14:textId="77777777" w:rsidR="00000000" w:rsidRDefault="00EB4933">
            <w:pPr>
              <w:pStyle w:val="NormalWeb"/>
              <w:spacing w:before="0" w:beforeAutospacing="0" w:after="0" w:afterAutospacing="0"/>
              <w:rPr>
                <w:sz w:val="20"/>
                <w:szCs w:val="20"/>
              </w:rPr>
            </w:pPr>
            <w:r>
              <w:rPr>
                <w:sz w:val="20"/>
                <w:szCs w:val="20"/>
              </w:rPr>
              <w:t> </w:t>
            </w:r>
          </w:p>
        </w:tc>
      </w:tr>
      <w:tr w:rsidR="00000000" w14:paraId="013E9513" w14:textId="77777777">
        <w:trPr>
          <w:divId w:val="98525094"/>
          <w:trHeight w:val="225"/>
          <w:tblCellSpacing w:w="15" w:type="dxa"/>
        </w:trPr>
        <w:tc>
          <w:tcPr>
            <w:tcW w:w="0" w:type="auto"/>
            <w:shd w:val="clear" w:color="auto" w:fill="FFFFFF"/>
            <w:hideMark/>
          </w:tcPr>
          <w:p w14:paraId="19B1C63E" w14:textId="77777777" w:rsidR="00000000" w:rsidRDefault="00EB4933">
            <w:pPr>
              <w:pStyle w:val="NormalWeb"/>
              <w:spacing w:before="0" w:beforeAutospacing="0" w:after="0" w:afterAutospacing="0"/>
              <w:rPr>
                <w:sz w:val="20"/>
                <w:szCs w:val="20"/>
              </w:rPr>
            </w:pPr>
            <w:hyperlink r:id="rId48" w:anchor="i16e" w:history="1">
              <w:r>
                <w:rPr>
                  <w:rStyle w:val="Hyperlink"/>
                  <w:sz w:val="20"/>
                  <w:szCs w:val="20"/>
                </w:rPr>
                <w:t>Item 16E.</w:t>
              </w:r>
            </w:hyperlink>
          </w:p>
        </w:tc>
        <w:tc>
          <w:tcPr>
            <w:tcW w:w="0" w:type="auto"/>
            <w:shd w:val="clear" w:color="auto" w:fill="FFFFFF"/>
            <w:hideMark/>
          </w:tcPr>
          <w:p w14:paraId="540EE9D3" w14:textId="77777777" w:rsidR="00000000" w:rsidRDefault="00EB4933">
            <w:pPr>
              <w:pStyle w:val="NormalWeb"/>
              <w:spacing w:before="0" w:beforeAutospacing="0" w:after="0" w:afterAutospacing="0"/>
              <w:rPr>
                <w:sz w:val="20"/>
                <w:szCs w:val="20"/>
              </w:rPr>
            </w:pPr>
            <w:hyperlink r:id="rId49" w:anchor="i16e" w:history="1">
              <w:r>
                <w:rPr>
                  <w:rStyle w:val="Hyperlink"/>
                  <w:sz w:val="20"/>
                  <w:szCs w:val="20"/>
                </w:rPr>
                <w:t>Purchases of Equity Securities by the Issuer and Affiliated Purchasers</w:t>
              </w:r>
            </w:hyperlink>
          </w:p>
        </w:tc>
        <w:tc>
          <w:tcPr>
            <w:tcW w:w="0" w:type="auto"/>
            <w:shd w:val="clear" w:color="auto" w:fill="FFFFFF"/>
            <w:vAlign w:val="center"/>
            <w:hideMark/>
          </w:tcPr>
          <w:p w14:paraId="5B2D316C"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6FCDDA0B" w14:textId="77777777" w:rsidR="00000000" w:rsidRDefault="00EB4933">
            <w:pPr>
              <w:pStyle w:val="NormalWeb"/>
              <w:spacing w:before="0" w:beforeAutospacing="0" w:after="0" w:afterAutospacing="0"/>
              <w:jc w:val="right"/>
              <w:rPr>
                <w:sz w:val="20"/>
                <w:szCs w:val="20"/>
              </w:rPr>
            </w:pPr>
            <w:r>
              <w:rPr>
                <w:sz w:val="20"/>
                <w:szCs w:val="20"/>
              </w:rPr>
              <w:t>107</w:t>
            </w:r>
          </w:p>
        </w:tc>
        <w:tc>
          <w:tcPr>
            <w:tcW w:w="0" w:type="auto"/>
            <w:shd w:val="clear" w:color="auto" w:fill="FFFFFF"/>
            <w:vAlign w:val="center"/>
            <w:hideMark/>
          </w:tcPr>
          <w:p w14:paraId="4732C1B8" w14:textId="77777777" w:rsidR="00000000" w:rsidRDefault="00EB4933">
            <w:pPr>
              <w:pStyle w:val="NormalWeb"/>
              <w:spacing w:before="0" w:beforeAutospacing="0" w:after="0" w:afterAutospacing="0"/>
              <w:rPr>
                <w:sz w:val="20"/>
                <w:szCs w:val="20"/>
              </w:rPr>
            </w:pPr>
            <w:r>
              <w:rPr>
                <w:sz w:val="20"/>
                <w:szCs w:val="20"/>
              </w:rPr>
              <w:t> </w:t>
            </w:r>
          </w:p>
        </w:tc>
      </w:tr>
      <w:tr w:rsidR="00000000" w14:paraId="23A5B0D7" w14:textId="77777777">
        <w:trPr>
          <w:divId w:val="98525094"/>
          <w:trHeight w:val="225"/>
          <w:tblCellSpacing w:w="15" w:type="dxa"/>
        </w:trPr>
        <w:tc>
          <w:tcPr>
            <w:tcW w:w="0" w:type="auto"/>
            <w:shd w:val="clear" w:color="auto" w:fill="CCEEFF"/>
            <w:hideMark/>
          </w:tcPr>
          <w:p w14:paraId="58E9BC96" w14:textId="77777777" w:rsidR="00000000" w:rsidRDefault="00EB4933">
            <w:pPr>
              <w:pStyle w:val="NormalWeb"/>
              <w:spacing w:before="0" w:beforeAutospacing="0" w:after="0" w:afterAutospacing="0"/>
              <w:rPr>
                <w:sz w:val="20"/>
                <w:szCs w:val="20"/>
              </w:rPr>
            </w:pPr>
            <w:hyperlink r:id="rId50" w:anchor="i16f" w:history="1">
              <w:r>
                <w:rPr>
                  <w:rStyle w:val="Hyperlink"/>
                  <w:sz w:val="20"/>
                  <w:szCs w:val="20"/>
                </w:rPr>
                <w:t>Item 16F.</w:t>
              </w:r>
            </w:hyperlink>
          </w:p>
        </w:tc>
        <w:tc>
          <w:tcPr>
            <w:tcW w:w="0" w:type="auto"/>
            <w:shd w:val="clear" w:color="auto" w:fill="CCEEFF"/>
            <w:hideMark/>
          </w:tcPr>
          <w:p w14:paraId="19F4B9A9" w14:textId="77777777" w:rsidR="00000000" w:rsidRDefault="00EB4933">
            <w:pPr>
              <w:pStyle w:val="NormalWeb"/>
              <w:spacing w:before="0" w:beforeAutospacing="0" w:after="0" w:afterAutospacing="0"/>
              <w:rPr>
                <w:sz w:val="20"/>
                <w:szCs w:val="20"/>
              </w:rPr>
            </w:pPr>
            <w:hyperlink r:id="rId51" w:anchor="i16f" w:history="1">
              <w:r>
                <w:rPr>
                  <w:rStyle w:val="Hyperlink"/>
                  <w:sz w:val="20"/>
                  <w:szCs w:val="20"/>
                </w:rPr>
                <w:t>Change in Registrant’s Certifying Accountant</w:t>
              </w:r>
            </w:hyperlink>
          </w:p>
        </w:tc>
        <w:tc>
          <w:tcPr>
            <w:tcW w:w="0" w:type="auto"/>
            <w:shd w:val="clear" w:color="auto" w:fill="CCEEFF"/>
            <w:vAlign w:val="center"/>
            <w:hideMark/>
          </w:tcPr>
          <w:p w14:paraId="5C834E4D"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345FCBDF" w14:textId="77777777" w:rsidR="00000000" w:rsidRDefault="00EB4933">
            <w:pPr>
              <w:pStyle w:val="NormalWeb"/>
              <w:spacing w:before="0" w:beforeAutospacing="0" w:after="0" w:afterAutospacing="0"/>
              <w:jc w:val="right"/>
              <w:rPr>
                <w:sz w:val="20"/>
                <w:szCs w:val="20"/>
              </w:rPr>
            </w:pPr>
            <w:r>
              <w:rPr>
                <w:sz w:val="20"/>
                <w:szCs w:val="20"/>
              </w:rPr>
              <w:t>107</w:t>
            </w:r>
          </w:p>
        </w:tc>
        <w:tc>
          <w:tcPr>
            <w:tcW w:w="0" w:type="auto"/>
            <w:shd w:val="clear" w:color="auto" w:fill="CCEEFF"/>
            <w:vAlign w:val="center"/>
            <w:hideMark/>
          </w:tcPr>
          <w:p w14:paraId="5A1CF311" w14:textId="77777777" w:rsidR="00000000" w:rsidRDefault="00EB4933">
            <w:pPr>
              <w:pStyle w:val="NormalWeb"/>
              <w:spacing w:before="0" w:beforeAutospacing="0" w:after="0" w:afterAutospacing="0"/>
              <w:rPr>
                <w:sz w:val="20"/>
                <w:szCs w:val="20"/>
              </w:rPr>
            </w:pPr>
            <w:r>
              <w:rPr>
                <w:sz w:val="20"/>
                <w:szCs w:val="20"/>
              </w:rPr>
              <w:t> </w:t>
            </w:r>
          </w:p>
        </w:tc>
      </w:tr>
      <w:tr w:rsidR="00000000" w14:paraId="5BCA7583" w14:textId="77777777">
        <w:trPr>
          <w:divId w:val="98525094"/>
          <w:trHeight w:val="225"/>
          <w:tblCellSpacing w:w="15" w:type="dxa"/>
        </w:trPr>
        <w:tc>
          <w:tcPr>
            <w:tcW w:w="0" w:type="auto"/>
            <w:shd w:val="clear" w:color="auto" w:fill="FFFFFF"/>
            <w:hideMark/>
          </w:tcPr>
          <w:p w14:paraId="267DDD88" w14:textId="77777777" w:rsidR="00000000" w:rsidRDefault="00EB4933">
            <w:pPr>
              <w:pStyle w:val="NormalWeb"/>
              <w:spacing w:before="0" w:beforeAutospacing="0" w:after="0" w:afterAutospacing="0"/>
              <w:rPr>
                <w:sz w:val="20"/>
                <w:szCs w:val="20"/>
              </w:rPr>
            </w:pPr>
            <w:hyperlink r:id="rId52" w:anchor="i16g" w:history="1">
              <w:r>
                <w:rPr>
                  <w:rStyle w:val="Hyperlink"/>
                  <w:sz w:val="20"/>
                  <w:szCs w:val="20"/>
                </w:rPr>
                <w:t>Item 16G.</w:t>
              </w:r>
            </w:hyperlink>
          </w:p>
        </w:tc>
        <w:tc>
          <w:tcPr>
            <w:tcW w:w="0" w:type="auto"/>
            <w:shd w:val="clear" w:color="auto" w:fill="FFFFFF"/>
            <w:hideMark/>
          </w:tcPr>
          <w:p w14:paraId="45A87170" w14:textId="77777777" w:rsidR="00000000" w:rsidRDefault="00EB4933">
            <w:pPr>
              <w:pStyle w:val="NormalWeb"/>
              <w:spacing w:before="0" w:beforeAutospacing="0" w:after="0" w:afterAutospacing="0"/>
              <w:rPr>
                <w:sz w:val="20"/>
                <w:szCs w:val="20"/>
              </w:rPr>
            </w:pPr>
            <w:hyperlink r:id="rId53" w:anchor="i16g" w:history="1">
              <w:r>
                <w:rPr>
                  <w:rStyle w:val="Hyperlink"/>
                  <w:sz w:val="20"/>
                  <w:szCs w:val="20"/>
                </w:rPr>
                <w:t>Corporate Governance</w:t>
              </w:r>
            </w:hyperlink>
          </w:p>
        </w:tc>
        <w:tc>
          <w:tcPr>
            <w:tcW w:w="0" w:type="auto"/>
            <w:shd w:val="clear" w:color="auto" w:fill="FFFFFF"/>
            <w:vAlign w:val="center"/>
            <w:hideMark/>
          </w:tcPr>
          <w:p w14:paraId="6A14B704"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37BE12C8" w14:textId="77777777" w:rsidR="00000000" w:rsidRDefault="00EB4933">
            <w:pPr>
              <w:pStyle w:val="NormalWeb"/>
              <w:spacing w:before="0" w:beforeAutospacing="0" w:after="0" w:afterAutospacing="0"/>
              <w:jc w:val="right"/>
              <w:rPr>
                <w:sz w:val="20"/>
                <w:szCs w:val="20"/>
              </w:rPr>
            </w:pPr>
            <w:r>
              <w:rPr>
                <w:sz w:val="20"/>
                <w:szCs w:val="20"/>
              </w:rPr>
              <w:t>107</w:t>
            </w:r>
          </w:p>
        </w:tc>
        <w:tc>
          <w:tcPr>
            <w:tcW w:w="0" w:type="auto"/>
            <w:shd w:val="clear" w:color="auto" w:fill="FFFFFF"/>
            <w:vAlign w:val="center"/>
            <w:hideMark/>
          </w:tcPr>
          <w:p w14:paraId="11E365F0" w14:textId="77777777" w:rsidR="00000000" w:rsidRDefault="00EB4933">
            <w:pPr>
              <w:pStyle w:val="NormalWeb"/>
              <w:spacing w:before="0" w:beforeAutospacing="0" w:after="0" w:afterAutospacing="0"/>
              <w:rPr>
                <w:sz w:val="20"/>
                <w:szCs w:val="20"/>
              </w:rPr>
            </w:pPr>
            <w:r>
              <w:rPr>
                <w:sz w:val="20"/>
                <w:szCs w:val="20"/>
              </w:rPr>
              <w:t> </w:t>
            </w:r>
          </w:p>
        </w:tc>
      </w:tr>
      <w:tr w:rsidR="00000000" w14:paraId="22918F5B" w14:textId="77777777">
        <w:trPr>
          <w:divId w:val="98525094"/>
          <w:trHeight w:val="225"/>
          <w:tblCellSpacing w:w="15" w:type="dxa"/>
        </w:trPr>
        <w:tc>
          <w:tcPr>
            <w:tcW w:w="0" w:type="auto"/>
            <w:shd w:val="clear" w:color="auto" w:fill="CCEEFF"/>
            <w:hideMark/>
          </w:tcPr>
          <w:p w14:paraId="010B0DD1" w14:textId="77777777" w:rsidR="00000000" w:rsidRDefault="00EB4933">
            <w:pPr>
              <w:pStyle w:val="NormalWeb"/>
              <w:spacing w:before="0" w:beforeAutospacing="0" w:after="0" w:afterAutospacing="0"/>
              <w:rPr>
                <w:sz w:val="20"/>
                <w:szCs w:val="20"/>
              </w:rPr>
            </w:pPr>
            <w:hyperlink r:id="rId54" w:anchor="i16h" w:history="1">
              <w:r>
                <w:rPr>
                  <w:rStyle w:val="Hyperlink"/>
                  <w:sz w:val="20"/>
                  <w:szCs w:val="20"/>
                </w:rPr>
                <w:t>Item 16H.</w:t>
              </w:r>
            </w:hyperlink>
          </w:p>
        </w:tc>
        <w:tc>
          <w:tcPr>
            <w:tcW w:w="0" w:type="auto"/>
            <w:shd w:val="clear" w:color="auto" w:fill="CCEEFF"/>
            <w:hideMark/>
          </w:tcPr>
          <w:p w14:paraId="201DBBA2" w14:textId="77777777" w:rsidR="00000000" w:rsidRDefault="00EB4933">
            <w:pPr>
              <w:pStyle w:val="NormalWeb"/>
              <w:spacing w:before="0" w:beforeAutospacing="0" w:after="0" w:afterAutospacing="0"/>
              <w:rPr>
                <w:sz w:val="20"/>
                <w:szCs w:val="20"/>
              </w:rPr>
            </w:pPr>
            <w:hyperlink r:id="rId55" w:anchor="i16h" w:history="1">
              <w:r>
                <w:rPr>
                  <w:rStyle w:val="Hyperlink"/>
                  <w:sz w:val="20"/>
                  <w:szCs w:val="20"/>
                </w:rPr>
                <w:t>Mine safety Disclosure</w:t>
              </w:r>
            </w:hyperlink>
          </w:p>
        </w:tc>
        <w:tc>
          <w:tcPr>
            <w:tcW w:w="0" w:type="auto"/>
            <w:shd w:val="clear" w:color="auto" w:fill="CCEEFF"/>
            <w:vAlign w:val="center"/>
            <w:hideMark/>
          </w:tcPr>
          <w:p w14:paraId="2FB3EBE1"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246CD44B" w14:textId="77777777" w:rsidR="00000000" w:rsidRDefault="00EB4933">
            <w:pPr>
              <w:pStyle w:val="NormalWeb"/>
              <w:spacing w:before="0" w:beforeAutospacing="0" w:after="0" w:afterAutospacing="0"/>
              <w:jc w:val="right"/>
              <w:rPr>
                <w:sz w:val="20"/>
                <w:szCs w:val="20"/>
              </w:rPr>
            </w:pPr>
            <w:r>
              <w:rPr>
                <w:sz w:val="20"/>
                <w:szCs w:val="20"/>
              </w:rPr>
              <w:t>108</w:t>
            </w:r>
          </w:p>
        </w:tc>
        <w:tc>
          <w:tcPr>
            <w:tcW w:w="0" w:type="auto"/>
            <w:shd w:val="clear" w:color="auto" w:fill="CCEEFF"/>
            <w:vAlign w:val="center"/>
            <w:hideMark/>
          </w:tcPr>
          <w:p w14:paraId="7E191041" w14:textId="77777777" w:rsidR="00000000" w:rsidRDefault="00EB4933">
            <w:pPr>
              <w:pStyle w:val="NormalWeb"/>
              <w:spacing w:before="0" w:beforeAutospacing="0" w:after="0" w:afterAutospacing="0"/>
              <w:rPr>
                <w:sz w:val="20"/>
                <w:szCs w:val="20"/>
              </w:rPr>
            </w:pPr>
            <w:r>
              <w:rPr>
                <w:sz w:val="20"/>
                <w:szCs w:val="20"/>
              </w:rPr>
              <w:t> </w:t>
            </w:r>
          </w:p>
        </w:tc>
      </w:tr>
      <w:tr w:rsidR="00000000" w14:paraId="0835365B" w14:textId="77777777">
        <w:trPr>
          <w:divId w:val="98525094"/>
          <w:trHeight w:val="225"/>
          <w:tblCellSpacing w:w="15" w:type="dxa"/>
        </w:trPr>
        <w:tc>
          <w:tcPr>
            <w:tcW w:w="0" w:type="auto"/>
            <w:shd w:val="clear" w:color="auto" w:fill="FFFFFF"/>
            <w:vAlign w:val="center"/>
            <w:hideMark/>
          </w:tcPr>
          <w:p w14:paraId="453549FC"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8641DAB"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3D2E9C9"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D5F947D" w14:textId="77777777" w:rsidR="00000000" w:rsidRDefault="00EB4933">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06D082C3" w14:textId="77777777" w:rsidR="00000000" w:rsidRDefault="00EB4933">
            <w:pPr>
              <w:pStyle w:val="NormalWeb"/>
              <w:spacing w:before="0" w:beforeAutospacing="0" w:after="0" w:afterAutospacing="0"/>
              <w:rPr>
                <w:sz w:val="20"/>
                <w:szCs w:val="20"/>
              </w:rPr>
            </w:pPr>
            <w:r>
              <w:rPr>
                <w:sz w:val="20"/>
                <w:szCs w:val="20"/>
              </w:rPr>
              <w:t> </w:t>
            </w:r>
          </w:p>
        </w:tc>
      </w:tr>
      <w:tr w:rsidR="00000000" w14:paraId="02DF876B" w14:textId="77777777">
        <w:trPr>
          <w:divId w:val="98525094"/>
          <w:trHeight w:val="225"/>
          <w:tblCellSpacing w:w="15" w:type="dxa"/>
        </w:trPr>
        <w:tc>
          <w:tcPr>
            <w:tcW w:w="0" w:type="auto"/>
            <w:shd w:val="clear" w:color="auto" w:fill="FFFFFF"/>
            <w:hideMark/>
          </w:tcPr>
          <w:p w14:paraId="7C72E76B" w14:textId="77777777" w:rsidR="00000000" w:rsidRDefault="00EB4933">
            <w:pPr>
              <w:pStyle w:val="NormalWeb"/>
              <w:spacing w:before="0" w:beforeAutospacing="0" w:after="0" w:afterAutospacing="0"/>
              <w:rPr>
                <w:sz w:val="20"/>
                <w:szCs w:val="20"/>
              </w:rPr>
            </w:pPr>
            <w:hyperlink r:id="rId56" w:anchor="p3" w:history="1">
              <w:r>
                <w:rPr>
                  <w:rStyle w:val="Hyperlink"/>
                  <w:sz w:val="20"/>
                  <w:szCs w:val="20"/>
                </w:rPr>
                <w:t>PART III</w:t>
              </w:r>
            </w:hyperlink>
          </w:p>
        </w:tc>
        <w:tc>
          <w:tcPr>
            <w:tcW w:w="0" w:type="auto"/>
            <w:shd w:val="clear" w:color="auto" w:fill="FFFFFF"/>
            <w:vAlign w:val="center"/>
            <w:hideMark/>
          </w:tcPr>
          <w:p w14:paraId="5F24F412"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7B44EA7"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B3A16AA" w14:textId="77777777" w:rsidR="00000000" w:rsidRDefault="00EB4933">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0E8441DE" w14:textId="77777777" w:rsidR="00000000" w:rsidRDefault="00EB4933">
            <w:pPr>
              <w:pStyle w:val="NormalWeb"/>
              <w:spacing w:before="0" w:beforeAutospacing="0" w:after="0" w:afterAutospacing="0"/>
              <w:rPr>
                <w:sz w:val="20"/>
                <w:szCs w:val="20"/>
              </w:rPr>
            </w:pPr>
            <w:r>
              <w:rPr>
                <w:sz w:val="20"/>
                <w:szCs w:val="20"/>
              </w:rPr>
              <w:t> </w:t>
            </w:r>
          </w:p>
        </w:tc>
      </w:tr>
      <w:tr w:rsidR="00000000" w14:paraId="0F216A5C" w14:textId="77777777">
        <w:trPr>
          <w:divId w:val="98525094"/>
          <w:trHeight w:val="225"/>
          <w:tblCellSpacing w:w="15" w:type="dxa"/>
        </w:trPr>
        <w:tc>
          <w:tcPr>
            <w:tcW w:w="0" w:type="auto"/>
            <w:vAlign w:val="center"/>
            <w:hideMark/>
          </w:tcPr>
          <w:p w14:paraId="545AB5F6"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37039103"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1EDEE720"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68557197"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30F3AC30" w14:textId="77777777" w:rsidR="00000000" w:rsidRDefault="00EB4933">
            <w:pPr>
              <w:pStyle w:val="NormalWeb"/>
              <w:spacing w:before="0" w:beforeAutospacing="0" w:after="0" w:afterAutospacing="0"/>
              <w:rPr>
                <w:sz w:val="20"/>
                <w:szCs w:val="20"/>
              </w:rPr>
            </w:pPr>
            <w:r>
              <w:rPr>
                <w:sz w:val="20"/>
                <w:szCs w:val="20"/>
              </w:rPr>
              <w:t> </w:t>
            </w:r>
          </w:p>
        </w:tc>
      </w:tr>
      <w:tr w:rsidR="00000000" w14:paraId="2E0EAADB" w14:textId="77777777">
        <w:trPr>
          <w:divId w:val="98525094"/>
          <w:trHeight w:val="225"/>
          <w:tblCellSpacing w:w="15" w:type="dxa"/>
        </w:trPr>
        <w:tc>
          <w:tcPr>
            <w:tcW w:w="0" w:type="auto"/>
            <w:shd w:val="clear" w:color="auto" w:fill="CCEEFF"/>
            <w:hideMark/>
          </w:tcPr>
          <w:p w14:paraId="0FF9F263" w14:textId="77777777" w:rsidR="00000000" w:rsidRDefault="00EB4933">
            <w:pPr>
              <w:pStyle w:val="NormalWeb"/>
              <w:spacing w:before="0" w:beforeAutospacing="0" w:after="0" w:afterAutospacing="0"/>
              <w:rPr>
                <w:sz w:val="20"/>
                <w:szCs w:val="20"/>
              </w:rPr>
            </w:pPr>
            <w:hyperlink r:id="rId57" w:anchor="i17" w:history="1">
              <w:r>
                <w:rPr>
                  <w:rStyle w:val="Hyperlink"/>
                  <w:sz w:val="20"/>
                  <w:szCs w:val="20"/>
                </w:rPr>
                <w:t>Item 17.</w:t>
              </w:r>
            </w:hyperlink>
          </w:p>
        </w:tc>
        <w:tc>
          <w:tcPr>
            <w:tcW w:w="0" w:type="auto"/>
            <w:shd w:val="clear" w:color="auto" w:fill="CCEEFF"/>
            <w:hideMark/>
          </w:tcPr>
          <w:p w14:paraId="02D484D4" w14:textId="77777777" w:rsidR="00000000" w:rsidRDefault="00EB4933">
            <w:pPr>
              <w:pStyle w:val="NormalWeb"/>
              <w:spacing w:before="0" w:beforeAutospacing="0" w:after="0" w:afterAutospacing="0"/>
              <w:rPr>
                <w:sz w:val="20"/>
                <w:szCs w:val="20"/>
              </w:rPr>
            </w:pPr>
            <w:hyperlink r:id="rId58" w:anchor="i17" w:history="1">
              <w:r>
                <w:rPr>
                  <w:rStyle w:val="Hyperlink"/>
                  <w:sz w:val="20"/>
                  <w:szCs w:val="20"/>
                </w:rPr>
                <w:t>Financial Statements</w:t>
              </w:r>
            </w:hyperlink>
          </w:p>
        </w:tc>
        <w:tc>
          <w:tcPr>
            <w:tcW w:w="0" w:type="auto"/>
            <w:shd w:val="clear" w:color="auto" w:fill="CCEEFF"/>
            <w:vAlign w:val="center"/>
            <w:hideMark/>
          </w:tcPr>
          <w:p w14:paraId="2DF869B8"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2DFC943C" w14:textId="77777777" w:rsidR="00000000" w:rsidRDefault="00EB4933">
            <w:pPr>
              <w:pStyle w:val="NormalWeb"/>
              <w:spacing w:before="0" w:beforeAutospacing="0" w:after="0" w:afterAutospacing="0"/>
              <w:jc w:val="right"/>
              <w:rPr>
                <w:sz w:val="20"/>
                <w:szCs w:val="20"/>
              </w:rPr>
            </w:pPr>
            <w:r>
              <w:rPr>
                <w:sz w:val="20"/>
                <w:szCs w:val="20"/>
              </w:rPr>
              <w:t>109</w:t>
            </w:r>
          </w:p>
        </w:tc>
        <w:tc>
          <w:tcPr>
            <w:tcW w:w="0" w:type="auto"/>
            <w:shd w:val="clear" w:color="auto" w:fill="CCEEFF"/>
            <w:vAlign w:val="center"/>
            <w:hideMark/>
          </w:tcPr>
          <w:p w14:paraId="4DCF8ADA" w14:textId="77777777" w:rsidR="00000000" w:rsidRDefault="00EB4933">
            <w:pPr>
              <w:pStyle w:val="NormalWeb"/>
              <w:spacing w:before="0" w:beforeAutospacing="0" w:after="0" w:afterAutospacing="0"/>
              <w:rPr>
                <w:sz w:val="20"/>
                <w:szCs w:val="20"/>
              </w:rPr>
            </w:pPr>
            <w:r>
              <w:rPr>
                <w:sz w:val="20"/>
                <w:szCs w:val="20"/>
              </w:rPr>
              <w:t> </w:t>
            </w:r>
          </w:p>
        </w:tc>
      </w:tr>
      <w:tr w:rsidR="00000000" w14:paraId="0BCDAFBF" w14:textId="77777777">
        <w:trPr>
          <w:divId w:val="98525094"/>
          <w:trHeight w:val="225"/>
          <w:tblCellSpacing w:w="15" w:type="dxa"/>
        </w:trPr>
        <w:tc>
          <w:tcPr>
            <w:tcW w:w="0" w:type="auto"/>
            <w:shd w:val="clear" w:color="auto" w:fill="FFFFFF"/>
            <w:hideMark/>
          </w:tcPr>
          <w:p w14:paraId="03BD6F5A" w14:textId="77777777" w:rsidR="00000000" w:rsidRDefault="00EB4933">
            <w:pPr>
              <w:pStyle w:val="NormalWeb"/>
              <w:spacing w:before="0" w:beforeAutospacing="0" w:after="0" w:afterAutospacing="0"/>
              <w:rPr>
                <w:sz w:val="20"/>
                <w:szCs w:val="20"/>
              </w:rPr>
            </w:pPr>
            <w:hyperlink r:id="rId59" w:anchor="i18" w:history="1">
              <w:r>
                <w:rPr>
                  <w:rStyle w:val="Hyperlink"/>
                  <w:sz w:val="20"/>
                  <w:szCs w:val="20"/>
                </w:rPr>
                <w:t>Item 18.</w:t>
              </w:r>
            </w:hyperlink>
          </w:p>
        </w:tc>
        <w:tc>
          <w:tcPr>
            <w:tcW w:w="0" w:type="auto"/>
            <w:shd w:val="clear" w:color="auto" w:fill="FFFFFF"/>
            <w:hideMark/>
          </w:tcPr>
          <w:p w14:paraId="1565705E" w14:textId="77777777" w:rsidR="00000000" w:rsidRDefault="00EB4933">
            <w:pPr>
              <w:pStyle w:val="NormalWeb"/>
              <w:spacing w:before="0" w:beforeAutospacing="0" w:after="0" w:afterAutospacing="0"/>
              <w:rPr>
                <w:sz w:val="20"/>
                <w:szCs w:val="20"/>
              </w:rPr>
            </w:pPr>
            <w:hyperlink r:id="rId60" w:anchor="i18" w:history="1">
              <w:r>
                <w:rPr>
                  <w:rStyle w:val="Hyperlink"/>
                  <w:sz w:val="20"/>
                  <w:szCs w:val="20"/>
                </w:rPr>
                <w:t>Financial Statements</w:t>
              </w:r>
            </w:hyperlink>
          </w:p>
        </w:tc>
        <w:tc>
          <w:tcPr>
            <w:tcW w:w="0" w:type="auto"/>
            <w:shd w:val="clear" w:color="auto" w:fill="FFFFFF"/>
            <w:vAlign w:val="center"/>
            <w:hideMark/>
          </w:tcPr>
          <w:p w14:paraId="6F94811D"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2F2A33DE" w14:textId="77777777" w:rsidR="00000000" w:rsidRDefault="00EB4933">
            <w:pPr>
              <w:pStyle w:val="NormalWeb"/>
              <w:spacing w:before="0" w:beforeAutospacing="0" w:after="0" w:afterAutospacing="0"/>
              <w:jc w:val="right"/>
              <w:rPr>
                <w:sz w:val="20"/>
                <w:szCs w:val="20"/>
              </w:rPr>
            </w:pPr>
            <w:r>
              <w:rPr>
                <w:sz w:val="20"/>
                <w:szCs w:val="20"/>
              </w:rPr>
              <w:t>109</w:t>
            </w:r>
          </w:p>
        </w:tc>
        <w:tc>
          <w:tcPr>
            <w:tcW w:w="0" w:type="auto"/>
            <w:shd w:val="clear" w:color="auto" w:fill="FFFFFF"/>
            <w:vAlign w:val="center"/>
            <w:hideMark/>
          </w:tcPr>
          <w:p w14:paraId="011488B8" w14:textId="77777777" w:rsidR="00000000" w:rsidRDefault="00EB4933">
            <w:pPr>
              <w:pStyle w:val="NormalWeb"/>
              <w:spacing w:before="0" w:beforeAutospacing="0" w:after="0" w:afterAutospacing="0"/>
              <w:rPr>
                <w:sz w:val="20"/>
                <w:szCs w:val="20"/>
              </w:rPr>
            </w:pPr>
            <w:r>
              <w:rPr>
                <w:sz w:val="20"/>
                <w:szCs w:val="20"/>
              </w:rPr>
              <w:t> </w:t>
            </w:r>
          </w:p>
        </w:tc>
      </w:tr>
      <w:tr w:rsidR="00000000" w14:paraId="36C73C6E" w14:textId="77777777">
        <w:trPr>
          <w:divId w:val="98525094"/>
          <w:trHeight w:val="225"/>
          <w:tblCellSpacing w:w="15" w:type="dxa"/>
        </w:trPr>
        <w:tc>
          <w:tcPr>
            <w:tcW w:w="0" w:type="auto"/>
            <w:shd w:val="clear" w:color="auto" w:fill="CCEEFF"/>
            <w:hideMark/>
          </w:tcPr>
          <w:p w14:paraId="6CDBEF01" w14:textId="77777777" w:rsidR="00000000" w:rsidRDefault="00EB4933">
            <w:pPr>
              <w:pStyle w:val="NormalWeb"/>
              <w:spacing w:before="0" w:beforeAutospacing="0" w:after="0" w:afterAutospacing="0"/>
              <w:rPr>
                <w:sz w:val="20"/>
                <w:szCs w:val="20"/>
              </w:rPr>
            </w:pPr>
            <w:hyperlink r:id="rId61" w:anchor="i19" w:history="1">
              <w:r>
                <w:rPr>
                  <w:rStyle w:val="Hyperlink"/>
                  <w:sz w:val="20"/>
                  <w:szCs w:val="20"/>
                </w:rPr>
                <w:t>Item 19.</w:t>
              </w:r>
            </w:hyperlink>
          </w:p>
        </w:tc>
        <w:tc>
          <w:tcPr>
            <w:tcW w:w="0" w:type="auto"/>
            <w:shd w:val="clear" w:color="auto" w:fill="CCEEFF"/>
            <w:hideMark/>
          </w:tcPr>
          <w:p w14:paraId="4C6CDCAE" w14:textId="77777777" w:rsidR="00000000" w:rsidRDefault="00EB4933">
            <w:pPr>
              <w:pStyle w:val="NormalWeb"/>
              <w:spacing w:before="0" w:beforeAutospacing="0" w:after="0" w:afterAutospacing="0"/>
              <w:rPr>
                <w:sz w:val="20"/>
                <w:szCs w:val="20"/>
              </w:rPr>
            </w:pPr>
            <w:hyperlink r:id="rId62" w:anchor="i19" w:history="1">
              <w:r>
                <w:rPr>
                  <w:rStyle w:val="Hyperlink"/>
                  <w:sz w:val="20"/>
                  <w:szCs w:val="20"/>
                </w:rPr>
                <w:t>Exhibits</w:t>
              </w:r>
            </w:hyperlink>
          </w:p>
        </w:tc>
        <w:tc>
          <w:tcPr>
            <w:tcW w:w="0" w:type="auto"/>
            <w:shd w:val="clear" w:color="auto" w:fill="CCEEFF"/>
            <w:vAlign w:val="center"/>
            <w:hideMark/>
          </w:tcPr>
          <w:p w14:paraId="075AE33E"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44CC87CE" w14:textId="77777777" w:rsidR="00000000" w:rsidRDefault="00EB4933">
            <w:pPr>
              <w:pStyle w:val="NormalWeb"/>
              <w:spacing w:before="0" w:beforeAutospacing="0" w:after="0" w:afterAutospacing="0"/>
              <w:jc w:val="right"/>
              <w:rPr>
                <w:sz w:val="20"/>
                <w:szCs w:val="20"/>
              </w:rPr>
            </w:pPr>
            <w:r>
              <w:rPr>
                <w:sz w:val="20"/>
                <w:szCs w:val="20"/>
              </w:rPr>
              <w:t>109</w:t>
            </w:r>
          </w:p>
        </w:tc>
        <w:tc>
          <w:tcPr>
            <w:tcW w:w="0" w:type="auto"/>
            <w:shd w:val="clear" w:color="auto" w:fill="CCEEFF"/>
            <w:vAlign w:val="center"/>
            <w:hideMark/>
          </w:tcPr>
          <w:p w14:paraId="7582D235" w14:textId="77777777" w:rsidR="00000000" w:rsidRDefault="00EB4933">
            <w:pPr>
              <w:pStyle w:val="NormalWeb"/>
              <w:spacing w:before="0" w:beforeAutospacing="0" w:after="0" w:afterAutospacing="0"/>
              <w:rPr>
                <w:sz w:val="20"/>
                <w:szCs w:val="20"/>
              </w:rPr>
            </w:pPr>
            <w:r>
              <w:rPr>
                <w:sz w:val="20"/>
                <w:szCs w:val="20"/>
              </w:rPr>
              <w:t> </w:t>
            </w:r>
          </w:p>
        </w:tc>
      </w:tr>
    </w:tbl>
    <w:p w14:paraId="1466277F"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6D3DF86" w14:textId="77777777">
        <w:trPr>
          <w:divId w:val="98525094"/>
          <w:trHeight w:val="225"/>
          <w:tblCellSpacing w:w="15" w:type="dxa"/>
        </w:trPr>
        <w:tc>
          <w:tcPr>
            <w:tcW w:w="0" w:type="auto"/>
            <w:vAlign w:val="center"/>
            <w:hideMark/>
          </w:tcPr>
          <w:p w14:paraId="2E05FD51" w14:textId="77777777" w:rsidR="00000000" w:rsidRDefault="00EB4933">
            <w:pPr>
              <w:rPr>
                <w:rFonts w:eastAsia="Times New Roman"/>
                <w:sz w:val="20"/>
                <w:szCs w:val="20"/>
              </w:rPr>
            </w:pPr>
            <w:r>
              <w:rPr>
                <w:rFonts w:eastAsia="Times New Roman"/>
                <w:sz w:val="20"/>
                <w:szCs w:val="20"/>
              </w:rPr>
              <w:t> </w:t>
            </w:r>
          </w:p>
        </w:tc>
      </w:tr>
      <w:tr w:rsidR="00000000" w14:paraId="2F2F521B" w14:textId="77777777">
        <w:trPr>
          <w:divId w:val="98525094"/>
          <w:trHeight w:val="225"/>
          <w:tblCellSpacing w:w="15" w:type="dxa"/>
        </w:trPr>
        <w:tc>
          <w:tcPr>
            <w:tcW w:w="0" w:type="auto"/>
            <w:tcBorders>
              <w:bottom w:val="single" w:sz="6" w:space="0" w:color="000000"/>
            </w:tcBorders>
            <w:vAlign w:val="center"/>
            <w:hideMark/>
          </w:tcPr>
          <w:p w14:paraId="7932DC03" w14:textId="77777777" w:rsidR="00000000" w:rsidRDefault="00EB4933">
            <w:pPr>
              <w:jc w:val="center"/>
              <w:rPr>
                <w:rFonts w:eastAsia="Times New Roman"/>
                <w:sz w:val="20"/>
                <w:szCs w:val="20"/>
              </w:rPr>
            </w:pPr>
            <w:r>
              <w:rPr>
                <w:rFonts w:eastAsia="Times New Roman"/>
                <w:sz w:val="20"/>
                <w:szCs w:val="20"/>
              </w:rPr>
              <w:t>3</w:t>
            </w:r>
          </w:p>
        </w:tc>
      </w:tr>
      <w:tr w:rsidR="00000000" w14:paraId="1AEFD0E1" w14:textId="77777777">
        <w:trPr>
          <w:divId w:val="98525094"/>
          <w:trHeight w:val="225"/>
          <w:tblCellSpacing w:w="15" w:type="dxa"/>
        </w:trPr>
        <w:tc>
          <w:tcPr>
            <w:tcW w:w="0" w:type="auto"/>
            <w:vAlign w:val="center"/>
            <w:hideMark/>
          </w:tcPr>
          <w:p w14:paraId="456DA8C1" w14:textId="77777777" w:rsidR="00000000" w:rsidRDefault="00EB4933">
            <w:pPr>
              <w:rPr>
                <w:rFonts w:eastAsia="Times New Roman"/>
                <w:sz w:val="20"/>
                <w:szCs w:val="20"/>
              </w:rPr>
            </w:pPr>
          </w:p>
        </w:tc>
      </w:tr>
      <w:tr w:rsidR="00000000" w14:paraId="40F08730" w14:textId="77777777">
        <w:trPr>
          <w:divId w:val="98525094"/>
          <w:trHeight w:val="225"/>
          <w:tblCellSpacing w:w="15" w:type="dxa"/>
        </w:trPr>
        <w:tc>
          <w:tcPr>
            <w:tcW w:w="0" w:type="auto"/>
            <w:vAlign w:val="center"/>
            <w:hideMark/>
          </w:tcPr>
          <w:p w14:paraId="7D2CF644" w14:textId="77777777" w:rsidR="00000000" w:rsidRDefault="00EB4933">
            <w:pPr>
              <w:rPr>
                <w:rFonts w:eastAsia="Times New Roman"/>
                <w:sz w:val="20"/>
                <w:szCs w:val="20"/>
              </w:rPr>
            </w:pPr>
            <w:hyperlink r:id="rId63" w:anchor="toc" w:history="1">
              <w:r>
                <w:rPr>
                  <w:rStyle w:val="Hyperlink"/>
                  <w:rFonts w:eastAsia="Times New Roman"/>
                  <w:i/>
                  <w:iCs/>
                  <w:sz w:val="20"/>
                  <w:szCs w:val="20"/>
                </w:rPr>
                <w:t>Table of Contents</w:t>
              </w:r>
            </w:hyperlink>
          </w:p>
        </w:tc>
      </w:tr>
    </w:tbl>
    <w:p w14:paraId="667F194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4F96E4B" w14:textId="77777777" w:rsidR="00000000" w:rsidRDefault="00EB4933">
      <w:pPr>
        <w:pStyle w:val="NormalWeb"/>
        <w:spacing w:before="0" w:beforeAutospacing="0" w:after="0" w:afterAutospacing="0"/>
        <w:jc w:val="center"/>
        <w:divId w:val="98525094"/>
        <w:rPr>
          <w:sz w:val="20"/>
          <w:szCs w:val="20"/>
        </w:rPr>
      </w:pPr>
      <w:bookmarkStart w:id="1" w:name="CONVENTIONS"/>
      <w:r>
        <w:rPr>
          <w:rStyle w:val="Strong"/>
          <w:sz w:val="20"/>
          <w:szCs w:val="20"/>
        </w:rPr>
        <w:t>CONVENTIONS</w:t>
      </w:r>
      <w:bookmarkEnd w:id="1"/>
      <w:r>
        <w:rPr>
          <w:rStyle w:val="Strong"/>
          <w:sz w:val="20"/>
          <w:szCs w:val="20"/>
        </w:rPr>
        <w:t xml:space="preserve"> THAT APPLY TO THIS ANNUAL REPORT</w:t>
      </w:r>
    </w:p>
    <w:p w14:paraId="6009013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481AB19" w14:textId="77777777" w:rsidR="00000000" w:rsidRDefault="00EB4933">
      <w:pPr>
        <w:pStyle w:val="NormalWeb"/>
        <w:spacing w:before="0" w:beforeAutospacing="0" w:after="0" w:afterAutospacing="0"/>
        <w:jc w:val="both"/>
        <w:divId w:val="98525094"/>
        <w:rPr>
          <w:sz w:val="20"/>
          <w:szCs w:val="20"/>
        </w:rPr>
      </w:pPr>
      <w:r>
        <w:rPr>
          <w:sz w:val="20"/>
          <w:szCs w:val="20"/>
        </w:rPr>
        <w:t>Unless otherwise indicated, references in this annual report to:</w:t>
      </w:r>
    </w:p>
    <w:p w14:paraId="0D8DB66D"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45"/>
        <w:gridCol w:w="8815"/>
      </w:tblGrid>
      <w:tr w:rsidR="00000000" w14:paraId="372FEF28" w14:textId="77777777">
        <w:trPr>
          <w:divId w:val="98525094"/>
          <w:trHeight w:val="225"/>
          <w:tblCellSpacing w:w="15" w:type="dxa"/>
        </w:trPr>
        <w:tc>
          <w:tcPr>
            <w:tcW w:w="200" w:type="pct"/>
            <w:hideMark/>
          </w:tcPr>
          <w:p w14:paraId="109C2CFF"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5276EB5B" w14:textId="77777777" w:rsidR="00000000" w:rsidRDefault="00EB4933">
            <w:pPr>
              <w:jc w:val="both"/>
              <w:rPr>
                <w:rFonts w:eastAsia="Times New Roman"/>
                <w:sz w:val="20"/>
                <w:szCs w:val="20"/>
              </w:rPr>
            </w:pPr>
            <w:r>
              <w:rPr>
                <w:rFonts w:eastAsia="Times New Roman"/>
                <w:sz w:val="20"/>
                <w:szCs w:val="20"/>
              </w:rPr>
              <w:t xml:space="preserve">“ADRs” </w:t>
            </w:r>
            <w:r>
              <w:rPr>
                <w:rFonts w:eastAsia="Times New Roman"/>
                <w:sz w:val="20"/>
                <w:szCs w:val="20"/>
              </w:rPr>
              <w:t>refer to the American depositary receipts that evidence our ADSs;</w:t>
            </w:r>
          </w:p>
        </w:tc>
      </w:tr>
      <w:tr w:rsidR="00000000" w14:paraId="2416BB35" w14:textId="77777777">
        <w:trPr>
          <w:divId w:val="98525094"/>
          <w:trHeight w:val="225"/>
          <w:tblCellSpacing w:w="15" w:type="dxa"/>
        </w:trPr>
        <w:tc>
          <w:tcPr>
            <w:tcW w:w="0" w:type="auto"/>
            <w:vAlign w:val="center"/>
            <w:hideMark/>
          </w:tcPr>
          <w:p w14:paraId="44F696FD"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430B505C"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87D4968" w14:textId="77777777">
        <w:trPr>
          <w:divId w:val="98525094"/>
          <w:trHeight w:val="225"/>
          <w:tblCellSpacing w:w="15" w:type="dxa"/>
        </w:trPr>
        <w:tc>
          <w:tcPr>
            <w:tcW w:w="0" w:type="auto"/>
            <w:hideMark/>
          </w:tcPr>
          <w:p w14:paraId="1718954E"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25249BE4" w14:textId="77777777" w:rsidR="00000000" w:rsidRDefault="00EB4933">
            <w:pPr>
              <w:jc w:val="both"/>
              <w:rPr>
                <w:rFonts w:eastAsia="Times New Roman"/>
                <w:sz w:val="20"/>
                <w:szCs w:val="20"/>
              </w:rPr>
            </w:pPr>
            <w:r>
              <w:rPr>
                <w:rFonts w:eastAsia="Times New Roman"/>
                <w:sz w:val="20"/>
                <w:szCs w:val="20"/>
              </w:rPr>
              <w:t xml:space="preserve">“ADSs” </w:t>
            </w:r>
            <w:r>
              <w:rPr>
                <w:rFonts w:eastAsia="Times New Roman"/>
                <w:sz w:val="20"/>
                <w:szCs w:val="20"/>
              </w:rPr>
              <w:t xml:space="preserve">refer to our American depositary shares. Prior to December 17, 2014, each ADS represented the right to receive four (4) ordinary shares, par value $0.00005 per share (the “Shares”), from December 18, 2014, the right to receive sixteen (16) Shares and from </w:t>
            </w:r>
            <w:r>
              <w:rPr>
                <w:rFonts w:eastAsia="Times New Roman"/>
                <w:sz w:val="20"/>
                <w:szCs w:val="20"/>
              </w:rPr>
              <w:t>December 28, 2017, the right to receive forty-eight (48) Shares;</w:t>
            </w:r>
          </w:p>
        </w:tc>
      </w:tr>
      <w:tr w:rsidR="00000000" w14:paraId="20178A2A" w14:textId="77777777">
        <w:trPr>
          <w:divId w:val="98525094"/>
          <w:trHeight w:val="225"/>
          <w:tblCellSpacing w:w="15" w:type="dxa"/>
        </w:trPr>
        <w:tc>
          <w:tcPr>
            <w:tcW w:w="0" w:type="auto"/>
            <w:vAlign w:val="center"/>
            <w:hideMark/>
          </w:tcPr>
          <w:p w14:paraId="4975CA83"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46E6D21D"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1C74EC9" w14:textId="77777777">
        <w:trPr>
          <w:divId w:val="98525094"/>
          <w:trHeight w:val="225"/>
          <w:tblCellSpacing w:w="15" w:type="dxa"/>
        </w:trPr>
        <w:tc>
          <w:tcPr>
            <w:tcW w:w="0" w:type="auto"/>
            <w:hideMark/>
          </w:tcPr>
          <w:p w14:paraId="421C28C0"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4D543021" w14:textId="77777777" w:rsidR="00000000" w:rsidRDefault="00EB4933">
            <w:pPr>
              <w:jc w:val="both"/>
              <w:rPr>
                <w:rFonts w:eastAsia="Times New Roman"/>
                <w:sz w:val="20"/>
                <w:szCs w:val="20"/>
              </w:rPr>
            </w:pPr>
            <w:r>
              <w:rPr>
                <w:rFonts w:eastAsia="Times New Roman"/>
                <w:sz w:val="20"/>
                <w:szCs w:val="20"/>
              </w:rPr>
              <w:t>“CBRC” refers to the China Banking Regulatory Commission;</w:t>
            </w:r>
          </w:p>
        </w:tc>
      </w:tr>
      <w:tr w:rsidR="00000000" w14:paraId="77F64A0A" w14:textId="77777777">
        <w:trPr>
          <w:divId w:val="98525094"/>
          <w:trHeight w:val="225"/>
          <w:tblCellSpacing w:w="15" w:type="dxa"/>
        </w:trPr>
        <w:tc>
          <w:tcPr>
            <w:tcW w:w="0" w:type="auto"/>
            <w:vAlign w:val="center"/>
            <w:hideMark/>
          </w:tcPr>
          <w:p w14:paraId="462644F8"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4530B0AA"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118A0708" w14:textId="77777777">
        <w:trPr>
          <w:divId w:val="98525094"/>
          <w:trHeight w:val="225"/>
          <w:tblCellSpacing w:w="15" w:type="dxa"/>
        </w:trPr>
        <w:tc>
          <w:tcPr>
            <w:tcW w:w="0" w:type="auto"/>
            <w:hideMark/>
          </w:tcPr>
          <w:p w14:paraId="3E834B22"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4DE62799" w14:textId="77777777" w:rsidR="00000000" w:rsidRDefault="00EB4933">
            <w:pPr>
              <w:jc w:val="both"/>
              <w:rPr>
                <w:rFonts w:eastAsia="Times New Roman"/>
                <w:sz w:val="20"/>
                <w:szCs w:val="20"/>
              </w:rPr>
            </w:pPr>
            <w:r>
              <w:rPr>
                <w:rFonts w:eastAsia="Times New Roman"/>
                <w:sz w:val="20"/>
                <w:szCs w:val="20"/>
              </w:rPr>
              <w:t>“China” or the “PRC” refers to the People’s Republic of China, excluding, for the purpose of this document only, Taiw</w:t>
            </w:r>
            <w:r>
              <w:rPr>
                <w:rFonts w:eastAsia="Times New Roman"/>
                <w:sz w:val="20"/>
                <w:szCs w:val="20"/>
              </w:rPr>
              <w:t>an and the special administrative regions of Hong Kong and Macau;</w:t>
            </w:r>
          </w:p>
        </w:tc>
      </w:tr>
      <w:tr w:rsidR="00000000" w14:paraId="5D417F78" w14:textId="77777777">
        <w:trPr>
          <w:divId w:val="98525094"/>
          <w:trHeight w:val="225"/>
          <w:tblCellSpacing w:w="15" w:type="dxa"/>
        </w:trPr>
        <w:tc>
          <w:tcPr>
            <w:tcW w:w="0" w:type="auto"/>
            <w:vAlign w:val="center"/>
            <w:hideMark/>
          </w:tcPr>
          <w:p w14:paraId="773C6757"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3555F9A"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0A9DF45" w14:textId="77777777">
        <w:trPr>
          <w:divId w:val="98525094"/>
          <w:trHeight w:val="225"/>
          <w:tblCellSpacing w:w="15" w:type="dxa"/>
        </w:trPr>
        <w:tc>
          <w:tcPr>
            <w:tcW w:w="0" w:type="auto"/>
            <w:hideMark/>
          </w:tcPr>
          <w:p w14:paraId="34C40758"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5F5A9242" w14:textId="77777777" w:rsidR="00000000" w:rsidRDefault="00EB4933">
            <w:pPr>
              <w:jc w:val="both"/>
              <w:rPr>
                <w:rFonts w:eastAsia="Times New Roman"/>
                <w:sz w:val="20"/>
                <w:szCs w:val="20"/>
              </w:rPr>
            </w:pPr>
            <w:r>
              <w:rPr>
                <w:rFonts w:eastAsia="Times New Roman"/>
                <w:sz w:val="20"/>
                <w:szCs w:val="20"/>
              </w:rPr>
              <w:t>“Company”, “we,” and “us” refer to Dunxin Financial Holdings Limited, a Cayman Islands company, and its consolidated subsidiaries, including the 80% VIE operating company, Hubei Chut</w:t>
            </w:r>
            <w:r>
              <w:rPr>
                <w:rFonts w:eastAsia="Times New Roman"/>
                <w:sz w:val="20"/>
                <w:szCs w:val="20"/>
              </w:rPr>
              <w:t xml:space="preserve">ian Microfinance Co., Ltd., a PRC company following the closing of the CIB Transaction (defined below). When used herein to describe events prior to the CIB Transaction, the terms “Company”, “Xiniya”, “we” and “us” refers to Dunxin Financial </w:t>
            </w:r>
            <w:r>
              <w:rPr>
                <w:rFonts w:eastAsia="Times New Roman"/>
                <w:sz w:val="20"/>
                <w:szCs w:val="20"/>
              </w:rPr>
              <w:lastRenderedPageBreak/>
              <w:t>Holdings, Limi</w:t>
            </w:r>
            <w:r>
              <w:rPr>
                <w:rFonts w:eastAsia="Times New Roman"/>
                <w:sz w:val="20"/>
                <w:szCs w:val="20"/>
              </w:rPr>
              <w:t xml:space="preserve">ted (formerly known as China Xiniya Fashion Limited) and its consolidated subsidiaries before such time. </w:t>
            </w:r>
          </w:p>
        </w:tc>
      </w:tr>
      <w:tr w:rsidR="00000000" w14:paraId="732A7A4C" w14:textId="77777777">
        <w:trPr>
          <w:divId w:val="98525094"/>
          <w:trHeight w:val="225"/>
          <w:tblCellSpacing w:w="15" w:type="dxa"/>
        </w:trPr>
        <w:tc>
          <w:tcPr>
            <w:tcW w:w="0" w:type="auto"/>
            <w:vAlign w:val="center"/>
            <w:hideMark/>
          </w:tcPr>
          <w:p w14:paraId="7FE7261D" w14:textId="77777777" w:rsidR="00000000" w:rsidRDefault="00EB4933">
            <w:pPr>
              <w:pStyle w:val="NormalWeb"/>
              <w:spacing w:before="0" w:beforeAutospacing="0" w:after="0" w:afterAutospacing="0"/>
              <w:ind w:firstLine="450"/>
              <w:jc w:val="both"/>
              <w:rPr>
                <w:sz w:val="20"/>
                <w:szCs w:val="20"/>
              </w:rPr>
            </w:pPr>
            <w:r>
              <w:rPr>
                <w:sz w:val="20"/>
                <w:szCs w:val="20"/>
              </w:rPr>
              <w:lastRenderedPageBreak/>
              <w:t> </w:t>
            </w:r>
          </w:p>
        </w:tc>
        <w:tc>
          <w:tcPr>
            <w:tcW w:w="0" w:type="auto"/>
            <w:vAlign w:val="center"/>
            <w:hideMark/>
          </w:tcPr>
          <w:p w14:paraId="61AE34BF"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D53AC26" w14:textId="77777777">
        <w:trPr>
          <w:divId w:val="98525094"/>
          <w:trHeight w:val="225"/>
          <w:tblCellSpacing w:w="15" w:type="dxa"/>
        </w:trPr>
        <w:tc>
          <w:tcPr>
            <w:tcW w:w="0" w:type="auto"/>
            <w:hideMark/>
          </w:tcPr>
          <w:p w14:paraId="3FA29990"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5BEA0F23" w14:textId="77777777" w:rsidR="00000000" w:rsidRDefault="00EB4933">
            <w:pPr>
              <w:jc w:val="both"/>
              <w:rPr>
                <w:rFonts w:eastAsia="Times New Roman"/>
                <w:sz w:val="20"/>
                <w:szCs w:val="20"/>
              </w:rPr>
            </w:pPr>
            <w:r>
              <w:rPr>
                <w:rFonts w:eastAsia="Times New Roman"/>
                <w:sz w:val="20"/>
                <w:szCs w:val="20"/>
              </w:rPr>
              <w:t>“CSRC” refers to the China Securities Regulatory Commission;</w:t>
            </w:r>
          </w:p>
        </w:tc>
      </w:tr>
      <w:tr w:rsidR="00000000" w14:paraId="168C2D94" w14:textId="77777777">
        <w:trPr>
          <w:divId w:val="98525094"/>
          <w:trHeight w:val="225"/>
          <w:tblCellSpacing w:w="15" w:type="dxa"/>
        </w:trPr>
        <w:tc>
          <w:tcPr>
            <w:tcW w:w="0" w:type="auto"/>
            <w:vAlign w:val="center"/>
            <w:hideMark/>
          </w:tcPr>
          <w:p w14:paraId="4E000000"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710CE3CD"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5ADF631" w14:textId="77777777">
        <w:trPr>
          <w:divId w:val="98525094"/>
          <w:trHeight w:val="225"/>
          <w:tblCellSpacing w:w="15" w:type="dxa"/>
        </w:trPr>
        <w:tc>
          <w:tcPr>
            <w:tcW w:w="0" w:type="auto"/>
            <w:hideMark/>
          </w:tcPr>
          <w:p w14:paraId="1ABD5538"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6C7AFFA3" w14:textId="77777777" w:rsidR="00000000" w:rsidRDefault="00EB4933">
            <w:pPr>
              <w:jc w:val="both"/>
              <w:rPr>
                <w:rFonts w:eastAsia="Times New Roman"/>
                <w:sz w:val="20"/>
                <w:szCs w:val="20"/>
              </w:rPr>
            </w:pPr>
            <w:r>
              <w:rPr>
                <w:rFonts w:eastAsia="Times New Roman"/>
                <w:sz w:val="20"/>
                <w:szCs w:val="20"/>
              </w:rPr>
              <w:t xml:space="preserve">“Chutian” </w:t>
            </w:r>
            <w:r>
              <w:rPr>
                <w:rFonts w:eastAsia="Times New Roman"/>
                <w:sz w:val="20"/>
                <w:szCs w:val="20"/>
              </w:rPr>
              <w:t>refers to Hubei Chutian Microfinance Co., Ltd., a PRC company, and an indirect 80% variable interest entity of Dunxin Financial Holdings Limited;</w:t>
            </w:r>
          </w:p>
        </w:tc>
      </w:tr>
      <w:tr w:rsidR="00000000" w14:paraId="2788E89D" w14:textId="77777777">
        <w:trPr>
          <w:divId w:val="98525094"/>
          <w:trHeight w:val="225"/>
          <w:tblCellSpacing w:w="15" w:type="dxa"/>
        </w:trPr>
        <w:tc>
          <w:tcPr>
            <w:tcW w:w="0" w:type="auto"/>
            <w:vAlign w:val="center"/>
            <w:hideMark/>
          </w:tcPr>
          <w:p w14:paraId="3DCA97E2"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20318A07"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4C81F8B" w14:textId="77777777">
        <w:trPr>
          <w:divId w:val="98525094"/>
          <w:trHeight w:val="225"/>
          <w:tblCellSpacing w:w="15" w:type="dxa"/>
        </w:trPr>
        <w:tc>
          <w:tcPr>
            <w:tcW w:w="0" w:type="auto"/>
            <w:hideMark/>
          </w:tcPr>
          <w:p w14:paraId="4A50A01B"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121B1A2E" w14:textId="77777777" w:rsidR="00000000" w:rsidRDefault="00EB4933">
            <w:pPr>
              <w:jc w:val="both"/>
              <w:rPr>
                <w:rFonts w:eastAsia="Times New Roman"/>
                <w:sz w:val="20"/>
                <w:szCs w:val="20"/>
              </w:rPr>
            </w:pPr>
            <w:r>
              <w:rPr>
                <w:rFonts w:eastAsia="Times New Roman"/>
                <w:sz w:val="20"/>
                <w:szCs w:val="20"/>
              </w:rPr>
              <w:t>“Chutian Holding” refers to Wuhan Chutian Holding Limited, a PRC company;</w:t>
            </w:r>
          </w:p>
        </w:tc>
      </w:tr>
      <w:tr w:rsidR="00000000" w14:paraId="77903879" w14:textId="77777777">
        <w:trPr>
          <w:divId w:val="98525094"/>
          <w:trHeight w:val="225"/>
          <w:tblCellSpacing w:w="15" w:type="dxa"/>
        </w:trPr>
        <w:tc>
          <w:tcPr>
            <w:tcW w:w="0" w:type="auto"/>
            <w:vAlign w:val="center"/>
            <w:hideMark/>
          </w:tcPr>
          <w:p w14:paraId="7C6EE040"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449DDF66"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734B532C" w14:textId="77777777">
        <w:trPr>
          <w:divId w:val="98525094"/>
          <w:trHeight w:val="225"/>
          <w:tblCellSpacing w:w="15" w:type="dxa"/>
        </w:trPr>
        <w:tc>
          <w:tcPr>
            <w:tcW w:w="0" w:type="auto"/>
            <w:hideMark/>
          </w:tcPr>
          <w:p w14:paraId="72D373CA"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350DF3B6" w14:textId="77777777" w:rsidR="00000000" w:rsidRDefault="00EB4933">
            <w:pPr>
              <w:jc w:val="both"/>
              <w:rPr>
                <w:rFonts w:eastAsia="Times New Roman"/>
                <w:sz w:val="20"/>
                <w:szCs w:val="20"/>
              </w:rPr>
            </w:pPr>
            <w:r>
              <w:rPr>
                <w:rFonts w:eastAsia="Times New Roman"/>
                <w:sz w:val="20"/>
                <w:szCs w:val="20"/>
              </w:rPr>
              <w:t>“</w:t>
            </w:r>
            <w:r>
              <w:rPr>
                <w:rFonts w:eastAsia="Times New Roman"/>
                <w:sz w:val="20"/>
                <w:szCs w:val="20"/>
              </w:rPr>
              <w:t xml:space="preserve">Exchange Act” refers to the Securities Exchange Act of 1934, as amended; </w:t>
            </w:r>
          </w:p>
        </w:tc>
      </w:tr>
      <w:tr w:rsidR="00000000" w14:paraId="7057B098" w14:textId="77777777">
        <w:trPr>
          <w:divId w:val="98525094"/>
          <w:trHeight w:val="225"/>
          <w:tblCellSpacing w:w="15" w:type="dxa"/>
        </w:trPr>
        <w:tc>
          <w:tcPr>
            <w:tcW w:w="0" w:type="auto"/>
            <w:vAlign w:val="center"/>
            <w:hideMark/>
          </w:tcPr>
          <w:p w14:paraId="2BC2B8D2"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8391140"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AFE8C15" w14:textId="77777777">
        <w:trPr>
          <w:divId w:val="98525094"/>
          <w:trHeight w:val="225"/>
          <w:tblCellSpacing w:w="15" w:type="dxa"/>
        </w:trPr>
        <w:tc>
          <w:tcPr>
            <w:tcW w:w="0" w:type="auto"/>
            <w:hideMark/>
          </w:tcPr>
          <w:p w14:paraId="6F1EAA15"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066FD301" w14:textId="77777777" w:rsidR="00000000" w:rsidRDefault="00EB4933">
            <w:pPr>
              <w:jc w:val="both"/>
              <w:rPr>
                <w:rFonts w:eastAsia="Times New Roman"/>
                <w:sz w:val="20"/>
                <w:szCs w:val="20"/>
              </w:rPr>
            </w:pPr>
            <w:r>
              <w:rPr>
                <w:rFonts w:eastAsia="Times New Roman"/>
                <w:sz w:val="20"/>
                <w:szCs w:val="20"/>
              </w:rPr>
              <w:t>“Honest Plus” refers to Honest Plus Investments Limited, a British Virgin Islands company;</w:t>
            </w:r>
          </w:p>
        </w:tc>
      </w:tr>
      <w:tr w:rsidR="00000000" w14:paraId="15B9B638" w14:textId="77777777">
        <w:trPr>
          <w:divId w:val="98525094"/>
          <w:trHeight w:val="225"/>
          <w:tblCellSpacing w:w="15" w:type="dxa"/>
        </w:trPr>
        <w:tc>
          <w:tcPr>
            <w:tcW w:w="0" w:type="auto"/>
            <w:vAlign w:val="center"/>
            <w:hideMark/>
          </w:tcPr>
          <w:p w14:paraId="6250B660"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4D717C48"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6937E468" w14:textId="77777777">
        <w:trPr>
          <w:divId w:val="98525094"/>
          <w:trHeight w:val="225"/>
          <w:tblCellSpacing w:w="15" w:type="dxa"/>
        </w:trPr>
        <w:tc>
          <w:tcPr>
            <w:tcW w:w="0" w:type="auto"/>
            <w:hideMark/>
          </w:tcPr>
          <w:p w14:paraId="10903094"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06A45404" w14:textId="77777777" w:rsidR="00000000" w:rsidRDefault="00EB4933">
            <w:pPr>
              <w:jc w:val="both"/>
              <w:rPr>
                <w:rFonts w:eastAsia="Times New Roman"/>
                <w:sz w:val="20"/>
                <w:szCs w:val="20"/>
              </w:rPr>
            </w:pPr>
            <w:r>
              <w:rPr>
                <w:rFonts w:eastAsia="Times New Roman"/>
                <w:sz w:val="20"/>
                <w:szCs w:val="20"/>
              </w:rPr>
              <w:t>“HK$” refers to the legal currency of Hong Kong;</w:t>
            </w:r>
          </w:p>
        </w:tc>
      </w:tr>
      <w:tr w:rsidR="00000000" w14:paraId="3529B4F8" w14:textId="77777777">
        <w:trPr>
          <w:divId w:val="98525094"/>
          <w:trHeight w:val="225"/>
          <w:tblCellSpacing w:w="15" w:type="dxa"/>
        </w:trPr>
        <w:tc>
          <w:tcPr>
            <w:tcW w:w="0" w:type="auto"/>
            <w:vAlign w:val="center"/>
            <w:hideMark/>
          </w:tcPr>
          <w:p w14:paraId="20426A83"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2EFCD951"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0C0F7A7" w14:textId="77777777">
        <w:trPr>
          <w:divId w:val="98525094"/>
          <w:trHeight w:val="225"/>
          <w:tblCellSpacing w:w="15" w:type="dxa"/>
        </w:trPr>
        <w:tc>
          <w:tcPr>
            <w:tcW w:w="0" w:type="auto"/>
            <w:hideMark/>
          </w:tcPr>
          <w:p w14:paraId="1C105EF2"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3B171D04" w14:textId="77777777" w:rsidR="00000000" w:rsidRDefault="00EB4933">
            <w:pPr>
              <w:jc w:val="both"/>
              <w:rPr>
                <w:rFonts w:eastAsia="Times New Roman"/>
                <w:sz w:val="20"/>
                <w:szCs w:val="20"/>
              </w:rPr>
            </w:pPr>
            <w:r>
              <w:rPr>
                <w:rFonts w:eastAsia="Times New Roman"/>
                <w:sz w:val="20"/>
                <w:szCs w:val="20"/>
              </w:rPr>
              <w:t>“Hong Kong” refers</w:t>
            </w:r>
            <w:r>
              <w:rPr>
                <w:rFonts w:eastAsia="Times New Roman"/>
                <w:sz w:val="20"/>
                <w:szCs w:val="20"/>
              </w:rPr>
              <w:t xml:space="preserve"> to the Hong Kong Special Administrative Region of the PRC;</w:t>
            </w:r>
          </w:p>
        </w:tc>
      </w:tr>
      <w:tr w:rsidR="00000000" w14:paraId="48625FFD" w14:textId="77777777">
        <w:trPr>
          <w:divId w:val="98525094"/>
          <w:trHeight w:val="225"/>
          <w:tblCellSpacing w:w="15" w:type="dxa"/>
        </w:trPr>
        <w:tc>
          <w:tcPr>
            <w:tcW w:w="0" w:type="auto"/>
            <w:vAlign w:val="center"/>
            <w:hideMark/>
          </w:tcPr>
          <w:p w14:paraId="05E962F1"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5855D8A"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81C6533" w14:textId="77777777">
        <w:trPr>
          <w:divId w:val="98525094"/>
          <w:trHeight w:val="225"/>
          <w:tblCellSpacing w:w="15" w:type="dxa"/>
        </w:trPr>
        <w:tc>
          <w:tcPr>
            <w:tcW w:w="0" w:type="auto"/>
            <w:hideMark/>
          </w:tcPr>
          <w:p w14:paraId="01095A3C"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5ED763CC" w14:textId="77777777" w:rsidR="00000000" w:rsidRDefault="00EB4933">
            <w:pPr>
              <w:jc w:val="both"/>
              <w:rPr>
                <w:rFonts w:eastAsia="Times New Roman"/>
                <w:sz w:val="20"/>
                <w:szCs w:val="20"/>
              </w:rPr>
            </w:pPr>
            <w:r>
              <w:rPr>
                <w:rFonts w:eastAsia="Times New Roman"/>
                <w:sz w:val="20"/>
                <w:szCs w:val="20"/>
              </w:rPr>
              <w:t>“IFRS” refers to International Financial Reporting Standards;</w:t>
            </w:r>
          </w:p>
        </w:tc>
      </w:tr>
      <w:tr w:rsidR="00000000" w14:paraId="6958B1B3" w14:textId="77777777">
        <w:trPr>
          <w:divId w:val="98525094"/>
          <w:trHeight w:val="225"/>
          <w:tblCellSpacing w:w="15" w:type="dxa"/>
        </w:trPr>
        <w:tc>
          <w:tcPr>
            <w:tcW w:w="0" w:type="auto"/>
            <w:vAlign w:val="center"/>
            <w:hideMark/>
          </w:tcPr>
          <w:p w14:paraId="44631D89"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2970D99A"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4C9A34C" w14:textId="77777777">
        <w:trPr>
          <w:divId w:val="98525094"/>
          <w:trHeight w:val="225"/>
          <w:tblCellSpacing w:w="15" w:type="dxa"/>
        </w:trPr>
        <w:tc>
          <w:tcPr>
            <w:tcW w:w="0" w:type="auto"/>
            <w:hideMark/>
          </w:tcPr>
          <w:p w14:paraId="0AA6082E"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1E94929F" w14:textId="77777777" w:rsidR="00000000" w:rsidRDefault="00EB4933">
            <w:pPr>
              <w:jc w:val="both"/>
              <w:rPr>
                <w:rFonts w:eastAsia="Times New Roman"/>
                <w:sz w:val="20"/>
                <w:szCs w:val="20"/>
              </w:rPr>
            </w:pPr>
            <w:r>
              <w:rPr>
                <w:rFonts w:eastAsia="Times New Roman"/>
                <w:sz w:val="20"/>
                <w:szCs w:val="20"/>
              </w:rPr>
              <w:t xml:space="preserve">“microfinance” </w:t>
            </w:r>
            <w:r>
              <w:rPr>
                <w:rFonts w:eastAsia="Times New Roman"/>
                <w:sz w:val="20"/>
                <w:szCs w:val="20"/>
              </w:rPr>
              <w:t>refers to regulated private lending market for improving financial services to individuals, small and medium-sized enterprises (“SMEs”), expanding financing channels, making efforts to ease the difficulties in financing faced by SMEs and to encourage the i</w:t>
            </w:r>
            <w:r>
              <w:rPr>
                <w:rFonts w:eastAsia="Times New Roman"/>
                <w:sz w:val="20"/>
                <w:szCs w:val="20"/>
              </w:rPr>
              <w:t xml:space="preserve">nnovation of financial products and services. </w:t>
            </w:r>
          </w:p>
        </w:tc>
      </w:tr>
    </w:tbl>
    <w:p w14:paraId="068A63AB"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3B33AA8" w14:textId="77777777">
        <w:trPr>
          <w:divId w:val="98525094"/>
          <w:trHeight w:val="225"/>
          <w:tblCellSpacing w:w="15" w:type="dxa"/>
        </w:trPr>
        <w:tc>
          <w:tcPr>
            <w:tcW w:w="0" w:type="auto"/>
            <w:vAlign w:val="center"/>
            <w:hideMark/>
          </w:tcPr>
          <w:p w14:paraId="061E4E6C" w14:textId="77777777" w:rsidR="00000000" w:rsidRDefault="00EB4933">
            <w:pPr>
              <w:rPr>
                <w:rFonts w:eastAsia="Times New Roman"/>
                <w:sz w:val="20"/>
                <w:szCs w:val="20"/>
              </w:rPr>
            </w:pPr>
            <w:r>
              <w:rPr>
                <w:rFonts w:eastAsia="Times New Roman"/>
                <w:sz w:val="20"/>
                <w:szCs w:val="20"/>
              </w:rPr>
              <w:t> </w:t>
            </w:r>
          </w:p>
        </w:tc>
      </w:tr>
      <w:tr w:rsidR="00000000" w14:paraId="6F5B32ED" w14:textId="77777777">
        <w:trPr>
          <w:divId w:val="98525094"/>
          <w:trHeight w:val="225"/>
          <w:tblCellSpacing w:w="15" w:type="dxa"/>
        </w:trPr>
        <w:tc>
          <w:tcPr>
            <w:tcW w:w="0" w:type="auto"/>
            <w:tcBorders>
              <w:bottom w:val="single" w:sz="6" w:space="0" w:color="000000"/>
            </w:tcBorders>
            <w:vAlign w:val="center"/>
            <w:hideMark/>
          </w:tcPr>
          <w:p w14:paraId="1DDE2C6E" w14:textId="77777777" w:rsidR="00000000" w:rsidRDefault="00EB4933">
            <w:pPr>
              <w:jc w:val="center"/>
              <w:rPr>
                <w:rFonts w:eastAsia="Times New Roman"/>
                <w:sz w:val="20"/>
                <w:szCs w:val="20"/>
              </w:rPr>
            </w:pPr>
            <w:r>
              <w:rPr>
                <w:rFonts w:eastAsia="Times New Roman"/>
                <w:sz w:val="20"/>
                <w:szCs w:val="20"/>
              </w:rPr>
              <w:t>4</w:t>
            </w:r>
          </w:p>
        </w:tc>
      </w:tr>
      <w:tr w:rsidR="00000000" w14:paraId="3F8CB507" w14:textId="77777777">
        <w:trPr>
          <w:divId w:val="98525094"/>
          <w:trHeight w:val="225"/>
          <w:tblCellSpacing w:w="15" w:type="dxa"/>
        </w:trPr>
        <w:tc>
          <w:tcPr>
            <w:tcW w:w="0" w:type="auto"/>
            <w:vAlign w:val="center"/>
            <w:hideMark/>
          </w:tcPr>
          <w:p w14:paraId="18BDAC6E" w14:textId="77777777" w:rsidR="00000000" w:rsidRDefault="00EB4933">
            <w:pPr>
              <w:rPr>
                <w:rFonts w:eastAsia="Times New Roman"/>
                <w:sz w:val="20"/>
                <w:szCs w:val="20"/>
              </w:rPr>
            </w:pPr>
          </w:p>
        </w:tc>
      </w:tr>
      <w:tr w:rsidR="00000000" w14:paraId="519DC9D1" w14:textId="77777777">
        <w:trPr>
          <w:divId w:val="98525094"/>
          <w:trHeight w:val="225"/>
          <w:tblCellSpacing w:w="15" w:type="dxa"/>
        </w:trPr>
        <w:tc>
          <w:tcPr>
            <w:tcW w:w="0" w:type="auto"/>
            <w:vAlign w:val="center"/>
            <w:hideMark/>
          </w:tcPr>
          <w:p w14:paraId="1409A8CF" w14:textId="77777777" w:rsidR="00000000" w:rsidRDefault="00EB4933">
            <w:pPr>
              <w:rPr>
                <w:rFonts w:eastAsia="Times New Roman"/>
                <w:sz w:val="20"/>
                <w:szCs w:val="20"/>
              </w:rPr>
            </w:pPr>
            <w:hyperlink r:id="rId64" w:anchor="toc" w:history="1">
              <w:r>
                <w:rPr>
                  <w:rStyle w:val="Hyperlink"/>
                  <w:rFonts w:eastAsia="Times New Roman"/>
                  <w:i/>
                  <w:iCs/>
                  <w:sz w:val="20"/>
                  <w:szCs w:val="20"/>
                </w:rPr>
                <w:t>Table of Contents</w:t>
              </w:r>
            </w:hyperlink>
          </w:p>
        </w:tc>
      </w:tr>
    </w:tbl>
    <w:p w14:paraId="2D542EBE"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545"/>
        <w:gridCol w:w="8815"/>
      </w:tblGrid>
      <w:tr w:rsidR="00000000" w14:paraId="076AD9F5" w14:textId="77777777">
        <w:trPr>
          <w:divId w:val="98525094"/>
          <w:trHeight w:val="225"/>
          <w:tblCellSpacing w:w="15" w:type="dxa"/>
        </w:trPr>
        <w:tc>
          <w:tcPr>
            <w:tcW w:w="200" w:type="pct"/>
            <w:hideMark/>
          </w:tcPr>
          <w:p w14:paraId="1192045F"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29BE5FB8" w14:textId="77777777" w:rsidR="00000000" w:rsidRDefault="00EB4933">
            <w:pPr>
              <w:jc w:val="both"/>
              <w:rPr>
                <w:rFonts w:eastAsia="Times New Roman"/>
                <w:sz w:val="20"/>
                <w:szCs w:val="20"/>
              </w:rPr>
            </w:pPr>
            <w:r>
              <w:rPr>
                <w:rFonts w:eastAsia="Times New Roman"/>
                <w:sz w:val="20"/>
                <w:szCs w:val="20"/>
              </w:rPr>
              <w:t>“MOFCOM” refers to the Ministry of Commerce;</w:t>
            </w:r>
          </w:p>
        </w:tc>
      </w:tr>
      <w:tr w:rsidR="00000000" w14:paraId="0B4EC738" w14:textId="77777777">
        <w:trPr>
          <w:divId w:val="98525094"/>
          <w:trHeight w:val="225"/>
          <w:tblCellSpacing w:w="15" w:type="dxa"/>
        </w:trPr>
        <w:tc>
          <w:tcPr>
            <w:tcW w:w="0" w:type="auto"/>
            <w:vAlign w:val="center"/>
            <w:hideMark/>
          </w:tcPr>
          <w:p w14:paraId="293843C1"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E8BFBFB"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0F8C753" w14:textId="77777777">
        <w:trPr>
          <w:divId w:val="98525094"/>
          <w:trHeight w:val="225"/>
          <w:tblCellSpacing w:w="15" w:type="dxa"/>
        </w:trPr>
        <w:tc>
          <w:tcPr>
            <w:tcW w:w="0" w:type="auto"/>
            <w:hideMark/>
          </w:tcPr>
          <w:p w14:paraId="683D6CB5"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178052E5" w14:textId="77777777" w:rsidR="00000000" w:rsidRDefault="00EB4933">
            <w:pPr>
              <w:jc w:val="both"/>
              <w:rPr>
                <w:rFonts w:eastAsia="Times New Roman"/>
                <w:sz w:val="20"/>
                <w:szCs w:val="20"/>
              </w:rPr>
            </w:pPr>
            <w:r>
              <w:rPr>
                <w:rFonts w:eastAsia="Times New Roman"/>
                <w:sz w:val="20"/>
                <w:szCs w:val="20"/>
              </w:rPr>
              <w:t>“PBOC” refers to the People’s Bank of China;</w:t>
            </w:r>
          </w:p>
        </w:tc>
      </w:tr>
      <w:tr w:rsidR="00000000" w14:paraId="44392912" w14:textId="77777777">
        <w:trPr>
          <w:divId w:val="98525094"/>
          <w:trHeight w:val="225"/>
          <w:tblCellSpacing w:w="15" w:type="dxa"/>
        </w:trPr>
        <w:tc>
          <w:tcPr>
            <w:tcW w:w="0" w:type="auto"/>
            <w:vAlign w:val="center"/>
            <w:hideMark/>
          </w:tcPr>
          <w:p w14:paraId="53039477"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4B6386DA"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20EF97CF" w14:textId="77777777">
        <w:trPr>
          <w:divId w:val="98525094"/>
          <w:trHeight w:val="225"/>
          <w:tblCellSpacing w:w="15" w:type="dxa"/>
        </w:trPr>
        <w:tc>
          <w:tcPr>
            <w:tcW w:w="0" w:type="auto"/>
            <w:hideMark/>
          </w:tcPr>
          <w:p w14:paraId="5FE96324"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178D407C" w14:textId="77777777" w:rsidR="00000000" w:rsidRDefault="00EB4933">
            <w:pPr>
              <w:jc w:val="both"/>
              <w:rPr>
                <w:rFonts w:eastAsia="Times New Roman"/>
                <w:sz w:val="20"/>
                <w:szCs w:val="20"/>
              </w:rPr>
            </w:pPr>
            <w:r>
              <w:rPr>
                <w:rFonts w:eastAsia="Times New Roman"/>
                <w:sz w:val="20"/>
                <w:szCs w:val="20"/>
              </w:rPr>
              <w:t xml:space="preserve">“Perfect Lead” </w:t>
            </w:r>
            <w:r>
              <w:rPr>
                <w:rFonts w:eastAsia="Times New Roman"/>
                <w:sz w:val="20"/>
                <w:szCs w:val="20"/>
              </w:rPr>
              <w:t>refers to Perfect Lead International Limited, a British Virgin Islands company;</w:t>
            </w:r>
          </w:p>
        </w:tc>
      </w:tr>
      <w:tr w:rsidR="00000000" w14:paraId="0CC57F96" w14:textId="77777777">
        <w:trPr>
          <w:divId w:val="98525094"/>
          <w:trHeight w:val="225"/>
          <w:tblCellSpacing w:w="15" w:type="dxa"/>
        </w:trPr>
        <w:tc>
          <w:tcPr>
            <w:tcW w:w="0" w:type="auto"/>
            <w:vAlign w:val="center"/>
            <w:hideMark/>
          </w:tcPr>
          <w:p w14:paraId="229FB3F9"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3C80DC7"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C4B5CD7" w14:textId="77777777">
        <w:trPr>
          <w:divId w:val="98525094"/>
          <w:trHeight w:val="225"/>
          <w:tblCellSpacing w:w="15" w:type="dxa"/>
        </w:trPr>
        <w:tc>
          <w:tcPr>
            <w:tcW w:w="0" w:type="auto"/>
            <w:hideMark/>
          </w:tcPr>
          <w:p w14:paraId="0FBC4D60"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45F111F9" w14:textId="77777777" w:rsidR="00000000" w:rsidRDefault="00EB4933">
            <w:pPr>
              <w:jc w:val="both"/>
              <w:rPr>
                <w:rFonts w:eastAsia="Times New Roman"/>
                <w:sz w:val="20"/>
                <w:szCs w:val="20"/>
              </w:rPr>
            </w:pPr>
            <w:r>
              <w:rPr>
                <w:rFonts w:eastAsia="Times New Roman"/>
                <w:sz w:val="20"/>
                <w:szCs w:val="20"/>
              </w:rPr>
              <w:t>“RMB” and “Renminbi” refer to the legal currency of the PRC;</w:t>
            </w:r>
          </w:p>
        </w:tc>
      </w:tr>
      <w:tr w:rsidR="00000000" w14:paraId="278C7F18" w14:textId="77777777">
        <w:trPr>
          <w:divId w:val="98525094"/>
          <w:trHeight w:val="225"/>
          <w:tblCellSpacing w:w="15" w:type="dxa"/>
        </w:trPr>
        <w:tc>
          <w:tcPr>
            <w:tcW w:w="0" w:type="auto"/>
            <w:vAlign w:val="center"/>
            <w:hideMark/>
          </w:tcPr>
          <w:p w14:paraId="023586B7"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5A7DCF74"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1308D689" w14:textId="77777777">
        <w:trPr>
          <w:divId w:val="98525094"/>
          <w:trHeight w:val="225"/>
          <w:tblCellSpacing w:w="15" w:type="dxa"/>
        </w:trPr>
        <w:tc>
          <w:tcPr>
            <w:tcW w:w="0" w:type="auto"/>
            <w:hideMark/>
          </w:tcPr>
          <w:p w14:paraId="53F4800D"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65E165BC" w14:textId="77777777" w:rsidR="00000000" w:rsidRDefault="00EB4933">
            <w:pPr>
              <w:jc w:val="both"/>
              <w:rPr>
                <w:rFonts w:eastAsia="Times New Roman"/>
                <w:sz w:val="20"/>
                <w:szCs w:val="20"/>
              </w:rPr>
            </w:pPr>
            <w:r>
              <w:rPr>
                <w:rFonts w:eastAsia="Times New Roman"/>
                <w:sz w:val="20"/>
                <w:szCs w:val="20"/>
              </w:rPr>
              <w:t>“SAFE” refers to the State Administration of Foreign Exchange;</w:t>
            </w:r>
          </w:p>
        </w:tc>
      </w:tr>
      <w:tr w:rsidR="00000000" w14:paraId="002C6C3F" w14:textId="77777777">
        <w:trPr>
          <w:divId w:val="98525094"/>
          <w:trHeight w:val="225"/>
          <w:tblCellSpacing w:w="15" w:type="dxa"/>
        </w:trPr>
        <w:tc>
          <w:tcPr>
            <w:tcW w:w="0" w:type="auto"/>
            <w:vAlign w:val="center"/>
            <w:hideMark/>
          </w:tcPr>
          <w:p w14:paraId="551AF533"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063D7E8C"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189EE9C5" w14:textId="77777777">
        <w:trPr>
          <w:divId w:val="98525094"/>
          <w:trHeight w:val="225"/>
          <w:tblCellSpacing w:w="15" w:type="dxa"/>
        </w:trPr>
        <w:tc>
          <w:tcPr>
            <w:tcW w:w="0" w:type="auto"/>
            <w:hideMark/>
          </w:tcPr>
          <w:p w14:paraId="434166E2"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3F14B635" w14:textId="77777777" w:rsidR="00000000" w:rsidRDefault="00EB4933">
            <w:pPr>
              <w:jc w:val="both"/>
              <w:rPr>
                <w:rFonts w:eastAsia="Times New Roman"/>
                <w:sz w:val="20"/>
                <w:szCs w:val="20"/>
              </w:rPr>
            </w:pPr>
            <w:r>
              <w:rPr>
                <w:rFonts w:eastAsia="Times New Roman"/>
                <w:sz w:val="20"/>
                <w:szCs w:val="20"/>
              </w:rPr>
              <w:t>“SEC” refers to the Securiti</w:t>
            </w:r>
            <w:r>
              <w:rPr>
                <w:rFonts w:eastAsia="Times New Roman"/>
                <w:sz w:val="20"/>
                <w:szCs w:val="20"/>
              </w:rPr>
              <w:t xml:space="preserve">es and Exchange Commission; </w:t>
            </w:r>
          </w:p>
        </w:tc>
      </w:tr>
      <w:tr w:rsidR="00000000" w14:paraId="53D95AE5" w14:textId="77777777">
        <w:trPr>
          <w:divId w:val="98525094"/>
          <w:trHeight w:val="225"/>
          <w:tblCellSpacing w:w="15" w:type="dxa"/>
        </w:trPr>
        <w:tc>
          <w:tcPr>
            <w:tcW w:w="0" w:type="auto"/>
            <w:vAlign w:val="center"/>
            <w:hideMark/>
          </w:tcPr>
          <w:p w14:paraId="237AEE3B"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E1201BC"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DEE0CFB" w14:textId="77777777">
        <w:trPr>
          <w:divId w:val="98525094"/>
          <w:trHeight w:val="225"/>
          <w:tblCellSpacing w:w="15" w:type="dxa"/>
        </w:trPr>
        <w:tc>
          <w:tcPr>
            <w:tcW w:w="0" w:type="auto"/>
            <w:hideMark/>
          </w:tcPr>
          <w:p w14:paraId="5480D59D"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6D8FBA61" w14:textId="77777777" w:rsidR="00000000" w:rsidRDefault="00EB4933">
            <w:pPr>
              <w:jc w:val="both"/>
              <w:rPr>
                <w:rFonts w:eastAsia="Times New Roman"/>
                <w:sz w:val="20"/>
                <w:szCs w:val="20"/>
              </w:rPr>
            </w:pPr>
            <w:r>
              <w:rPr>
                <w:rFonts w:eastAsia="Times New Roman"/>
                <w:sz w:val="20"/>
                <w:szCs w:val="20"/>
              </w:rPr>
              <w:t xml:space="preserve">“Securities Act” refers to the Securities Act of 1933, as amended; </w:t>
            </w:r>
          </w:p>
        </w:tc>
      </w:tr>
      <w:tr w:rsidR="00000000" w14:paraId="5B6B699A" w14:textId="77777777">
        <w:trPr>
          <w:divId w:val="98525094"/>
          <w:trHeight w:val="225"/>
          <w:tblCellSpacing w:w="15" w:type="dxa"/>
        </w:trPr>
        <w:tc>
          <w:tcPr>
            <w:tcW w:w="0" w:type="auto"/>
            <w:vAlign w:val="center"/>
            <w:hideMark/>
          </w:tcPr>
          <w:p w14:paraId="7074C8D4"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4B497071"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8D4CEB0" w14:textId="77777777">
        <w:trPr>
          <w:divId w:val="98525094"/>
          <w:trHeight w:val="225"/>
          <w:tblCellSpacing w:w="15" w:type="dxa"/>
        </w:trPr>
        <w:tc>
          <w:tcPr>
            <w:tcW w:w="0" w:type="auto"/>
            <w:hideMark/>
          </w:tcPr>
          <w:p w14:paraId="42BF2EE2"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3B766A32" w14:textId="77777777" w:rsidR="00000000" w:rsidRDefault="00EB4933">
            <w:pPr>
              <w:jc w:val="both"/>
              <w:rPr>
                <w:rFonts w:eastAsia="Times New Roman"/>
                <w:sz w:val="20"/>
                <w:szCs w:val="20"/>
              </w:rPr>
            </w:pPr>
            <w:r>
              <w:rPr>
                <w:rFonts w:eastAsia="Times New Roman"/>
                <w:sz w:val="20"/>
                <w:szCs w:val="20"/>
              </w:rPr>
              <w:t xml:space="preserve">“Shares” or “ordinary shares” </w:t>
            </w:r>
            <w:r>
              <w:rPr>
                <w:rFonts w:eastAsia="Times New Roman"/>
                <w:sz w:val="20"/>
                <w:szCs w:val="20"/>
              </w:rPr>
              <w:t>refer to our ordinary shares, par value $0.00005 per share;</w:t>
            </w:r>
          </w:p>
        </w:tc>
      </w:tr>
      <w:tr w:rsidR="00000000" w14:paraId="5575F700" w14:textId="77777777">
        <w:trPr>
          <w:divId w:val="98525094"/>
          <w:trHeight w:val="225"/>
          <w:tblCellSpacing w:w="15" w:type="dxa"/>
        </w:trPr>
        <w:tc>
          <w:tcPr>
            <w:tcW w:w="0" w:type="auto"/>
            <w:vAlign w:val="center"/>
            <w:hideMark/>
          </w:tcPr>
          <w:p w14:paraId="270A1D91"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4A1CFF2B"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2F04CB06" w14:textId="77777777">
        <w:trPr>
          <w:divId w:val="98525094"/>
          <w:trHeight w:val="225"/>
          <w:tblCellSpacing w:w="15" w:type="dxa"/>
        </w:trPr>
        <w:tc>
          <w:tcPr>
            <w:tcW w:w="0" w:type="auto"/>
            <w:hideMark/>
          </w:tcPr>
          <w:p w14:paraId="2991A7CC"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53DF0D0F" w14:textId="77777777" w:rsidR="00000000" w:rsidRDefault="00EB4933">
            <w:pPr>
              <w:jc w:val="both"/>
              <w:rPr>
                <w:rFonts w:eastAsia="Times New Roman"/>
                <w:sz w:val="20"/>
                <w:szCs w:val="20"/>
              </w:rPr>
            </w:pPr>
            <w:r>
              <w:rPr>
                <w:rFonts w:eastAsia="Times New Roman"/>
                <w:sz w:val="20"/>
                <w:szCs w:val="20"/>
              </w:rPr>
              <w:t>“True Silver” refers to True Silver Limited, a British Virgin Islands company</w:t>
            </w:r>
          </w:p>
        </w:tc>
      </w:tr>
      <w:tr w:rsidR="00000000" w14:paraId="10A2C361" w14:textId="77777777">
        <w:trPr>
          <w:divId w:val="98525094"/>
          <w:trHeight w:val="225"/>
          <w:tblCellSpacing w:w="15" w:type="dxa"/>
        </w:trPr>
        <w:tc>
          <w:tcPr>
            <w:tcW w:w="0" w:type="auto"/>
            <w:vAlign w:val="center"/>
            <w:hideMark/>
          </w:tcPr>
          <w:p w14:paraId="65ED5F19"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5E662B94"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3BCE27D" w14:textId="77777777">
        <w:trPr>
          <w:divId w:val="98525094"/>
          <w:trHeight w:val="225"/>
          <w:tblCellSpacing w:w="15" w:type="dxa"/>
        </w:trPr>
        <w:tc>
          <w:tcPr>
            <w:tcW w:w="0" w:type="auto"/>
            <w:hideMark/>
          </w:tcPr>
          <w:p w14:paraId="4F2E2852"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38CDA197" w14:textId="77777777" w:rsidR="00000000" w:rsidRDefault="00EB4933">
            <w:pPr>
              <w:jc w:val="both"/>
              <w:rPr>
                <w:rFonts w:eastAsia="Times New Roman"/>
                <w:sz w:val="20"/>
                <w:szCs w:val="20"/>
              </w:rPr>
            </w:pPr>
            <w:r>
              <w:rPr>
                <w:rFonts w:eastAsia="Times New Roman"/>
                <w:sz w:val="20"/>
                <w:szCs w:val="20"/>
              </w:rPr>
              <w:t>“U.S. dollars” and “$” refer to the legal currency of the United States; and</w:t>
            </w:r>
          </w:p>
        </w:tc>
      </w:tr>
      <w:tr w:rsidR="00000000" w14:paraId="24BA78B2" w14:textId="77777777">
        <w:trPr>
          <w:divId w:val="98525094"/>
          <w:trHeight w:val="225"/>
          <w:tblCellSpacing w:w="15" w:type="dxa"/>
        </w:trPr>
        <w:tc>
          <w:tcPr>
            <w:tcW w:w="0" w:type="auto"/>
            <w:vAlign w:val="center"/>
            <w:hideMark/>
          </w:tcPr>
          <w:p w14:paraId="4049BDEF"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8086292"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A116CEB" w14:textId="77777777">
        <w:trPr>
          <w:divId w:val="98525094"/>
          <w:trHeight w:val="225"/>
          <w:tblCellSpacing w:w="15" w:type="dxa"/>
        </w:trPr>
        <w:tc>
          <w:tcPr>
            <w:tcW w:w="0" w:type="auto"/>
            <w:hideMark/>
          </w:tcPr>
          <w:p w14:paraId="20B50F98" w14:textId="77777777" w:rsidR="00000000" w:rsidRDefault="00EB4933">
            <w:pPr>
              <w:pStyle w:val="NormalWeb"/>
              <w:spacing w:before="0" w:beforeAutospacing="0" w:after="0" w:afterAutospacing="0"/>
              <w:jc w:val="both"/>
              <w:rPr>
                <w:sz w:val="20"/>
                <w:szCs w:val="20"/>
              </w:rPr>
            </w:pPr>
            <w:r>
              <w:rPr>
                <w:rFonts w:ascii="Symbol" w:hAnsi="Symbol"/>
                <w:sz w:val="20"/>
                <w:szCs w:val="20"/>
              </w:rPr>
              <w:lastRenderedPageBreak/>
              <w:t>·</w:t>
            </w:r>
          </w:p>
        </w:tc>
        <w:tc>
          <w:tcPr>
            <w:tcW w:w="0" w:type="auto"/>
            <w:hideMark/>
          </w:tcPr>
          <w:p w14:paraId="5D240645" w14:textId="77777777" w:rsidR="00000000" w:rsidRDefault="00EB4933">
            <w:pPr>
              <w:jc w:val="both"/>
              <w:rPr>
                <w:rFonts w:eastAsia="Times New Roman"/>
                <w:sz w:val="20"/>
                <w:szCs w:val="20"/>
              </w:rPr>
            </w:pPr>
            <w:r>
              <w:rPr>
                <w:rFonts w:eastAsia="Times New Roman"/>
                <w:sz w:val="20"/>
                <w:szCs w:val="20"/>
              </w:rPr>
              <w:t xml:space="preserve">“VIE” </w:t>
            </w:r>
            <w:r>
              <w:rPr>
                <w:rFonts w:eastAsia="Times New Roman"/>
                <w:sz w:val="20"/>
                <w:szCs w:val="20"/>
              </w:rPr>
              <w:t>refers to variable interest entity.</w:t>
            </w:r>
          </w:p>
        </w:tc>
      </w:tr>
    </w:tbl>
    <w:p w14:paraId="198C43C6"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3510B296"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This annual report includes our audited consolidated statements of profit and other comprehensive income data for the years ended December 31, 2017, 2018 and 2019, and consolidated statements of financial position </w:t>
      </w:r>
      <w:r>
        <w:rPr>
          <w:sz w:val="20"/>
          <w:szCs w:val="20"/>
        </w:rPr>
        <w:t>data as of December 31, 2018 and 2019.</w:t>
      </w:r>
    </w:p>
    <w:p w14:paraId="5C9FEC0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  </w:t>
      </w:r>
    </w:p>
    <w:p w14:paraId="7E2F741A"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completed the initial public offering of 8,000,000 ADSs, each representing the right to receive four (4) ordinary shares, on November 29, 2010. On November 23, 2010, we listed our ADSs on the New York Stock Exch</w:t>
      </w:r>
      <w:r>
        <w:rPr>
          <w:sz w:val="20"/>
          <w:szCs w:val="20"/>
        </w:rPr>
        <w:t>ange under the symbol “XNY” and on December 28, 2017, we transitioned to the NYSE American and began trading under our new symbol “DXF” on March 5, 2018. Prior to December 17, 2014, each ADS represented the right to receive four (4) ordinary shares, par va</w:t>
      </w:r>
      <w:r>
        <w:rPr>
          <w:sz w:val="20"/>
          <w:szCs w:val="20"/>
        </w:rPr>
        <w:t>lue $0.00005 per share (the “Shares”), from December 18, 2014, the right to receive sixteen (16) Shares and from December 28, 2017, the right to receive forty-eight (48) Shares.</w:t>
      </w:r>
    </w:p>
    <w:p w14:paraId="7D861149"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A1CBF01" w14:textId="77777777">
        <w:trPr>
          <w:divId w:val="98525094"/>
          <w:trHeight w:val="225"/>
          <w:tblCellSpacing w:w="15" w:type="dxa"/>
        </w:trPr>
        <w:tc>
          <w:tcPr>
            <w:tcW w:w="0" w:type="auto"/>
            <w:vAlign w:val="center"/>
            <w:hideMark/>
          </w:tcPr>
          <w:p w14:paraId="1B5229DD" w14:textId="77777777" w:rsidR="00000000" w:rsidRDefault="00EB4933">
            <w:pPr>
              <w:rPr>
                <w:rFonts w:eastAsia="Times New Roman"/>
                <w:sz w:val="20"/>
                <w:szCs w:val="20"/>
              </w:rPr>
            </w:pPr>
            <w:r>
              <w:rPr>
                <w:rFonts w:eastAsia="Times New Roman"/>
                <w:sz w:val="20"/>
                <w:szCs w:val="20"/>
              </w:rPr>
              <w:t> </w:t>
            </w:r>
          </w:p>
        </w:tc>
      </w:tr>
      <w:tr w:rsidR="00000000" w14:paraId="360C82F4" w14:textId="77777777">
        <w:trPr>
          <w:divId w:val="98525094"/>
          <w:trHeight w:val="225"/>
          <w:tblCellSpacing w:w="15" w:type="dxa"/>
        </w:trPr>
        <w:tc>
          <w:tcPr>
            <w:tcW w:w="0" w:type="auto"/>
            <w:tcBorders>
              <w:bottom w:val="single" w:sz="6" w:space="0" w:color="000000"/>
            </w:tcBorders>
            <w:vAlign w:val="center"/>
            <w:hideMark/>
          </w:tcPr>
          <w:p w14:paraId="7BD85A48" w14:textId="77777777" w:rsidR="00000000" w:rsidRDefault="00EB4933">
            <w:pPr>
              <w:jc w:val="center"/>
              <w:rPr>
                <w:rFonts w:eastAsia="Times New Roman"/>
                <w:sz w:val="20"/>
                <w:szCs w:val="20"/>
              </w:rPr>
            </w:pPr>
            <w:r>
              <w:rPr>
                <w:rFonts w:eastAsia="Times New Roman"/>
                <w:sz w:val="20"/>
                <w:szCs w:val="20"/>
              </w:rPr>
              <w:t>5</w:t>
            </w:r>
          </w:p>
        </w:tc>
      </w:tr>
      <w:tr w:rsidR="00000000" w14:paraId="7A4D635B" w14:textId="77777777">
        <w:trPr>
          <w:divId w:val="98525094"/>
          <w:trHeight w:val="225"/>
          <w:tblCellSpacing w:w="15" w:type="dxa"/>
        </w:trPr>
        <w:tc>
          <w:tcPr>
            <w:tcW w:w="0" w:type="auto"/>
            <w:vAlign w:val="center"/>
            <w:hideMark/>
          </w:tcPr>
          <w:p w14:paraId="19089BCA" w14:textId="77777777" w:rsidR="00000000" w:rsidRDefault="00EB4933">
            <w:pPr>
              <w:rPr>
                <w:rFonts w:eastAsia="Times New Roman"/>
                <w:sz w:val="20"/>
                <w:szCs w:val="20"/>
              </w:rPr>
            </w:pPr>
          </w:p>
        </w:tc>
      </w:tr>
      <w:tr w:rsidR="00000000" w14:paraId="6AA5328E" w14:textId="77777777">
        <w:trPr>
          <w:divId w:val="98525094"/>
          <w:trHeight w:val="225"/>
          <w:tblCellSpacing w:w="15" w:type="dxa"/>
        </w:trPr>
        <w:tc>
          <w:tcPr>
            <w:tcW w:w="0" w:type="auto"/>
            <w:vAlign w:val="center"/>
            <w:hideMark/>
          </w:tcPr>
          <w:p w14:paraId="05E98523" w14:textId="77777777" w:rsidR="00000000" w:rsidRDefault="00EB4933">
            <w:pPr>
              <w:rPr>
                <w:rFonts w:eastAsia="Times New Roman"/>
                <w:sz w:val="20"/>
                <w:szCs w:val="20"/>
              </w:rPr>
            </w:pPr>
            <w:hyperlink r:id="rId65" w:anchor="toc" w:history="1">
              <w:r>
                <w:rPr>
                  <w:rStyle w:val="Hyperlink"/>
                  <w:rFonts w:eastAsia="Times New Roman"/>
                  <w:i/>
                  <w:iCs/>
                  <w:sz w:val="20"/>
                  <w:szCs w:val="20"/>
                </w:rPr>
                <w:t>Table of Contents</w:t>
              </w:r>
            </w:hyperlink>
          </w:p>
        </w:tc>
      </w:tr>
    </w:tbl>
    <w:p w14:paraId="5E915D2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9B0A79F" w14:textId="77777777" w:rsidR="00000000" w:rsidRDefault="00EB4933">
      <w:pPr>
        <w:pStyle w:val="NormalWeb"/>
        <w:spacing w:before="0" w:beforeAutospacing="0" w:after="0" w:afterAutospacing="0"/>
        <w:jc w:val="center"/>
        <w:divId w:val="98525094"/>
        <w:rPr>
          <w:sz w:val="20"/>
          <w:szCs w:val="20"/>
        </w:rPr>
      </w:pPr>
      <w:bookmarkStart w:id="2" w:name="FORWARD"/>
      <w:r>
        <w:rPr>
          <w:rStyle w:val="Strong"/>
          <w:sz w:val="20"/>
          <w:szCs w:val="20"/>
        </w:rPr>
        <w:t>FORWARD</w:t>
      </w:r>
      <w:bookmarkEnd w:id="2"/>
      <w:r>
        <w:rPr>
          <w:rStyle w:val="Strong"/>
          <w:sz w:val="20"/>
          <w:szCs w:val="20"/>
        </w:rPr>
        <w:t>-LOOKING STATEMENTS</w:t>
      </w:r>
    </w:p>
    <w:p w14:paraId="591B468B" w14:textId="77777777" w:rsidR="00000000" w:rsidRDefault="00EB4933">
      <w:pPr>
        <w:pStyle w:val="NormalWeb"/>
        <w:spacing w:before="0" w:beforeAutospacing="0" w:after="0" w:afterAutospacing="0"/>
        <w:jc w:val="center"/>
        <w:divId w:val="98525094"/>
        <w:rPr>
          <w:sz w:val="20"/>
          <w:szCs w:val="20"/>
        </w:rPr>
      </w:pPr>
      <w:r>
        <w:rPr>
          <w:sz w:val="20"/>
          <w:szCs w:val="20"/>
        </w:rPr>
        <w:t> </w:t>
      </w:r>
    </w:p>
    <w:p w14:paraId="066E1CCA"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This annual report on Form 20-F contains forward-looking statements, within the meaning of Section 27A of the Securities Act of 1933, as amended, and Section 21E of the Securities Exchange Act of 1934, as</w:t>
      </w:r>
      <w:r>
        <w:rPr>
          <w:sz w:val="20"/>
          <w:szCs w:val="20"/>
        </w:rPr>
        <w:t xml:space="preserve"> amended, with respect to our business, operating results and financial condition as well as our current expectations, assumptions, estimates and projections about our industry. All statements other than statements of historical fact in this annual report </w:t>
      </w:r>
      <w:r>
        <w:rPr>
          <w:sz w:val="20"/>
          <w:szCs w:val="20"/>
        </w:rPr>
        <w:t>are forward-looking statements. These statements relate to events that involve known and unknown risks, uncertainties and other factors, including those listed under “Risk Factors,” which may cause our actual results, performance or achievements to be mate</w:t>
      </w:r>
      <w:r>
        <w:rPr>
          <w:sz w:val="20"/>
          <w:szCs w:val="20"/>
        </w:rPr>
        <w:t>rially different from any future results, performances or achievements expressed or implied by the forward-looking statements.</w:t>
      </w:r>
    </w:p>
    <w:p w14:paraId="4953202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504C5BF"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some cases, these forward-looking statements can be identified by words or phrases such as “aim”</w:t>
      </w:r>
      <w:r>
        <w:rPr>
          <w:rFonts w:ascii="MS Mincho" w:eastAsia="MS Mincho" w:hAnsi="MS Mincho" w:cs="MS Mincho" w:hint="eastAsia"/>
          <w:sz w:val="20"/>
          <w:szCs w:val="20"/>
        </w:rPr>
        <w:t>，</w:t>
      </w:r>
      <w:r>
        <w:rPr>
          <w:sz w:val="20"/>
          <w:szCs w:val="20"/>
        </w:rPr>
        <w:t xml:space="preserve"> “anticipate”, “believe”, “</w:t>
      </w:r>
      <w:r>
        <w:rPr>
          <w:sz w:val="20"/>
          <w:szCs w:val="20"/>
        </w:rPr>
        <w:t>continue”, “estimate”, “expect”, “intend”, “is/are likely to”, “may”, “plan”, “potential”, “will” or other similar expressions. We have based these forward-looking statements largely on our current expectations and projections about future events and finan</w:t>
      </w:r>
      <w:r>
        <w:rPr>
          <w:sz w:val="20"/>
          <w:szCs w:val="20"/>
        </w:rPr>
        <w:t>cial trends that we believe may affect our financial condition, results of operations, business strategy and financial needs. These forward-looking statements include, among other things, statements relating to:</w:t>
      </w:r>
    </w:p>
    <w:p w14:paraId="7322DA7E"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7D5B81E3" w14:textId="77777777">
        <w:trPr>
          <w:divId w:val="98525094"/>
          <w:trHeight w:val="225"/>
          <w:tblCellSpacing w:w="15" w:type="dxa"/>
        </w:trPr>
        <w:tc>
          <w:tcPr>
            <w:tcW w:w="200" w:type="pct"/>
            <w:vAlign w:val="center"/>
            <w:hideMark/>
          </w:tcPr>
          <w:p w14:paraId="1B251720"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78F4EA22"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6C70D70" w14:textId="77777777" w:rsidR="00000000" w:rsidRDefault="00EB4933">
            <w:pPr>
              <w:rPr>
                <w:rFonts w:eastAsia="Times New Roman"/>
                <w:sz w:val="20"/>
                <w:szCs w:val="20"/>
              </w:rPr>
            </w:pPr>
            <w:r>
              <w:rPr>
                <w:rFonts w:eastAsia="Times New Roman"/>
                <w:sz w:val="20"/>
                <w:szCs w:val="20"/>
              </w:rPr>
              <w:t xml:space="preserve">Any changes in the laws of the PRC or local province that may affect our operation; </w:t>
            </w:r>
          </w:p>
        </w:tc>
      </w:tr>
      <w:tr w:rsidR="00000000" w14:paraId="3458E99F" w14:textId="77777777">
        <w:trPr>
          <w:divId w:val="98525094"/>
          <w:trHeight w:val="225"/>
          <w:tblCellSpacing w:w="15" w:type="dxa"/>
        </w:trPr>
        <w:tc>
          <w:tcPr>
            <w:tcW w:w="0" w:type="auto"/>
            <w:vAlign w:val="center"/>
            <w:hideMark/>
          </w:tcPr>
          <w:p w14:paraId="3A92D980"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2EAEDD0A"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0562A4CC" w14:textId="77777777" w:rsidR="00000000" w:rsidRDefault="00EB4933">
            <w:pPr>
              <w:rPr>
                <w:rFonts w:eastAsia="Times New Roman"/>
                <w:sz w:val="20"/>
                <w:szCs w:val="20"/>
              </w:rPr>
            </w:pPr>
            <w:r>
              <w:rPr>
                <w:rFonts w:eastAsia="Times New Roman"/>
                <w:sz w:val="20"/>
                <w:szCs w:val="20"/>
              </w:rPr>
              <w:t>The impact of COVID-19 on our operations;</w:t>
            </w:r>
          </w:p>
        </w:tc>
      </w:tr>
      <w:tr w:rsidR="00000000" w14:paraId="349D5546" w14:textId="77777777">
        <w:trPr>
          <w:divId w:val="98525094"/>
          <w:trHeight w:val="225"/>
          <w:tblCellSpacing w:w="15" w:type="dxa"/>
        </w:trPr>
        <w:tc>
          <w:tcPr>
            <w:tcW w:w="0" w:type="auto"/>
            <w:vAlign w:val="center"/>
            <w:hideMark/>
          </w:tcPr>
          <w:p w14:paraId="5207457D"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7C01A63F"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653B6EB" w14:textId="77777777" w:rsidR="00000000" w:rsidRDefault="00EB4933">
            <w:pPr>
              <w:rPr>
                <w:rFonts w:eastAsia="Times New Roman"/>
                <w:sz w:val="20"/>
                <w:szCs w:val="20"/>
              </w:rPr>
            </w:pPr>
            <w:r>
              <w:rPr>
                <w:rFonts w:eastAsia="Times New Roman"/>
                <w:sz w:val="20"/>
                <w:szCs w:val="20"/>
              </w:rPr>
              <w:t xml:space="preserve">Inflation and fluctuations in foreign currency exchange rates; </w:t>
            </w:r>
          </w:p>
        </w:tc>
      </w:tr>
      <w:tr w:rsidR="00000000" w14:paraId="0B91F33D" w14:textId="77777777">
        <w:trPr>
          <w:divId w:val="98525094"/>
          <w:trHeight w:val="225"/>
          <w:tblCellSpacing w:w="15" w:type="dxa"/>
        </w:trPr>
        <w:tc>
          <w:tcPr>
            <w:tcW w:w="0" w:type="auto"/>
            <w:vAlign w:val="center"/>
            <w:hideMark/>
          </w:tcPr>
          <w:p w14:paraId="12DD3A98"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4C1D9CBB"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27127EA9" w14:textId="77777777" w:rsidR="00000000" w:rsidRDefault="00EB4933">
            <w:pPr>
              <w:rPr>
                <w:rFonts w:eastAsia="Times New Roman"/>
                <w:sz w:val="20"/>
                <w:szCs w:val="20"/>
              </w:rPr>
            </w:pPr>
            <w:r>
              <w:rPr>
                <w:rFonts w:eastAsia="Times New Roman"/>
                <w:sz w:val="20"/>
                <w:szCs w:val="20"/>
              </w:rPr>
              <w:t xml:space="preserve">Our ability to develop and market our microfinance lending business in the future; </w:t>
            </w:r>
          </w:p>
        </w:tc>
      </w:tr>
      <w:tr w:rsidR="00000000" w14:paraId="70DBE68D" w14:textId="77777777">
        <w:trPr>
          <w:divId w:val="98525094"/>
          <w:trHeight w:val="225"/>
          <w:tblCellSpacing w:w="15" w:type="dxa"/>
        </w:trPr>
        <w:tc>
          <w:tcPr>
            <w:tcW w:w="0" w:type="auto"/>
            <w:vAlign w:val="center"/>
            <w:hideMark/>
          </w:tcPr>
          <w:p w14:paraId="792D1677"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51C3D2FC"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081DBD8" w14:textId="77777777" w:rsidR="00000000" w:rsidRDefault="00EB4933">
            <w:pPr>
              <w:rPr>
                <w:rFonts w:eastAsia="Times New Roman"/>
                <w:sz w:val="20"/>
                <w:szCs w:val="20"/>
              </w:rPr>
            </w:pPr>
            <w:r>
              <w:rPr>
                <w:rFonts w:eastAsia="Times New Roman"/>
                <w:sz w:val="20"/>
                <w:szCs w:val="20"/>
              </w:rPr>
              <w:t>Our exposure to risk associated to the geographic concentration of loans in Hubei Province.</w:t>
            </w:r>
          </w:p>
        </w:tc>
      </w:tr>
      <w:tr w:rsidR="00000000" w14:paraId="649809F4" w14:textId="77777777">
        <w:trPr>
          <w:divId w:val="98525094"/>
          <w:trHeight w:val="225"/>
          <w:tblCellSpacing w:w="15" w:type="dxa"/>
        </w:trPr>
        <w:tc>
          <w:tcPr>
            <w:tcW w:w="0" w:type="auto"/>
            <w:vAlign w:val="center"/>
            <w:hideMark/>
          </w:tcPr>
          <w:p w14:paraId="3F289D71"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142CD963"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179C5C92" w14:textId="77777777" w:rsidR="00000000" w:rsidRDefault="00EB4933">
            <w:pPr>
              <w:rPr>
                <w:rFonts w:eastAsia="Times New Roman"/>
                <w:sz w:val="20"/>
                <w:szCs w:val="20"/>
              </w:rPr>
            </w:pPr>
            <w:r>
              <w:rPr>
                <w:rFonts w:eastAsia="Times New Roman"/>
                <w:sz w:val="20"/>
                <w:szCs w:val="20"/>
              </w:rPr>
              <w:t>O</w:t>
            </w:r>
            <w:r>
              <w:rPr>
                <w:rFonts w:eastAsia="Times New Roman"/>
                <w:sz w:val="20"/>
                <w:szCs w:val="20"/>
              </w:rPr>
              <w:t xml:space="preserve">ur on-going ability to obtain all mandatory and voluntary government and other industry certifications, approvals, and/or licenses to conduct our business; </w:t>
            </w:r>
          </w:p>
        </w:tc>
      </w:tr>
      <w:tr w:rsidR="00000000" w14:paraId="5E4BD6F5" w14:textId="77777777">
        <w:trPr>
          <w:divId w:val="98525094"/>
          <w:trHeight w:val="225"/>
          <w:tblCellSpacing w:w="15" w:type="dxa"/>
        </w:trPr>
        <w:tc>
          <w:tcPr>
            <w:tcW w:w="0" w:type="auto"/>
            <w:vAlign w:val="center"/>
            <w:hideMark/>
          </w:tcPr>
          <w:p w14:paraId="37C2C955"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46B286BD"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9E7D7BA" w14:textId="77777777" w:rsidR="00000000" w:rsidRDefault="00EB4933">
            <w:pPr>
              <w:rPr>
                <w:rFonts w:eastAsia="Times New Roman"/>
                <w:sz w:val="20"/>
                <w:szCs w:val="20"/>
              </w:rPr>
            </w:pPr>
            <w:r>
              <w:rPr>
                <w:rFonts w:eastAsia="Times New Roman"/>
                <w:sz w:val="20"/>
                <w:szCs w:val="20"/>
              </w:rPr>
              <w:t>Our ability to maintain effective internal control over financial reporting;</w:t>
            </w:r>
          </w:p>
        </w:tc>
      </w:tr>
      <w:tr w:rsidR="00000000" w14:paraId="19AF91F8" w14:textId="77777777">
        <w:trPr>
          <w:divId w:val="98525094"/>
          <w:trHeight w:val="225"/>
          <w:tblCellSpacing w:w="15" w:type="dxa"/>
        </w:trPr>
        <w:tc>
          <w:tcPr>
            <w:tcW w:w="0" w:type="auto"/>
            <w:vAlign w:val="center"/>
            <w:hideMark/>
          </w:tcPr>
          <w:p w14:paraId="1E824D6C"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07E0E89A"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5A48108B" w14:textId="77777777" w:rsidR="00000000" w:rsidRDefault="00EB4933">
            <w:pPr>
              <w:rPr>
                <w:rFonts w:eastAsia="Times New Roman"/>
                <w:sz w:val="20"/>
                <w:szCs w:val="20"/>
              </w:rPr>
            </w:pPr>
            <w:r>
              <w:rPr>
                <w:rFonts w:eastAsia="Times New Roman"/>
                <w:sz w:val="20"/>
                <w:szCs w:val="20"/>
              </w:rPr>
              <w:t xml:space="preserve">Our ability to maintain or increase our market share in the competitive markets in which we do business; </w:t>
            </w:r>
          </w:p>
        </w:tc>
      </w:tr>
      <w:tr w:rsidR="00000000" w14:paraId="02CE5776" w14:textId="77777777">
        <w:trPr>
          <w:divId w:val="98525094"/>
          <w:trHeight w:val="225"/>
          <w:tblCellSpacing w:w="15" w:type="dxa"/>
        </w:trPr>
        <w:tc>
          <w:tcPr>
            <w:tcW w:w="0" w:type="auto"/>
            <w:vAlign w:val="center"/>
            <w:hideMark/>
          </w:tcPr>
          <w:p w14:paraId="7F7F9907"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5D1E9BC0"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7A49F87A" w14:textId="77777777" w:rsidR="00000000" w:rsidRDefault="00EB4933">
            <w:pPr>
              <w:rPr>
                <w:rFonts w:eastAsia="Times New Roman"/>
                <w:sz w:val="20"/>
                <w:szCs w:val="20"/>
              </w:rPr>
            </w:pPr>
            <w:r>
              <w:rPr>
                <w:rFonts w:eastAsia="Times New Roman"/>
                <w:sz w:val="20"/>
                <w:szCs w:val="20"/>
              </w:rPr>
              <w:t xml:space="preserve">Our dependence on the growth in demand for our products; </w:t>
            </w:r>
          </w:p>
        </w:tc>
      </w:tr>
      <w:tr w:rsidR="00000000" w14:paraId="3F6C5327" w14:textId="77777777">
        <w:trPr>
          <w:divId w:val="98525094"/>
          <w:trHeight w:val="225"/>
          <w:tblCellSpacing w:w="15" w:type="dxa"/>
        </w:trPr>
        <w:tc>
          <w:tcPr>
            <w:tcW w:w="0" w:type="auto"/>
            <w:vAlign w:val="center"/>
            <w:hideMark/>
          </w:tcPr>
          <w:p w14:paraId="40FDF626"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69D8F70E"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38AD078" w14:textId="77777777" w:rsidR="00000000" w:rsidRDefault="00EB4933">
            <w:pPr>
              <w:rPr>
                <w:rFonts w:eastAsia="Times New Roman"/>
                <w:sz w:val="20"/>
                <w:szCs w:val="20"/>
              </w:rPr>
            </w:pPr>
            <w:r>
              <w:rPr>
                <w:rFonts w:eastAsia="Times New Roman"/>
                <w:sz w:val="20"/>
                <w:szCs w:val="20"/>
              </w:rPr>
              <w:t>Our ability to diversify our product offerings and capture new market opportunities;</w:t>
            </w:r>
          </w:p>
        </w:tc>
      </w:tr>
      <w:tr w:rsidR="00000000" w14:paraId="00B5814A" w14:textId="77777777">
        <w:trPr>
          <w:divId w:val="98525094"/>
          <w:trHeight w:val="225"/>
          <w:tblCellSpacing w:w="15" w:type="dxa"/>
        </w:trPr>
        <w:tc>
          <w:tcPr>
            <w:tcW w:w="0" w:type="auto"/>
            <w:vAlign w:val="center"/>
            <w:hideMark/>
          </w:tcPr>
          <w:p w14:paraId="39BEC48D"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668736B4"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C4A7D4A" w14:textId="77777777" w:rsidR="00000000" w:rsidRDefault="00EB4933">
            <w:pPr>
              <w:rPr>
                <w:rFonts w:eastAsia="Times New Roman"/>
                <w:sz w:val="20"/>
                <w:szCs w:val="20"/>
              </w:rPr>
            </w:pPr>
            <w:r>
              <w:rPr>
                <w:rFonts w:eastAsia="Times New Roman"/>
                <w:sz w:val="20"/>
                <w:szCs w:val="20"/>
              </w:rPr>
              <w:t xml:space="preserve">The costs and losses we may incur as a result of current ongoing and future litigation and claims; </w:t>
            </w:r>
          </w:p>
        </w:tc>
      </w:tr>
      <w:tr w:rsidR="00000000" w14:paraId="47DC4CFA" w14:textId="77777777">
        <w:trPr>
          <w:divId w:val="98525094"/>
          <w:trHeight w:val="225"/>
          <w:tblCellSpacing w:w="15" w:type="dxa"/>
        </w:trPr>
        <w:tc>
          <w:tcPr>
            <w:tcW w:w="0" w:type="auto"/>
            <w:vAlign w:val="center"/>
            <w:hideMark/>
          </w:tcPr>
          <w:p w14:paraId="4E2D9BAB"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46B9DA45"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2F764A1" w14:textId="77777777" w:rsidR="00000000" w:rsidRDefault="00EB4933">
            <w:pPr>
              <w:rPr>
                <w:rFonts w:eastAsia="Times New Roman"/>
                <w:sz w:val="20"/>
                <w:szCs w:val="20"/>
              </w:rPr>
            </w:pPr>
            <w:r>
              <w:rPr>
                <w:rFonts w:eastAsia="Times New Roman"/>
                <w:sz w:val="20"/>
                <w:szCs w:val="20"/>
              </w:rPr>
              <w:t>The costs we may incur in the future from complying with curr</w:t>
            </w:r>
            <w:r>
              <w:rPr>
                <w:rFonts w:eastAsia="Times New Roman"/>
                <w:sz w:val="20"/>
                <w:szCs w:val="20"/>
              </w:rPr>
              <w:t>ent and future governmental regulations and the impact of any changes in the regulations on our operations; and</w:t>
            </w:r>
          </w:p>
        </w:tc>
      </w:tr>
      <w:tr w:rsidR="00000000" w14:paraId="4BE4E8A2" w14:textId="77777777">
        <w:trPr>
          <w:divId w:val="98525094"/>
          <w:trHeight w:val="225"/>
          <w:tblCellSpacing w:w="15" w:type="dxa"/>
        </w:trPr>
        <w:tc>
          <w:tcPr>
            <w:tcW w:w="0" w:type="auto"/>
            <w:vAlign w:val="center"/>
            <w:hideMark/>
          </w:tcPr>
          <w:p w14:paraId="69820083"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3B5A9ECC"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vAlign w:val="center"/>
            <w:hideMark/>
          </w:tcPr>
          <w:p w14:paraId="1E8ABF98" w14:textId="77777777" w:rsidR="00000000" w:rsidRDefault="00EB4933">
            <w:pPr>
              <w:pStyle w:val="NormalWeb"/>
              <w:spacing w:before="0" w:beforeAutospacing="0" w:after="0" w:afterAutospacing="0"/>
              <w:rPr>
                <w:sz w:val="20"/>
                <w:szCs w:val="20"/>
              </w:rPr>
            </w:pPr>
            <w:r>
              <w:rPr>
                <w:sz w:val="20"/>
                <w:szCs w:val="20"/>
              </w:rPr>
              <w:t>The loss of key members of our senior management.</w:t>
            </w:r>
          </w:p>
        </w:tc>
      </w:tr>
    </w:tbl>
    <w:p w14:paraId="27BD7475"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2A296BAC"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The forward-looking statements made in this annual report relate only to events or information as of the date on which the statements are made in this annual report. We undertake no obligation to update or revise publicly any forward-looking statements, wh</w:t>
      </w:r>
      <w:r>
        <w:rPr>
          <w:sz w:val="20"/>
          <w:szCs w:val="20"/>
        </w:rPr>
        <w:t>ether as a result of new information, future events or otherwise, after the date on which the statements are made or to reflect the occurrence of unanticipated events. You should read this annual report and the documents that we reference in this annual re</w:t>
      </w:r>
      <w:r>
        <w:rPr>
          <w:sz w:val="20"/>
          <w:szCs w:val="20"/>
        </w:rPr>
        <w:t>port and/or file as exhibits to this annual report completely and with the understanding that our actual future results may be materially different from what we expect.</w:t>
      </w:r>
    </w:p>
    <w:p w14:paraId="12145DA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25ABEE5"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Unless otherwise noted, all translations from Renminbi to U.S. dollars and from U.S. </w:t>
      </w:r>
      <w:r>
        <w:rPr>
          <w:sz w:val="20"/>
          <w:szCs w:val="20"/>
        </w:rPr>
        <w:t>dollars to Renminbi in this annual report are made at a rate of RMB6.9618 to $1.00, the exchange rate in effect as of December 31, 2019 as set forth in the H.10 statistical release of The Board of Governors of the Federal Reserve System. We make no represe</w:t>
      </w:r>
      <w:r>
        <w:rPr>
          <w:sz w:val="20"/>
          <w:szCs w:val="20"/>
        </w:rPr>
        <w:t>ntation that any Renminbi or U.S. dollar amounts could have been, or could be,converted into U.S. dollars or Renminbi, as the case may be, at any particular rate, or at all.</w:t>
      </w:r>
    </w:p>
    <w:p w14:paraId="5E5A1322"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E10E9C7" w14:textId="77777777">
        <w:trPr>
          <w:divId w:val="98525094"/>
          <w:trHeight w:val="225"/>
          <w:tblCellSpacing w:w="15" w:type="dxa"/>
        </w:trPr>
        <w:tc>
          <w:tcPr>
            <w:tcW w:w="0" w:type="auto"/>
            <w:vAlign w:val="center"/>
            <w:hideMark/>
          </w:tcPr>
          <w:p w14:paraId="409CE52E" w14:textId="77777777" w:rsidR="00000000" w:rsidRDefault="00EB4933">
            <w:pPr>
              <w:rPr>
                <w:rFonts w:eastAsia="Times New Roman"/>
                <w:sz w:val="20"/>
                <w:szCs w:val="20"/>
              </w:rPr>
            </w:pPr>
            <w:r>
              <w:rPr>
                <w:rFonts w:eastAsia="Times New Roman"/>
                <w:sz w:val="20"/>
                <w:szCs w:val="20"/>
              </w:rPr>
              <w:t> </w:t>
            </w:r>
          </w:p>
        </w:tc>
      </w:tr>
      <w:tr w:rsidR="00000000" w14:paraId="0200E201" w14:textId="77777777">
        <w:trPr>
          <w:divId w:val="98525094"/>
          <w:trHeight w:val="225"/>
          <w:tblCellSpacing w:w="15" w:type="dxa"/>
        </w:trPr>
        <w:tc>
          <w:tcPr>
            <w:tcW w:w="0" w:type="auto"/>
            <w:tcBorders>
              <w:bottom w:val="single" w:sz="6" w:space="0" w:color="000000"/>
            </w:tcBorders>
            <w:vAlign w:val="center"/>
            <w:hideMark/>
          </w:tcPr>
          <w:p w14:paraId="49E56FDA" w14:textId="77777777" w:rsidR="00000000" w:rsidRDefault="00EB4933">
            <w:pPr>
              <w:jc w:val="center"/>
              <w:rPr>
                <w:rFonts w:eastAsia="Times New Roman"/>
                <w:sz w:val="20"/>
                <w:szCs w:val="20"/>
              </w:rPr>
            </w:pPr>
            <w:r>
              <w:rPr>
                <w:rFonts w:eastAsia="Times New Roman"/>
                <w:sz w:val="20"/>
                <w:szCs w:val="20"/>
              </w:rPr>
              <w:t>6</w:t>
            </w:r>
          </w:p>
        </w:tc>
      </w:tr>
      <w:tr w:rsidR="00000000" w14:paraId="2E48D467" w14:textId="77777777">
        <w:trPr>
          <w:divId w:val="98525094"/>
          <w:trHeight w:val="225"/>
          <w:tblCellSpacing w:w="15" w:type="dxa"/>
        </w:trPr>
        <w:tc>
          <w:tcPr>
            <w:tcW w:w="0" w:type="auto"/>
            <w:vAlign w:val="center"/>
            <w:hideMark/>
          </w:tcPr>
          <w:p w14:paraId="76EAF1BD" w14:textId="77777777" w:rsidR="00000000" w:rsidRDefault="00EB4933">
            <w:pPr>
              <w:rPr>
                <w:rFonts w:eastAsia="Times New Roman"/>
                <w:sz w:val="20"/>
                <w:szCs w:val="20"/>
              </w:rPr>
            </w:pPr>
          </w:p>
        </w:tc>
      </w:tr>
      <w:tr w:rsidR="00000000" w14:paraId="6C95894A" w14:textId="77777777">
        <w:trPr>
          <w:divId w:val="98525094"/>
          <w:trHeight w:val="225"/>
          <w:tblCellSpacing w:w="15" w:type="dxa"/>
        </w:trPr>
        <w:tc>
          <w:tcPr>
            <w:tcW w:w="0" w:type="auto"/>
            <w:vAlign w:val="center"/>
            <w:hideMark/>
          </w:tcPr>
          <w:p w14:paraId="3B093DD3" w14:textId="77777777" w:rsidR="00000000" w:rsidRDefault="00EB4933">
            <w:pPr>
              <w:rPr>
                <w:rFonts w:eastAsia="Times New Roman"/>
                <w:sz w:val="20"/>
                <w:szCs w:val="20"/>
              </w:rPr>
            </w:pPr>
            <w:hyperlink r:id="rId66" w:anchor="toc" w:history="1">
              <w:r>
                <w:rPr>
                  <w:rStyle w:val="Hyperlink"/>
                  <w:rFonts w:eastAsia="Times New Roman"/>
                  <w:i/>
                  <w:iCs/>
                  <w:sz w:val="20"/>
                  <w:szCs w:val="20"/>
                </w:rPr>
                <w:t>Table of Contents</w:t>
              </w:r>
            </w:hyperlink>
          </w:p>
        </w:tc>
      </w:tr>
    </w:tbl>
    <w:p w14:paraId="3FC0BA3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FB4C431"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EXPLANATORY NOTE</w:t>
      </w:r>
    </w:p>
    <w:p w14:paraId="34D7817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A8D8645" w14:textId="77777777" w:rsidR="00000000" w:rsidRDefault="00EB4933">
      <w:pPr>
        <w:pStyle w:val="NormalWeb"/>
        <w:spacing w:before="0" w:beforeAutospacing="0" w:after="0" w:afterAutospacing="0"/>
        <w:ind w:firstLine="675"/>
        <w:jc w:val="both"/>
        <w:divId w:val="98525094"/>
        <w:rPr>
          <w:sz w:val="20"/>
          <w:szCs w:val="20"/>
        </w:rPr>
      </w:pPr>
      <w:r>
        <w:rPr>
          <w:sz w:val="20"/>
          <w:szCs w:val="20"/>
        </w:rPr>
        <w:t>Unless otherwise indicated, the terms “Company”, “we” and “us” refer to Dunxin Financial Holdings Limited, a Cayman Islands company, and its consolidated subsidiaries, including the 80% VIE operating company, Hubei Chutian Microfinance C</w:t>
      </w:r>
      <w:r>
        <w:rPr>
          <w:sz w:val="20"/>
          <w:szCs w:val="20"/>
        </w:rPr>
        <w:t>o., Ltd., a PRC company following the closing of the CIB Transaction (defined below). When used herein to describe events prior to the CIB Transaction, the terms “Company”, “Xiniya”, “we” and “us” refers to Dunxin Financial Holdings, Limited (formerly know</w:t>
      </w:r>
      <w:r>
        <w:rPr>
          <w:sz w:val="20"/>
          <w:szCs w:val="20"/>
        </w:rPr>
        <w:t xml:space="preserve">n as China Xiniya Fashion Limited) and its consolidated subsidiaries before such time. </w:t>
      </w:r>
    </w:p>
    <w:p w14:paraId="3264E41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38E9307" w14:textId="77777777" w:rsidR="00000000" w:rsidRDefault="00EB4933">
      <w:pPr>
        <w:pStyle w:val="NormalWeb"/>
        <w:spacing w:before="0" w:beforeAutospacing="0" w:after="0" w:afterAutospacing="0"/>
        <w:jc w:val="both"/>
        <w:divId w:val="98525094"/>
        <w:rPr>
          <w:sz w:val="20"/>
          <w:szCs w:val="20"/>
        </w:rPr>
      </w:pPr>
      <w:r>
        <w:rPr>
          <w:rStyle w:val="Strong"/>
          <w:sz w:val="20"/>
          <w:szCs w:val="20"/>
        </w:rPr>
        <w:t>Presentation of Our Financial and Operating Data</w:t>
      </w:r>
    </w:p>
    <w:p w14:paraId="6FAB637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D147420"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December 28, 2017, Honest Plus acquired 91,997,543 Shares and Perfect Lead acquired 22,999,386 Shares for an agg</w:t>
      </w:r>
      <w:r>
        <w:rPr>
          <w:sz w:val="20"/>
          <w:szCs w:val="20"/>
        </w:rPr>
        <w:t>regate purchase price of RMB86,426,660 (or approximately $0.11 per share) pursuant to a Share Purchase Agreement, as amended on October 27, 2016, and on December 10, 2017 (the “Share Purchase Agreement”), by and between Qiming Investment Limited, a British</w:t>
      </w:r>
      <w:r>
        <w:rPr>
          <w:sz w:val="20"/>
          <w:szCs w:val="20"/>
        </w:rPr>
        <w:t xml:space="preserve"> Virgin Islands company (“Qiming Investment”), Qiming Xu, the chairman and chief executive officer of the Xiniya (“Mr. Qiming Xu”), Honest Plus, and Perfect Lead. Wei Qizhi, our chairman and chief executive officer, is the sole director of Honest Plus and </w:t>
      </w:r>
      <w:r>
        <w:rPr>
          <w:sz w:val="20"/>
          <w:szCs w:val="20"/>
        </w:rPr>
        <w:t>Perfect Lead.</w:t>
      </w:r>
    </w:p>
    <w:p w14:paraId="34B7AEA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5B39A34"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a condition to the Share Purchase Agreement, on December 10, 2017, the Xiniya entered into (1) a Share Transfer Agreement with Qiming Investment pursuant to which the Xiniya agreed to sell Xiniya Holdings Limited, the Xiniya’s wholly-own</w:t>
      </w:r>
      <w:r>
        <w:rPr>
          <w:sz w:val="20"/>
          <w:szCs w:val="20"/>
        </w:rPr>
        <w:t>ed subsidiary in Hong Kong, to Mr. Qminig Xu in exchange for a purchase price of RMB228,000,000 (approximately $34,588,428) (“Divestiture”) subject to the terms set forth therein, and (2) a Securities Purchase Agreement with True Silver Limited (“True Silv</w:t>
      </w:r>
      <w:r>
        <w:rPr>
          <w:sz w:val="20"/>
          <w:szCs w:val="20"/>
        </w:rPr>
        <w:t>er”), a British Virgin Islands company, and Honest Plus pursuant to which the Xiniya agreed to acquire all of the issued and outstanding shares of True Silver owned by Honest Plus for a purchase price of RMB228,000,000 ($34,588,428) and the issuance of 772</w:t>
      </w:r>
      <w:r>
        <w:rPr>
          <w:sz w:val="20"/>
          <w:szCs w:val="20"/>
        </w:rPr>
        <w:t>,283,308 newly issued ordinary shares of the Xiniya (“Acquisition”) at RMB1.00 ($0.15) per share, which through a VIE structure, operates and consolidates eighty percent (80%) of the financial results of Hubei Chutian Microfinance Co., Ltd., a Chinese comp</w:t>
      </w:r>
      <w:r>
        <w:rPr>
          <w:sz w:val="20"/>
          <w:szCs w:val="20"/>
        </w:rPr>
        <w:t>any that engages in the lending of small loans to customers in China (“Chutian”). On December 28, 2017, the Divestiture and the Acquisition closed concurrently with the closing of the Share Purchase Agreement (collectively, the “CIB Transaction”). At the c</w:t>
      </w:r>
      <w:r>
        <w:rPr>
          <w:sz w:val="20"/>
          <w:szCs w:val="20"/>
        </w:rPr>
        <w:t>losing of the CIB Transaction, the Company discontinued its apparel business and became a microfinance lender in Hubei Province.</w:t>
      </w:r>
    </w:p>
    <w:p w14:paraId="562F817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785FA55"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a result of the CIB Transaction, Honest Plus and Perfect Lead, the former shareholders of True Silver, became the controll</w:t>
      </w:r>
      <w:r>
        <w:rPr>
          <w:sz w:val="20"/>
          <w:szCs w:val="20"/>
        </w:rPr>
        <w:t>ing shareholders of the Company. The CIB Transaction was accounted for as a reverse acquisition, wherein True Silver is considered the acquirer for accounting and financial reporting purposes.</w:t>
      </w:r>
    </w:p>
    <w:p w14:paraId="69E17BB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A554BBF"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 xml:space="preserve">Accordingly and except as otherwise provided, beginning with </w:t>
      </w:r>
      <w:r>
        <w:rPr>
          <w:sz w:val="20"/>
          <w:szCs w:val="20"/>
        </w:rPr>
        <w:t xml:space="preserve">this annual report on Form 20-F, the historical financial statement of True Silver are treated as the historical financial statements of the Company. </w:t>
      </w:r>
    </w:p>
    <w:p w14:paraId="05478D7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50A0497"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Restatement of 2017 and 2016 Financial Information </w:t>
      </w:r>
    </w:p>
    <w:p w14:paraId="0C5ED4D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D1840F4" w14:textId="77777777" w:rsidR="00000000" w:rsidRDefault="00EB4933">
      <w:pPr>
        <w:pStyle w:val="NormalWeb"/>
        <w:spacing w:before="0" w:beforeAutospacing="0" w:after="0" w:afterAutospacing="0"/>
        <w:jc w:val="both"/>
        <w:divId w:val="98525094"/>
        <w:rPr>
          <w:sz w:val="20"/>
          <w:szCs w:val="20"/>
        </w:rPr>
      </w:pPr>
      <w:r>
        <w:rPr>
          <w:sz w:val="20"/>
          <w:szCs w:val="20"/>
        </w:rPr>
        <w:t>We have restated our consolidated financial state</w:t>
      </w:r>
      <w:r>
        <w:rPr>
          <w:sz w:val="20"/>
          <w:szCs w:val="20"/>
        </w:rPr>
        <w:t>ments as of and for the years ended December 31, 2016 and 2017 in order to correct certain accounting errors. For discussion of the accounting errors identified and the restatement adjustments, see Note 30 of Notes to Consolidated Financial Statements. For</w:t>
      </w:r>
      <w:r>
        <w:rPr>
          <w:sz w:val="20"/>
          <w:szCs w:val="20"/>
        </w:rPr>
        <w:t xml:space="preserve"> a description of the material weaknesses in our internal control over financial reporting identified by management and management’s plan to remediate those material weaknesses, see Item 15 — Controls and Procedures. Therefore, as a result of these restate</w:t>
      </w:r>
      <w:r>
        <w:rPr>
          <w:sz w:val="20"/>
          <w:szCs w:val="20"/>
        </w:rPr>
        <w:t>ments, the financial information included in this Annual Report as of and for the years ended December 31, 2016, and 2017 differs from that reported in our annual reports on Form 20-F for year ended December 31, 2017.</w:t>
      </w:r>
    </w:p>
    <w:p w14:paraId="1680AC5B"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C5C8DB7" w14:textId="77777777">
        <w:trPr>
          <w:divId w:val="98525094"/>
          <w:trHeight w:val="225"/>
          <w:tblCellSpacing w:w="15" w:type="dxa"/>
        </w:trPr>
        <w:tc>
          <w:tcPr>
            <w:tcW w:w="0" w:type="auto"/>
            <w:vAlign w:val="center"/>
            <w:hideMark/>
          </w:tcPr>
          <w:p w14:paraId="6160DF1F" w14:textId="77777777" w:rsidR="00000000" w:rsidRDefault="00EB4933">
            <w:pPr>
              <w:rPr>
                <w:rFonts w:eastAsia="Times New Roman"/>
                <w:sz w:val="20"/>
                <w:szCs w:val="20"/>
              </w:rPr>
            </w:pPr>
            <w:r>
              <w:rPr>
                <w:rFonts w:eastAsia="Times New Roman"/>
                <w:sz w:val="20"/>
                <w:szCs w:val="20"/>
              </w:rPr>
              <w:t> </w:t>
            </w:r>
          </w:p>
        </w:tc>
      </w:tr>
      <w:tr w:rsidR="00000000" w14:paraId="7E8C0256" w14:textId="77777777">
        <w:trPr>
          <w:divId w:val="98525094"/>
          <w:trHeight w:val="225"/>
          <w:tblCellSpacing w:w="15" w:type="dxa"/>
        </w:trPr>
        <w:tc>
          <w:tcPr>
            <w:tcW w:w="0" w:type="auto"/>
            <w:tcBorders>
              <w:bottom w:val="single" w:sz="6" w:space="0" w:color="000000"/>
            </w:tcBorders>
            <w:vAlign w:val="center"/>
            <w:hideMark/>
          </w:tcPr>
          <w:p w14:paraId="65B57D12" w14:textId="77777777" w:rsidR="00000000" w:rsidRDefault="00EB4933">
            <w:pPr>
              <w:jc w:val="center"/>
              <w:rPr>
                <w:rFonts w:eastAsia="Times New Roman"/>
                <w:sz w:val="20"/>
                <w:szCs w:val="20"/>
              </w:rPr>
            </w:pPr>
            <w:r>
              <w:rPr>
                <w:rFonts w:eastAsia="Times New Roman"/>
                <w:sz w:val="20"/>
                <w:szCs w:val="20"/>
              </w:rPr>
              <w:t>7</w:t>
            </w:r>
          </w:p>
        </w:tc>
      </w:tr>
      <w:tr w:rsidR="00000000" w14:paraId="03D56233" w14:textId="77777777">
        <w:trPr>
          <w:divId w:val="98525094"/>
          <w:trHeight w:val="225"/>
          <w:tblCellSpacing w:w="15" w:type="dxa"/>
        </w:trPr>
        <w:tc>
          <w:tcPr>
            <w:tcW w:w="0" w:type="auto"/>
            <w:vAlign w:val="center"/>
            <w:hideMark/>
          </w:tcPr>
          <w:p w14:paraId="5C42A589" w14:textId="77777777" w:rsidR="00000000" w:rsidRDefault="00EB4933">
            <w:pPr>
              <w:rPr>
                <w:rFonts w:eastAsia="Times New Roman"/>
                <w:sz w:val="20"/>
                <w:szCs w:val="20"/>
              </w:rPr>
            </w:pPr>
          </w:p>
        </w:tc>
      </w:tr>
      <w:tr w:rsidR="00000000" w14:paraId="1DE99E9E" w14:textId="77777777">
        <w:trPr>
          <w:divId w:val="98525094"/>
          <w:trHeight w:val="225"/>
          <w:tblCellSpacing w:w="15" w:type="dxa"/>
        </w:trPr>
        <w:tc>
          <w:tcPr>
            <w:tcW w:w="0" w:type="auto"/>
            <w:vAlign w:val="center"/>
            <w:hideMark/>
          </w:tcPr>
          <w:p w14:paraId="2C24E172" w14:textId="77777777" w:rsidR="00000000" w:rsidRDefault="00EB4933">
            <w:pPr>
              <w:rPr>
                <w:rFonts w:eastAsia="Times New Roman"/>
                <w:sz w:val="20"/>
                <w:szCs w:val="20"/>
              </w:rPr>
            </w:pPr>
            <w:hyperlink r:id="rId67" w:anchor="toc" w:history="1">
              <w:r>
                <w:rPr>
                  <w:rStyle w:val="Hyperlink"/>
                  <w:rFonts w:eastAsia="Times New Roman"/>
                  <w:i/>
                  <w:iCs/>
                  <w:sz w:val="20"/>
                  <w:szCs w:val="20"/>
                </w:rPr>
                <w:t>Table of Contents</w:t>
              </w:r>
            </w:hyperlink>
          </w:p>
        </w:tc>
      </w:tr>
    </w:tbl>
    <w:p w14:paraId="2676E2D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9E880CF" w14:textId="77777777" w:rsidR="00000000" w:rsidRDefault="00EB4933">
      <w:pPr>
        <w:pStyle w:val="NormalWeb"/>
        <w:spacing w:before="0" w:beforeAutospacing="0" w:after="0" w:afterAutospacing="0"/>
        <w:jc w:val="center"/>
        <w:divId w:val="98525094"/>
        <w:rPr>
          <w:sz w:val="20"/>
          <w:szCs w:val="20"/>
        </w:rPr>
      </w:pPr>
      <w:bookmarkStart w:id="3" w:name="p1"/>
      <w:r>
        <w:rPr>
          <w:rStyle w:val="Strong"/>
          <w:sz w:val="20"/>
          <w:szCs w:val="20"/>
        </w:rPr>
        <w:t>PART I</w:t>
      </w:r>
      <w:bookmarkEnd w:id="3"/>
    </w:p>
    <w:p w14:paraId="27A25BF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AAEF99C" w14:textId="77777777" w:rsidR="00000000" w:rsidRDefault="00EB4933">
      <w:pPr>
        <w:pStyle w:val="NormalWeb"/>
        <w:spacing w:before="0" w:beforeAutospacing="0" w:after="0" w:afterAutospacing="0"/>
        <w:jc w:val="both"/>
        <w:divId w:val="98525094"/>
        <w:rPr>
          <w:sz w:val="20"/>
          <w:szCs w:val="20"/>
        </w:rPr>
      </w:pPr>
      <w:bookmarkStart w:id="4" w:name="i1"/>
      <w:r>
        <w:rPr>
          <w:rStyle w:val="Strong"/>
          <w:sz w:val="20"/>
          <w:szCs w:val="20"/>
        </w:rPr>
        <w:t>ITEM 1. IDENTITY OF DIRECTORS, SENIOR MANAGEMENT AND ADVISERS</w:t>
      </w:r>
      <w:bookmarkEnd w:id="4"/>
    </w:p>
    <w:p w14:paraId="45AA983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C9E0E7C" w14:textId="77777777" w:rsidR="00000000" w:rsidRDefault="00EB4933">
      <w:pPr>
        <w:pStyle w:val="NormalWeb"/>
        <w:spacing w:before="0" w:beforeAutospacing="0" w:after="0" w:afterAutospacing="0"/>
        <w:ind w:firstLine="675"/>
        <w:jc w:val="both"/>
        <w:divId w:val="98525094"/>
        <w:rPr>
          <w:sz w:val="20"/>
          <w:szCs w:val="20"/>
        </w:rPr>
      </w:pPr>
      <w:r>
        <w:rPr>
          <w:sz w:val="20"/>
          <w:szCs w:val="20"/>
        </w:rPr>
        <w:t>Not applicable.</w:t>
      </w:r>
    </w:p>
    <w:p w14:paraId="169E6DB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6E49219" w14:textId="77777777" w:rsidR="00000000" w:rsidRDefault="00EB4933">
      <w:pPr>
        <w:pStyle w:val="NormalWeb"/>
        <w:spacing w:before="0" w:beforeAutospacing="0" w:after="0" w:afterAutospacing="0"/>
        <w:jc w:val="both"/>
        <w:divId w:val="98525094"/>
        <w:rPr>
          <w:sz w:val="20"/>
          <w:szCs w:val="20"/>
        </w:rPr>
      </w:pPr>
      <w:bookmarkStart w:id="5" w:name="i2"/>
      <w:r>
        <w:rPr>
          <w:rStyle w:val="Strong"/>
          <w:sz w:val="20"/>
          <w:szCs w:val="20"/>
        </w:rPr>
        <w:t>ITEM 2. OFFER STATISTICS AND EXPECTED TIMETABLE</w:t>
      </w:r>
      <w:bookmarkEnd w:id="5"/>
    </w:p>
    <w:p w14:paraId="19C5A9E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F135D61" w14:textId="77777777" w:rsidR="00000000" w:rsidRDefault="00EB4933">
      <w:pPr>
        <w:pStyle w:val="NormalWeb"/>
        <w:spacing w:before="0" w:beforeAutospacing="0" w:after="0" w:afterAutospacing="0"/>
        <w:ind w:firstLine="675"/>
        <w:jc w:val="both"/>
        <w:divId w:val="98525094"/>
        <w:rPr>
          <w:sz w:val="20"/>
          <w:szCs w:val="20"/>
        </w:rPr>
      </w:pPr>
      <w:r>
        <w:rPr>
          <w:sz w:val="20"/>
          <w:szCs w:val="20"/>
        </w:rPr>
        <w:t>Not applicable.</w:t>
      </w:r>
    </w:p>
    <w:p w14:paraId="34F22C0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98EED11" w14:textId="77777777" w:rsidR="00000000" w:rsidRDefault="00EB4933">
      <w:pPr>
        <w:pStyle w:val="NormalWeb"/>
        <w:spacing w:before="0" w:beforeAutospacing="0" w:after="0" w:afterAutospacing="0"/>
        <w:jc w:val="both"/>
        <w:divId w:val="98525094"/>
        <w:rPr>
          <w:sz w:val="20"/>
          <w:szCs w:val="20"/>
        </w:rPr>
      </w:pPr>
      <w:bookmarkStart w:id="6" w:name="i3"/>
      <w:r>
        <w:rPr>
          <w:rStyle w:val="Strong"/>
          <w:sz w:val="20"/>
          <w:szCs w:val="20"/>
        </w:rPr>
        <w:t>ITEM 3. KEY INFORMATION</w:t>
      </w:r>
      <w:bookmarkEnd w:id="6"/>
    </w:p>
    <w:p w14:paraId="0B2982B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28767CA" w14:textId="77777777" w:rsidR="00000000" w:rsidRDefault="00EB4933">
      <w:pPr>
        <w:pStyle w:val="NormalWeb"/>
        <w:spacing w:before="0" w:beforeAutospacing="0" w:after="0" w:afterAutospacing="0"/>
        <w:jc w:val="both"/>
        <w:divId w:val="98525094"/>
        <w:rPr>
          <w:sz w:val="20"/>
          <w:szCs w:val="20"/>
        </w:rPr>
      </w:pPr>
      <w:r>
        <w:rPr>
          <w:rStyle w:val="Strong"/>
          <w:sz w:val="20"/>
          <w:szCs w:val="20"/>
        </w:rPr>
        <w:t>A. Selected Financial Data</w:t>
      </w:r>
    </w:p>
    <w:p w14:paraId="2FA57FA9"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7B1F309C"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following selected consolidated statements of profit data for the years ended December 31, 2017, 2018 and 2019, and the selected consolidated statements of financial position data as of December 3</w:t>
      </w:r>
      <w:r>
        <w:rPr>
          <w:sz w:val="20"/>
          <w:szCs w:val="20"/>
        </w:rPr>
        <w:t>1, 2018 and 2019, have been derived from our audited consolidated financial statements included elsewhere in this annual report.</w:t>
      </w:r>
    </w:p>
    <w:p w14:paraId="7698D60B"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60584A1F"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selected consolidated statements of profit data for the years ended December 31, 2015 and 2016 and the selected consoli</w:t>
      </w:r>
      <w:r>
        <w:rPr>
          <w:sz w:val="20"/>
          <w:szCs w:val="20"/>
        </w:rPr>
        <w:t>dated statements of financial position data as of December 31, 2015, 2016 and 2017 have been derived from our audited consolidated financial statements that are not included in this annual report. See “Explanatory Note and Presentation of Our Financial and</w:t>
      </w:r>
      <w:r>
        <w:rPr>
          <w:sz w:val="20"/>
          <w:szCs w:val="20"/>
        </w:rPr>
        <w:t xml:space="preserve"> Operating Data” for further details on the presentation of the financial statements and the history of the Company. </w:t>
      </w:r>
    </w:p>
    <w:p w14:paraId="36207748"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68CCDD7" w14:textId="77777777" w:rsidR="00000000" w:rsidRDefault="00EB4933">
      <w:pPr>
        <w:pStyle w:val="NormalWeb"/>
        <w:spacing w:before="0" w:beforeAutospacing="0" w:after="0" w:afterAutospacing="0"/>
        <w:ind w:firstLine="675"/>
        <w:jc w:val="both"/>
        <w:divId w:val="98525094"/>
        <w:rPr>
          <w:sz w:val="20"/>
          <w:szCs w:val="20"/>
        </w:rPr>
      </w:pPr>
      <w:r>
        <w:rPr>
          <w:sz w:val="20"/>
          <w:szCs w:val="20"/>
        </w:rPr>
        <w:t>With respect to the selected consolidated financial data for the earliest year of the five-year period (2014), we omitted such informati</w:t>
      </w:r>
      <w:r>
        <w:rPr>
          <w:sz w:val="20"/>
          <w:szCs w:val="20"/>
        </w:rPr>
        <w:t>on because we are not able to provide the historic financial data without unreasonable effort and expense.</w:t>
      </w:r>
    </w:p>
    <w:p w14:paraId="32C16BE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1562D21"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selected consolidated financial information for those periods and as of those dates are qualified by reference to those financial statements an</w:t>
      </w:r>
      <w:r>
        <w:rPr>
          <w:sz w:val="20"/>
          <w:szCs w:val="20"/>
        </w:rPr>
        <w:t xml:space="preserve">d the related notes, and should be read in conjunction with them and with “Item 5. Operating and Financial Review and Prospects.” </w:t>
      </w:r>
    </w:p>
    <w:p w14:paraId="220E1026"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08E4E62"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consolidated financial statements are prepared and presented in accordance with International Financial Reporting Stand</w:t>
      </w:r>
      <w:r>
        <w:rPr>
          <w:sz w:val="20"/>
          <w:szCs w:val="20"/>
        </w:rPr>
        <w:t xml:space="preserve">ards, or IFRS, as issued by the International Accounting Standards Board, or IASB. </w:t>
      </w:r>
    </w:p>
    <w:p w14:paraId="3E61D18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9AF1BC7"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historical results do not necessarily indicate our results expected for any future periods.</w:t>
      </w:r>
    </w:p>
    <w:p w14:paraId="5DC979EF"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CE5B651" w14:textId="77777777">
        <w:trPr>
          <w:divId w:val="98525094"/>
          <w:trHeight w:val="225"/>
          <w:tblCellSpacing w:w="15" w:type="dxa"/>
        </w:trPr>
        <w:tc>
          <w:tcPr>
            <w:tcW w:w="0" w:type="auto"/>
            <w:vAlign w:val="center"/>
            <w:hideMark/>
          </w:tcPr>
          <w:p w14:paraId="15579B18" w14:textId="77777777" w:rsidR="00000000" w:rsidRDefault="00EB4933">
            <w:pPr>
              <w:rPr>
                <w:rFonts w:eastAsia="Times New Roman"/>
                <w:sz w:val="20"/>
                <w:szCs w:val="20"/>
              </w:rPr>
            </w:pPr>
            <w:r>
              <w:rPr>
                <w:rFonts w:eastAsia="Times New Roman"/>
                <w:sz w:val="20"/>
                <w:szCs w:val="20"/>
              </w:rPr>
              <w:lastRenderedPageBreak/>
              <w:t> </w:t>
            </w:r>
          </w:p>
        </w:tc>
      </w:tr>
      <w:tr w:rsidR="00000000" w14:paraId="7D8F0D8C" w14:textId="77777777">
        <w:trPr>
          <w:divId w:val="98525094"/>
          <w:trHeight w:val="225"/>
          <w:tblCellSpacing w:w="15" w:type="dxa"/>
        </w:trPr>
        <w:tc>
          <w:tcPr>
            <w:tcW w:w="0" w:type="auto"/>
            <w:tcBorders>
              <w:bottom w:val="single" w:sz="6" w:space="0" w:color="000000"/>
            </w:tcBorders>
            <w:vAlign w:val="center"/>
            <w:hideMark/>
          </w:tcPr>
          <w:p w14:paraId="73903004" w14:textId="77777777" w:rsidR="00000000" w:rsidRDefault="00EB4933">
            <w:pPr>
              <w:jc w:val="center"/>
              <w:rPr>
                <w:rFonts w:eastAsia="Times New Roman"/>
                <w:sz w:val="20"/>
                <w:szCs w:val="20"/>
              </w:rPr>
            </w:pPr>
            <w:r>
              <w:rPr>
                <w:rFonts w:eastAsia="Times New Roman"/>
                <w:sz w:val="20"/>
                <w:szCs w:val="20"/>
              </w:rPr>
              <w:t>8</w:t>
            </w:r>
          </w:p>
        </w:tc>
      </w:tr>
      <w:tr w:rsidR="00000000" w14:paraId="67EC8C0A" w14:textId="77777777">
        <w:trPr>
          <w:divId w:val="98525094"/>
          <w:trHeight w:val="225"/>
          <w:tblCellSpacing w:w="15" w:type="dxa"/>
        </w:trPr>
        <w:tc>
          <w:tcPr>
            <w:tcW w:w="0" w:type="auto"/>
            <w:vAlign w:val="center"/>
            <w:hideMark/>
          </w:tcPr>
          <w:p w14:paraId="7407BD0D" w14:textId="77777777" w:rsidR="00000000" w:rsidRDefault="00EB4933">
            <w:pPr>
              <w:rPr>
                <w:rFonts w:eastAsia="Times New Roman"/>
                <w:sz w:val="20"/>
                <w:szCs w:val="20"/>
              </w:rPr>
            </w:pPr>
          </w:p>
        </w:tc>
      </w:tr>
      <w:tr w:rsidR="00000000" w14:paraId="423F2202" w14:textId="77777777">
        <w:trPr>
          <w:divId w:val="98525094"/>
          <w:trHeight w:val="225"/>
          <w:tblCellSpacing w:w="15" w:type="dxa"/>
        </w:trPr>
        <w:tc>
          <w:tcPr>
            <w:tcW w:w="0" w:type="auto"/>
            <w:vAlign w:val="center"/>
            <w:hideMark/>
          </w:tcPr>
          <w:p w14:paraId="78C54042" w14:textId="77777777" w:rsidR="00000000" w:rsidRDefault="00EB4933">
            <w:pPr>
              <w:rPr>
                <w:rFonts w:eastAsia="Times New Roman"/>
                <w:sz w:val="20"/>
                <w:szCs w:val="20"/>
              </w:rPr>
            </w:pPr>
            <w:hyperlink r:id="rId68" w:anchor="toc" w:history="1">
              <w:r>
                <w:rPr>
                  <w:rStyle w:val="Hyperlink"/>
                  <w:rFonts w:eastAsia="Times New Roman"/>
                  <w:i/>
                  <w:iCs/>
                  <w:sz w:val="20"/>
                  <w:szCs w:val="20"/>
                </w:rPr>
                <w:t>Table of Contents</w:t>
              </w:r>
            </w:hyperlink>
          </w:p>
        </w:tc>
      </w:tr>
    </w:tbl>
    <w:p w14:paraId="0B086E4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D7BABE7" w14:textId="77777777" w:rsidR="00000000" w:rsidRDefault="00EB4933">
      <w:pPr>
        <w:pStyle w:val="NormalWeb"/>
        <w:spacing w:before="0" w:beforeAutospacing="0" w:after="0" w:afterAutospacing="0"/>
        <w:jc w:val="both"/>
        <w:divId w:val="98525094"/>
        <w:rPr>
          <w:sz w:val="20"/>
          <w:szCs w:val="20"/>
        </w:rPr>
      </w:pPr>
      <w:r>
        <w:rPr>
          <w:rStyle w:val="Strong"/>
          <w:sz w:val="20"/>
          <w:szCs w:val="20"/>
        </w:rPr>
        <w:t>In accordance with IFRS</w:t>
      </w:r>
    </w:p>
    <w:p w14:paraId="6C7E9E66"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508F94F5"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tables below set forth selected consolidated financial data under IFRS for the Company for the years ended December 31, 2015, 2016, 2017, 2018 and 2019. The informa</w:t>
      </w:r>
      <w:r>
        <w:rPr>
          <w:sz w:val="20"/>
          <w:szCs w:val="20"/>
        </w:rPr>
        <w:t>tion has been derived from our annual audited consolidated financial statements.</w:t>
      </w:r>
    </w:p>
    <w:p w14:paraId="2F52560B"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3823"/>
        <w:gridCol w:w="86"/>
        <w:gridCol w:w="86"/>
        <w:gridCol w:w="647"/>
        <w:gridCol w:w="97"/>
        <w:gridCol w:w="80"/>
        <w:gridCol w:w="83"/>
        <w:gridCol w:w="680"/>
        <w:gridCol w:w="97"/>
        <w:gridCol w:w="80"/>
        <w:gridCol w:w="83"/>
        <w:gridCol w:w="680"/>
        <w:gridCol w:w="97"/>
        <w:gridCol w:w="80"/>
        <w:gridCol w:w="83"/>
        <w:gridCol w:w="680"/>
        <w:gridCol w:w="97"/>
        <w:gridCol w:w="80"/>
        <w:gridCol w:w="86"/>
        <w:gridCol w:w="680"/>
        <w:gridCol w:w="97"/>
        <w:gridCol w:w="80"/>
        <w:gridCol w:w="86"/>
        <w:gridCol w:w="580"/>
        <w:gridCol w:w="112"/>
      </w:tblGrid>
      <w:tr w:rsidR="00000000" w14:paraId="13BBF0F3" w14:textId="77777777">
        <w:trPr>
          <w:divId w:val="98525094"/>
          <w:trHeight w:val="225"/>
          <w:tblCellSpacing w:w="15" w:type="dxa"/>
        </w:trPr>
        <w:tc>
          <w:tcPr>
            <w:tcW w:w="0" w:type="auto"/>
            <w:vAlign w:val="center"/>
            <w:hideMark/>
          </w:tcPr>
          <w:p w14:paraId="04BBB213"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FAB40B8"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3"/>
            <w:tcBorders>
              <w:bottom w:val="single" w:sz="6" w:space="0" w:color="000000"/>
            </w:tcBorders>
            <w:vAlign w:val="bottom"/>
            <w:hideMark/>
          </w:tcPr>
          <w:p w14:paraId="57DEA710" w14:textId="77777777" w:rsidR="00000000" w:rsidRDefault="00EB4933">
            <w:pPr>
              <w:pStyle w:val="NormalWeb"/>
              <w:spacing w:before="0" w:beforeAutospacing="0" w:after="0" w:afterAutospacing="0"/>
              <w:jc w:val="center"/>
              <w:rPr>
                <w:sz w:val="20"/>
                <w:szCs w:val="20"/>
              </w:rPr>
            </w:pPr>
            <w:r>
              <w:rPr>
                <w:rStyle w:val="Strong"/>
                <w:sz w:val="20"/>
                <w:szCs w:val="20"/>
              </w:rPr>
              <w:t>For the Year Ended December 31</w:t>
            </w:r>
          </w:p>
        </w:tc>
      </w:tr>
      <w:tr w:rsidR="00000000" w14:paraId="36AFD2F8" w14:textId="77777777">
        <w:trPr>
          <w:divId w:val="98525094"/>
          <w:trHeight w:val="225"/>
          <w:tblCellSpacing w:w="15" w:type="dxa"/>
        </w:trPr>
        <w:tc>
          <w:tcPr>
            <w:tcW w:w="0" w:type="auto"/>
            <w:vAlign w:val="center"/>
            <w:hideMark/>
          </w:tcPr>
          <w:p w14:paraId="2C174F7A"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550D3D0"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58DA99E5" w14:textId="77777777" w:rsidR="00000000" w:rsidRDefault="00EB4933">
            <w:pPr>
              <w:pStyle w:val="NormalWeb"/>
              <w:spacing w:before="0" w:beforeAutospacing="0" w:after="0" w:afterAutospacing="0"/>
              <w:jc w:val="center"/>
              <w:rPr>
                <w:sz w:val="20"/>
                <w:szCs w:val="20"/>
              </w:rPr>
            </w:pPr>
            <w:r>
              <w:rPr>
                <w:rStyle w:val="Strong"/>
                <w:sz w:val="20"/>
                <w:szCs w:val="20"/>
              </w:rPr>
              <w:t>2015</w:t>
            </w:r>
          </w:p>
        </w:tc>
        <w:tc>
          <w:tcPr>
            <w:tcW w:w="0" w:type="auto"/>
            <w:noWrap/>
            <w:vAlign w:val="center"/>
            <w:hideMark/>
          </w:tcPr>
          <w:p w14:paraId="554EBD08"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8B6C9C0"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2766AF88" w14:textId="77777777" w:rsidR="00000000" w:rsidRDefault="00EB4933">
            <w:pPr>
              <w:pStyle w:val="NormalWeb"/>
              <w:spacing w:before="0" w:beforeAutospacing="0" w:after="0" w:afterAutospacing="0"/>
              <w:jc w:val="center"/>
              <w:rPr>
                <w:sz w:val="20"/>
                <w:szCs w:val="20"/>
              </w:rPr>
            </w:pPr>
            <w:r>
              <w:rPr>
                <w:rStyle w:val="Strong"/>
                <w:sz w:val="20"/>
                <w:szCs w:val="20"/>
              </w:rPr>
              <w:t>2016</w:t>
            </w:r>
          </w:p>
        </w:tc>
        <w:tc>
          <w:tcPr>
            <w:tcW w:w="0" w:type="auto"/>
            <w:noWrap/>
            <w:vAlign w:val="center"/>
            <w:hideMark/>
          </w:tcPr>
          <w:p w14:paraId="2968B3A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0C0A678"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69BF2827" w14:textId="77777777" w:rsidR="00000000" w:rsidRDefault="00EB4933">
            <w:pPr>
              <w:pStyle w:val="NormalWeb"/>
              <w:spacing w:before="0" w:beforeAutospacing="0" w:after="0" w:afterAutospacing="0"/>
              <w:jc w:val="center"/>
              <w:rPr>
                <w:sz w:val="20"/>
                <w:szCs w:val="20"/>
              </w:rPr>
            </w:pPr>
            <w:r>
              <w:rPr>
                <w:rStyle w:val="Strong"/>
                <w:sz w:val="20"/>
                <w:szCs w:val="20"/>
              </w:rPr>
              <w:t>2017</w:t>
            </w:r>
            <w:r>
              <w:rPr>
                <w:rStyle w:val="Strong"/>
                <w:sz w:val="20"/>
                <w:szCs w:val="20"/>
                <w:vertAlign w:val="superscript"/>
              </w:rPr>
              <w:t>(1)</w:t>
            </w:r>
          </w:p>
        </w:tc>
        <w:tc>
          <w:tcPr>
            <w:tcW w:w="0" w:type="auto"/>
            <w:noWrap/>
            <w:vAlign w:val="center"/>
            <w:hideMark/>
          </w:tcPr>
          <w:p w14:paraId="657442D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8356124"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72DC618A"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vAlign w:val="center"/>
            <w:hideMark/>
          </w:tcPr>
          <w:p w14:paraId="0B96E592"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6F1BE06"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7313B78E"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5675B872"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D31E2F9"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7DDD6A6E"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32490775" w14:textId="77777777" w:rsidR="00000000" w:rsidRDefault="00EB4933">
            <w:pPr>
              <w:pStyle w:val="NormalWeb"/>
              <w:spacing w:before="0" w:beforeAutospacing="0" w:after="0" w:afterAutospacing="0"/>
              <w:rPr>
                <w:sz w:val="20"/>
                <w:szCs w:val="20"/>
              </w:rPr>
            </w:pPr>
            <w:r>
              <w:rPr>
                <w:sz w:val="20"/>
                <w:szCs w:val="20"/>
              </w:rPr>
              <w:t> </w:t>
            </w:r>
          </w:p>
        </w:tc>
      </w:tr>
      <w:tr w:rsidR="00000000" w14:paraId="662F7AAB" w14:textId="77777777">
        <w:trPr>
          <w:divId w:val="98525094"/>
          <w:trHeight w:val="225"/>
          <w:tblCellSpacing w:w="15" w:type="dxa"/>
        </w:trPr>
        <w:tc>
          <w:tcPr>
            <w:tcW w:w="0" w:type="auto"/>
            <w:vAlign w:val="bottom"/>
            <w:hideMark/>
          </w:tcPr>
          <w:p w14:paraId="123D482B" w14:textId="77777777" w:rsidR="00000000" w:rsidRDefault="00EB4933">
            <w:pPr>
              <w:pStyle w:val="NormalWeb"/>
              <w:spacing w:before="0" w:beforeAutospacing="0" w:after="0" w:afterAutospacing="0"/>
              <w:rPr>
                <w:sz w:val="20"/>
                <w:szCs w:val="20"/>
              </w:rPr>
            </w:pPr>
            <w:r>
              <w:rPr>
                <w:rStyle w:val="Strong"/>
                <w:sz w:val="20"/>
                <w:szCs w:val="20"/>
              </w:rPr>
              <w:t>Selected Statement of Profit and Other Comprehensive Income data</w:t>
            </w:r>
          </w:p>
        </w:tc>
        <w:tc>
          <w:tcPr>
            <w:tcW w:w="0" w:type="auto"/>
            <w:noWrap/>
            <w:vAlign w:val="center"/>
            <w:hideMark/>
          </w:tcPr>
          <w:p w14:paraId="54064574"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bottom"/>
            <w:hideMark/>
          </w:tcPr>
          <w:p w14:paraId="0FA356F3" w14:textId="77777777" w:rsidR="00000000" w:rsidRDefault="00EB4933">
            <w:pPr>
              <w:pStyle w:val="NormalWeb"/>
              <w:spacing w:before="0" w:beforeAutospacing="0" w:after="0" w:afterAutospacing="0"/>
              <w:jc w:val="center"/>
              <w:rPr>
                <w:sz w:val="20"/>
                <w:szCs w:val="20"/>
              </w:rPr>
            </w:pPr>
            <w:r>
              <w:rPr>
                <w:rStyle w:val="Strong"/>
                <w:sz w:val="20"/>
                <w:szCs w:val="20"/>
              </w:rPr>
              <w:t>RMB</w:t>
            </w:r>
          </w:p>
        </w:tc>
        <w:tc>
          <w:tcPr>
            <w:tcW w:w="0" w:type="auto"/>
            <w:noWrap/>
            <w:vAlign w:val="center"/>
            <w:hideMark/>
          </w:tcPr>
          <w:p w14:paraId="084B59A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DBB5068"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bottom"/>
            <w:hideMark/>
          </w:tcPr>
          <w:p w14:paraId="26087F79" w14:textId="77777777" w:rsidR="00000000" w:rsidRDefault="00EB4933">
            <w:pPr>
              <w:pStyle w:val="NormalWeb"/>
              <w:spacing w:before="0" w:beforeAutospacing="0" w:after="0" w:afterAutospacing="0"/>
              <w:jc w:val="center"/>
              <w:rPr>
                <w:sz w:val="20"/>
                <w:szCs w:val="20"/>
              </w:rPr>
            </w:pPr>
            <w:r>
              <w:rPr>
                <w:rStyle w:val="Strong"/>
                <w:sz w:val="20"/>
                <w:szCs w:val="20"/>
              </w:rPr>
              <w:t>RMB</w:t>
            </w:r>
          </w:p>
        </w:tc>
        <w:tc>
          <w:tcPr>
            <w:tcW w:w="0" w:type="auto"/>
            <w:noWrap/>
            <w:vAlign w:val="center"/>
            <w:hideMark/>
          </w:tcPr>
          <w:p w14:paraId="2F0F08B2"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ECD4FEE"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bottom"/>
            <w:hideMark/>
          </w:tcPr>
          <w:p w14:paraId="5580514D" w14:textId="77777777" w:rsidR="00000000" w:rsidRDefault="00EB4933">
            <w:pPr>
              <w:pStyle w:val="NormalWeb"/>
              <w:spacing w:before="0" w:beforeAutospacing="0" w:after="0" w:afterAutospacing="0"/>
              <w:jc w:val="center"/>
              <w:rPr>
                <w:sz w:val="20"/>
                <w:szCs w:val="20"/>
              </w:rPr>
            </w:pPr>
            <w:r>
              <w:rPr>
                <w:rStyle w:val="Strong"/>
                <w:sz w:val="20"/>
                <w:szCs w:val="20"/>
              </w:rPr>
              <w:t>RMB</w:t>
            </w:r>
          </w:p>
        </w:tc>
        <w:tc>
          <w:tcPr>
            <w:tcW w:w="0" w:type="auto"/>
            <w:noWrap/>
            <w:vAlign w:val="center"/>
            <w:hideMark/>
          </w:tcPr>
          <w:p w14:paraId="36BBC9EB"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D3E1922"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bottom"/>
            <w:hideMark/>
          </w:tcPr>
          <w:p w14:paraId="3257023F" w14:textId="77777777" w:rsidR="00000000" w:rsidRDefault="00EB4933">
            <w:pPr>
              <w:pStyle w:val="NormalWeb"/>
              <w:spacing w:before="0" w:beforeAutospacing="0" w:after="0" w:afterAutospacing="0"/>
              <w:jc w:val="center"/>
              <w:rPr>
                <w:sz w:val="20"/>
                <w:szCs w:val="20"/>
              </w:rPr>
            </w:pPr>
            <w:r>
              <w:rPr>
                <w:rStyle w:val="Strong"/>
                <w:sz w:val="20"/>
                <w:szCs w:val="20"/>
              </w:rPr>
              <w:t>RMB</w:t>
            </w:r>
          </w:p>
        </w:tc>
        <w:tc>
          <w:tcPr>
            <w:tcW w:w="0" w:type="auto"/>
            <w:noWrap/>
            <w:vAlign w:val="center"/>
            <w:hideMark/>
          </w:tcPr>
          <w:p w14:paraId="4EFDFD02"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0E01291"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bottom"/>
            <w:hideMark/>
          </w:tcPr>
          <w:p w14:paraId="2F34FA2D" w14:textId="77777777" w:rsidR="00000000" w:rsidRDefault="00EB4933">
            <w:pPr>
              <w:pStyle w:val="NormalWeb"/>
              <w:spacing w:before="0" w:beforeAutospacing="0" w:after="0" w:afterAutospacing="0"/>
              <w:jc w:val="center"/>
              <w:rPr>
                <w:sz w:val="20"/>
                <w:szCs w:val="20"/>
              </w:rPr>
            </w:pPr>
            <w:r>
              <w:rPr>
                <w:rStyle w:val="Strong"/>
                <w:sz w:val="20"/>
                <w:szCs w:val="20"/>
              </w:rPr>
              <w:t>RMB</w:t>
            </w:r>
          </w:p>
        </w:tc>
        <w:tc>
          <w:tcPr>
            <w:tcW w:w="0" w:type="auto"/>
            <w:noWrap/>
            <w:vAlign w:val="center"/>
            <w:hideMark/>
          </w:tcPr>
          <w:p w14:paraId="1E6E5E5A"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B26650C"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bottom"/>
            <w:hideMark/>
          </w:tcPr>
          <w:p w14:paraId="5AFF3DFC" w14:textId="77777777" w:rsidR="00000000" w:rsidRDefault="00EB4933">
            <w:pPr>
              <w:pStyle w:val="NormalWeb"/>
              <w:spacing w:before="0" w:beforeAutospacing="0" w:after="0" w:afterAutospacing="0"/>
              <w:jc w:val="center"/>
              <w:rPr>
                <w:sz w:val="20"/>
                <w:szCs w:val="20"/>
              </w:rPr>
            </w:pPr>
            <w:r>
              <w:rPr>
                <w:rStyle w:val="Strong"/>
                <w:sz w:val="20"/>
                <w:szCs w:val="20"/>
              </w:rPr>
              <w:t>$</w:t>
            </w:r>
          </w:p>
        </w:tc>
        <w:tc>
          <w:tcPr>
            <w:tcW w:w="0" w:type="auto"/>
            <w:noWrap/>
            <w:vAlign w:val="center"/>
            <w:hideMark/>
          </w:tcPr>
          <w:p w14:paraId="0CF9CCB9" w14:textId="77777777" w:rsidR="00000000" w:rsidRDefault="00EB4933">
            <w:pPr>
              <w:pStyle w:val="NormalWeb"/>
              <w:spacing w:before="0" w:beforeAutospacing="0" w:after="0" w:afterAutospacing="0"/>
              <w:rPr>
                <w:sz w:val="20"/>
                <w:szCs w:val="20"/>
              </w:rPr>
            </w:pPr>
            <w:r>
              <w:rPr>
                <w:sz w:val="20"/>
                <w:szCs w:val="20"/>
              </w:rPr>
              <w:t> </w:t>
            </w:r>
          </w:p>
        </w:tc>
      </w:tr>
      <w:tr w:rsidR="00000000" w14:paraId="3326C584" w14:textId="77777777">
        <w:trPr>
          <w:divId w:val="98525094"/>
          <w:trHeight w:val="225"/>
          <w:tblCellSpacing w:w="15" w:type="dxa"/>
        </w:trPr>
        <w:tc>
          <w:tcPr>
            <w:tcW w:w="0" w:type="auto"/>
            <w:vAlign w:val="center"/>
            <w:hideMark/>
          </w:tcPr>
          <w:p w14:paraId="4681EB6E"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131B7BA"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center"/>
            <w:hideMark/>
          </w:tcPr>
          <w:p w14:paraId="6B620919" w14:textId="77777777" w:rsidR="00000000" w:rsidRDefault="00EB4933">
            <w:pPr>
              <w:rPr>
                <w:sz w:val="20"/>
                <w:szCs w:val="20"/>
              </w:rPr>
            </w:pPr>
          </w:p>
        </w:tc>
        <w:tc>
          <w:tcPr>
            <w:tcW w:w="0" w:type="auto"/>
            <w:noWrap/>
            <w:vAlign w:val="center"/>
            <w:hideMark/>
          </w:tcPr>
          <w:p w14:paraId="2B03FC92"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2FD2F0D"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18"/>
            <w:vAlign w:val="bottom"/>
            <w:hideMark/>
          </w:tcPr>
          <w:p w14:paraId="5602E089" w14:textId="77777777" w:rsidR="00000000" w:rsidRDefault="00EB4933">
            <w:pPr>
              <w:pStyle w:val="NormalWeb"/>
              <w:spacing w:before="0" w:beforeAutospacing="0" w:after="0" w:afterAutospacing="0"/>
              <w:jc w:val="center"/>
              <w:rPr>
                <w:sz w:val="20"/>
                <w:szCs w:val="20"/>
              </w:rPr>
            </w:pPr>
            <w:r>
              <w:rPr>
                <w:rStyle w:val="Strong"/>
                <w:sz w:val="20"/>
                <w:szCs w:val="20"/>
              </w:rPr>
              <w:t>(amounts in thousands, except for per share data)</w:t>
            </w:r>
          </w:p>
        </w:tc>
        <w:tc>
          <w:tcPr>
            <w:tcW w:w="0" w:type="auto"/>
            <w:noWrap/>
            <w:vAlign w:val="center"/>
            <w:hideMark/>
          </w:tcPr>
          <w:p w14:paraId="476CC74E" w14:textId="77777777" w:rsidR="00000000" w:rsidRDefault="00EB4933">
            <w:pPr>
              <w:pStyle w:val="NormalWeb"/>
              <w:spacing w:before="0" w:beforeAutospacing="0" w:after="0" w:afterAutospacing="0"/>
              <w:rPr>
                <w:sz w:val="20"/>
                <w:szCs w:val="20"/>
              </w:rPr>
            </w:pPr>
            <w:r>
              <w:rPr>
                <w:sz w:val="20"/>
                <w:szCs w:val="20"/>
              </w:rPr>
              <w:t> </w:t>
            </w:r>
          </w:p>
        </w:tc>
      </w:tr>
      <w:tr w:rsidR="00000000" w14:paraId="17651350" w14:textId="77777777">
        <w:trPr>
          <w:divId w:val="98525094"/>
          <w:trHeight w:val="225"/>
          <w:tblCellSpacing w:w="15" w:type="dxa"/>
        </w:trPr>
        <w:tc>
          <w:tcPr>
            <w:tcW w:w="0" w:type="auto"/>
            <w:shd w:val="clear" w:color="auto" w:fill="CCEEFF"/>
            <w:hideMark/>
          </w:tcPr>
          <w:p w14:paraId="71742C0C" w14:textId="77777777" w:rsidR="00000000" w:rsidRDefault="00EB4933">
            <w:pPr>
              <w:pStyle w:val="NormalWeb"/>
              <w:spacing w:before="0" w:beforeAutospacing="0" w:after="0" w:afterAutospacing="0"/>
              <w:rPr>
                <w:sz w:val="20"/>
                <w:szCs w:val="20"/>
              </w:rPr>
            </w:pPr>
            <w:r>
              <w:rPr>
                <w:sz w:val="20"/>
                <w:szCs w:val="20"/>
              </w:rPr>
              <w:t>Interest income on loans</w:t>
            </w:r>
          </w:p>
        </w:tc>
        <w:tc>
          <w:tcPr>
            <w:tcW w:w="50" w:type="pct"/>
            <w:shd w:val="clear" w:color="auto" w:fill="CCEEFF"/>
            <w:noWrap/>
            <w:vAlign w:val="center"/>
            <w:hideMark/>
          </w:tcPr>
          <w:p w14:paraId="10CAB30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B44131A"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0D9D9F52" w14:textId="77777777" w:rsidR="00000000" w:rsidRDefault="00EB4933">
            <w:pPr>
              <w:jc w:val="right"/>
              <w:rPr>
                <w:rFonts w:eastAsia="Times New Roman"/>
                <w:sz w:val="20"/>
                <w:szCs w:val="20"/>
              </w:rPr>
            </w:pPr>
            <w:r>
              <w:rPr>
                <w:rFonts w:eastAsia="Times New Roman"/>
                <w:sz w:val="20"/>
                <w:szCs w:val="20"/>
              </w:rPr>
              <w:t>99,907</w:t>
            </w:r>
          </w:p>
        </w:tc>
        <w:tc>
          <w:tcPr>
            <w:tcW w:w="50" w:type="pct"/>
            <w:shd w:val="clear" w:color="auto" w:fill="CCEEFF"/>
            <w:noWrap/>
            <w:tcMar>
              <w:top w:w="0" w:type="dxa"/>
              <w:left w:w="0" w:type="dxa"/>
              <w:bottom w:w="15" w:type="dxa"/>
              <w:right w:w="0" w:type="dxa"/>
            </w:tcMar>
            <w:vAlign w:val="center"/>
            <w:hideMark/>
          </w:tcPr>
          <w:p w14:paraId="72F5BC3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42895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B9C602C"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092231FC" w14:textId="77777777" w:rsidR="00000000" w:rsidRDefault="00EB4933">
            <w:pPr>
              <w:jc w:val="right"/>
              <w:rPr>
                <w:rFonts w:eastAsia="Times New Roman"/>
                <w:sz w:val="20"/>
                <w:szCs w:val="20"/>
              </w:rPr>
            </w:pPr>
            <w:r>
              <w:rPr>
                <w:rFonts w:eastAsia="Times New Roman"/>
                <w:sz w:val="20"/>
                <w:szCs w:val="20"/>
              </w:rPr>
              <w:t>104,896</w:t>
            </w:r>
          </w:p>
        </w:tc>
        <w:tc>
          <w:tcPr>
            <w:tcW w:w="50" w:type="pct"/>
            <w:shd w:val="clear" w:color="auto" w:fill="CCEEFF"/>
            <w:noWrap/>
            <w:tcMar>
              <w:top w:w="0" w:type="dxa"/>
              <w:left w:w="0" w:type="dxa"/>
              <w:bottom w:w="15" w:type="dxa"/>
              <w:right w:w="0" w:type="dxa"/>
            </w:tcMar>
            <w:vAlign w:val="center"/>
            <w:hideMark/>
          </w:tcPr>
          <w:p w14:paraId="7FE4344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B6C70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EFD868C"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4F1F7536" w14:textId="77777777" w:rsidR="00000000" w:rsidRDefault="00EB4933">
            <w:pPr>
              <w:jc w:val="right"/>
              <w:rPr>
                <w:rFonts w:eastAsia="Times New Roman"/>
                <w:sz w:val="20"/>
                <w:szCs w:val="20"/>
              </w:rPr>
            </w:pPr>
            <w:r>
              <w:rPr>
                <w:rFonts w:eastAsia="Times New Roman"/>
                <w:sz w:val="20"/>
                <w:szCs w:val="20"/>
              </w:rPr>
              <w:t>119,639</w:t>
            </w:r>
          </w:p>
        </w:tc>
        <w:tc>
          <w:tcPr>
            <w:tcW w:w="50" w:type="pct"/>
            <w:shd w:val="clear" w:color="auto" w:fill="CCEEFF"/>
            <w:noWrap/>
            <w:tcMar>
              <w:top w:w="0" w:type="dxa"/>
              <w:left w:w="0" w:type="dxa"/>
              <w:bottom w:w="15" w:type="dxa"/>
              <w:right w:w="0" w:type="dxa"/>
            </w:tcMar>
            <w:vAlign w:val="center"/>
            <w:hideMark/>
          </w:tcPr>
          <w:p w14:paraId="04E075F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1ADE1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BC73C99"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356C996B" w14:textId="77777777" w:rsidR="00000000" w:rsidRDefault="00EB4933">
            <w:pPr>
              <w:jc w:val="right"/>
              <w:rPr>
                <w:rFonts w:eastAsia="Times New Roman"/>
                <w:sz w:val="20"/>
                <w:szCs w:val="20"/>
              </w:rPr>
            </w:pPr>
            <w:r>
              <w:rPr>
                <w:rFonts w:eastAsia="Times New Roman"/>
                <w:sz w:val="20"/>
                <w:szCs w:val="20"/>
              </w:rPr>
              <w:t>141,857</w:t>
            </w:r>
          </w:p>
        </w:tc>
        <w:tc>
          <w:tcPr>
            <w:tcW w:w="50" w:type="pct"/>
            <w:shd w:val="clear" w:color="auto" w:fill="CCEEFF"/>
            <w:noWrap/>
            <w:tcMar>
              <w:top w:w="0" w:type="dxa"/>
              <w:left w:w="0" w:type="dxa"/>
              <w:bottom w:w="15" w:type="dxa"/>
              <w:right w:w="0" w:type="dxa"/>
            </w:tcMar>
            <w:vAlign w:val="center"/>
            <w:hideMark/>
          </w:tcPr>
          <w:p w14:paraId="22465D9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801FE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E558CEE"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430C6B64" w14:textId="77777777" w:rsidR="00000000" w:rsidRDefault="00EB4933">
            <w:pPr>
              <w:jc w:val="right"/>
              <w:rPr>
                <w:rFonts w:eastAsia="Times New Roman"/>
                <w:sz w:val="20"/>
                <w:szCs w:val="20"/>
              </w:rPr>
            </w:pPr>
            <w:r>
              <w:rPr>
                <w:rFonts w:eastAsia="Times New Roman"/>
                <w:sz w:val="20"/>
                <w:szCs w:val="20"/>
              </w:rPr>
              <w:t>118,396</w:t>
            </w:r>
          </w:p>
        </w:tc>
        <w:tc>
          <w:tcPr>
            <w:tcW w:w="50" w:type="pct"/>
            <w:shd w:val="clear" w:color="auto" w:fill="CCEEFF"/>
            <w:noWrap/>
            <w:tcMar>
              <w:top w:w="0" w:type="dxa"/>
              <w:left w:w="0" w:type="dxa"/>
              <w:bottom w:w="15" w:type="dxa"/>
              <w:right w:w="0" w:type="dxa"/>
            </w:tcMar>
            <w:vAlign w:val="center"/>
            <w:hideMark/>
          </w:tcPr>
          <w:p w14:paraId="4E80B3F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85065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C51EC63"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0DE65A33" w14:textId="77777777" w:rsidR="00000000" w:rsidRDefault="00EB4933">
            <w:pPr>
              <w:jc w:val="right"/>
              <w:rPr>
                <w:rFonts w:eastAsia="Times New Roman"/>
                <w:sz w:val="20"/>
                <w:szCs w:val="20"/>
              </w:rPr>
            </w:pPr>
            <w:r>
              <w:rPr>
                <w:rFonts w:eastAsia="Times New Roman"/>
                <w:sz w:val="20"/>
                <w:szCs w:val="20"/>
              </w:rPr>
              <w:t>17,006</w:t>
            </w:r>
          </w:p>
        </w:tc>
        <w:tc>
          <w:tcPr>
            <w:tcW w:w="50" w:type="pct"/>
            <w:shd w:val="clear" w:color="auto" w:fill="CCEEFF"/>
            <w:noWrap/>
            <w:tcMar>
              <w:top w:w="0" w:type="dxa"/>
              <w:left w:w="0" w:type="dxa"/>
              <w:bottom w:w="15" w:type="dxa"/>
              <w:right w:w="0" w:type="dxa"/>
            </w:tcMar>
            <w:vAlign w:val="center"/>
            <w:hideMark/>
          </w:tcPr>
          <w:p w14:paraId="591F0DE6" w14:textId="77777777" w:rsidR="00000000" w:rsidRDefault="00EB4933">
            <w:pPr>
              <w:pStyle w:val="NormalWeb"/>
              <w:spacing w:before="0" w:beforeAutospacing="0" w:after="0" w:afterAutospacing="0"/>
              <w:rPr>
                <w:sz w:val="20"/>
                <w:szCs w:val="20"/>
              </w:rPr>
            </w:pPr>
            <w:r>
              <w:rPr>
                <w:sz w:val="20"/>
                <w:szCs w:val="20"/>
              </w:rPr>
              <w:t> </w:t>
            </w:r>
          </w:p>
        </w:tc>
      </w:tr>
      <w:tr w:rsidR="00000000" w14:paraId="4A88FE45" w14:textId="77777777">
        <w:trPr>
          <w:divId w:val="98525094"/>
          <w:trHeight w:val="225"/>
          <w:tblCellSpacing w:w="15" w:type="dxa"/>
        </w:trPr>
        <w:tc>
          <w:tcPr>
            <w:tcW w:w="0" w:type="auto"/>
            <w:shd w:val="clear" w:color="auto" w:fill="FFFFFF"/>
            <w:vAlign w:val="center"/>
            <w:hideMark/>
          </w:tcPr>
          <w:p w14:paraId="1BA2A6F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EC802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FD9FB5"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6CE48B1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B7DA6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416E9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3B7469"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7EEDC1C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2FBCC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69A48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BD9125A"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51A1F2A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E75A3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7CF6D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16E13C"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5BCBA50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8786B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47EDA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74EAFA"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5A671AF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832F2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B4FAC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06928B"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0430B2F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4D9639" w14:textId="77777777" w:rsidR="00000000" w:rsidRDefault="00EB4933">
            <w:pPr>
              <w:pStyle w:val="NormalWeb"/>
              <w:spacing w:before="0" w:beforeAutospacing="0" w:after="0" w:afterAutospacing="0"/>
              <w:rPr>
                <w:sz w:val="20"/>
                <w:szCs w:val="20"/>
              </w:rPr>
            </w:pPr>
            <w:r>
              <w:rPr>
                <w:sz w:val="20"/>
                <w:szCs w:val="20"/>
              </w:rPr>
              <w:t> </w:t>
            </w:r>
          </w:p>
        </w:tc>
      </w:tr>
      <w:tr w:rsidR="00000000" w14:paraId="07634C81" w14:textId="77777777">
        <w:trPr>
          <w:divId w:val="98525094"/>
          <w:trHeight w:val="225"/>
          <w:tblCellSpacing w:w="15" w:type="dxa"/>
        </w:trPr>
        <w:tc>
          <w:tcPr>
            <w:tcW w:w="0" w:type="auto"/>
            <w:shd w:val="clear" w:color="auto" w:fill="CCEEFF"/>
            <w:hideMark/>
          </w:tcPr>
          <w:p w14:paraId="048F76AF" w14:textId="77777777" w:rsidR="00000000" w:rsidRDefault="00EB4933">
            <w:pPr>
              <w:pStyle w:val="NormalWeb"/>
              <w:spacing w:before="0" w:beforeAutospacing="0" w:after="0" w:afterAutospacing="0"/>
              <w:rPr>
                <w:sz w:val="20"/>
                <w:szCs w:val="20"/>
              </w:rPr>
            </w:pPr>
            <w:r>
              <w:rPr>
                <w:sz w:val="20"/>
                <w:szCs w:val="20"/>
              </w:rPr>
              <w:t>Interest expenses on loans</w:t>
            </w:r>
          </w:p>
        </w:tc>
        <w:tc>
          <w:tcPr>
            <w:tcW w:w="50" w:type="pct"/>
            <w:shd w:val="clear" w:color="auto" w:fill="CCEEFF"/>
            <w:noWrap/>
            <w:vAlign w:val="center"/>
            <w:hideMark/>
          </w:tcPr>
          <w:p w14:paraId="0EC8D45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86F35C"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932DD86" w14:textId="77777777" w:rsidR="00000000" w:rsidRDefault="00EB4933">
            <w:pPr>
              <w:jc w:val="right"/>
              <w:rPr>
                <w:rFonts w:eastAsia="Times New Roman"/>
                <w:sz w:val="20"/>
                <w:szCs w:val="20"/>
              </w:rPr>
            </w:pPr>
            <w:r>
              <w:rPr>
                <w:rFonts w:eastAsia="Times New Roman"/>
                <w:sz w:val="20"/>
                <w:szCs w:val="20"/>
              </w:rPr>
              <w:t>(16,075</w:t>
            </w:r>
          </w:p>
        </w:tc>
        <w:tc>
          <w:tcPr>
            <w:tcW w:w="50" w:type="pct"/>
            <w:shd w:val="clear" w:color="auto" w:fill="CCEEFF"/>
            <w:noWrap/>
            <w:vAlign w:val="bottom"/>
            <w:hideMark/>
          </w:tcPr>
          <w:p w14:paraId="0F693400"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1FCA11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BBE470"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A377FAB" w14:textId="77777777" w:rsidR="00000000" w:rsidRDefault="00EB4933">
            <w:pPr>
              <w:jc w:val="right"/>
              <w:rPr>
                <w:rFonts w:eastAsia="Times New Roman"/>
                <w:sz w:val="20"/>
                <w:szCs w:val="20"/>
              </w:rPr>
            </w:pPr>
            <w:r>
              <w:rPr>
                <w:rFonts w:eastAsia="Times New Roman"/>
                <w:sz w:val="20"/>
                <w:szCs w:val="20"/>
              </w:rPr>
              <w:t>(22,151</w:t>
            </w:r>
          </w:p>
        </w:tc>
        <w:tc>
          <w:tcPr>
            <w:tcW w:w="50" w:type="pct"/>
            <w:shd w:val="clear" w:color="auto" w:fill="CCEEFF"/>
            <w:noWrap/>
            <w:vAlign w:val="bottom"/>
            <w:hideMark/>
          </w:tcPr>
          <w:p w14:paraId="7E299AEF"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D29BE8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7F3D0C"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D55E6CD" w14:textId="77777777" w:rsidR="00000000" w:rsidRDefault="00EB4933">
            <w:pPr>
              <w:jc w:val="right"/>
              <w:rPr>
                <w:rFonts w:eastAsia="Times New Roman"/>
                <w:sz w:val="20"/>
                <w:szCs w:val="20"/>
              </w:rPr>
            </w:pPr>
            <w:r>
              <w:rPr>
                <w:rFonts w:eastAsia="Times New Roman"/>
                <w:sz w:val="20"/>
                <w:szCs w:val="20"/>
              </w:rPr>
              <w:t>(33,791</w:t>
            </w:r>
          </w:p>
        </w:tc>
        <w:tc>
          <w:tcPr>
            <w:tcW w:w="50" w:type="pct"/>
            <w:shd w:val="clear" w:color="auto" w:fill="CCEEFF"/>
            <w:noWrap/>
            <w:vAlign w:val="bottom"/>
            <w:hideMark/>
          </w:tcPr>
          <w:p w14:paraId="43842076"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EDE2E7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A9CF77"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988FD91" w14:textId="77777777" w:rsidR="00000000" w:rsidRDefault="00EB4933">
            <w:pPr>
              <w:jc w:val="right"/>
              <w:rPr>
                <w:rFonts w:eastAsia="Times New Roman"/>
                <w:sz w:val="20"/>
                <w:szCs w:val="20"/>
              </w:rPr>
            </w:pPr>
            <w:r>
              <w:rPr>
                <w:rFonts w:eastAsia="Times New Roman"/>
                <w:sz w:val="20"/>
                <w:szCs w:val="20"/>
              </w:rPr>
              <w:t>(26,451</w:t>
            </w:r>
          </w:p>
        </w:tc>
        <w:tc>
          <w:tcPr>
            <w:tcW w:w="50" w:type="pct"/>
            <w:shd w:val="clear" w:color="auto" w:fill="CCEEFF"/>
            <w:noWrap/>
            <w:vAlign w:val="bottom"/>
            <w:hideMark/>
          </w:tcPr>
          <w:p w14:paraId="27748EE6"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D9AE49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418425"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E777E38" w14:textId="77777777" w:rsidR="00000000" w:rsidRDefault="00EB4933">
            <w:pPr>
              <w:jc w:val="right"/>
              <w:rPr>
                <w:rFonts w:eastAsia="Times New Roman"/>
                <w:sz w:val="20"/>
                <w:szCs w:val="20"/>
              </w:rPr>
            </w:pPr>
            <w:r>
              <w:rPr>
                <w:rFonts w:eastAsia="Times New Roman"/>
                <w:sz w:val="20"/>
                <w:szCs w:val="20"/>
              </w:rPr>
              <w:t>(19,846</w:t>
            </w:r>
          </w:p>
        </w:tc>
        <w:tc>
          <w:tcPr>
            <w:tcW w:w="50" w:type="pct"/>
            <w:shd w:val="clear" w:color="auto" w:fill="CCEEFF"/>
            <w:noWrap/>
            <w:vAlign w:val="bottom"/>
            <w:hideMark/>
          </w:tcPr>
          <w:p w14:paraId="09321113"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0C5BA8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90ADF9"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56EEB64" w14:textId="77777777" w:rsidR="00000000" w:rsidRDefault="00EB4933">
            <w:pPr>
              <w:jc w:val="right"/>
              <w:rPr>
                <w:rFonts w:eastAsia="Times New Roman"/>
                <w:sz w:val="20"/>
                <w:szCs w:val="20"/>
              </w:rPr>
            </w:pPr>
            <w:r>
              <w:rPr>
                <w:rFonts w:eastAsia="Times New Roman"/>
                <w:sz w:val="20"/>
                <w:szCs w:val="20"/>
              </w:rPr>
              <w:t>(2,851</w:t>
            </w:r>
          </w:p>
        </w:tc>
        <w:tc>
          <w:tcPr>
            <w:tcW w:w="50" w:type="pct"/>
            <w:shd w:val="clear" w:color="auto" w:fill="CCEEFF"/>
            <w:noWrap/>
            <w:vAlign w:val="bottom"/>
            <w:hideMark/>
          </w:tcPr>
          <w:p w14:paraId="3B495589" w14:textId="77777777" w:rsidR="00000000" w:rsidRDefault="00EB4933">
            <w:pPr>
              <w:rPr>
                <w:rFonts w:eastAsia="Times New Roman"/>
                <w:sz w:val="20"/>
                <w:szCs w:val="20"/>
              </w:rPr>
            </w:pPr>
            <w:r>
              <w:rPr>
                <w:rFonts w:eastAsia="Times New Roman"/>
                <w:sz w:val="20"/>
                <w:szCs w:val="20"/>
              </w:rPr>
              <w:t>)</w:t>
            </w:r>
          </w:p>
        </w:tc>
      </w:tr>
      <w:tr w:rsidR="00000000" w14:paraId="6D76BCBD" w14:textId="77777777">
        <w:trPr>
          <w:divId w:val="98525094"/>
          <w:trHeight w:val="225"/>
          <w:tblCellSpacing w:w="15" w:type="dxa"/>
        </w:trPr>
        <w:tc>
          <w:tcPr>
            <w:tcW w:w="0" w:type="auto"/>
            <w:shd w:val="clear" w:color="auto" w:fill="FFFFFF"/>
            <w:hideMark/>
          </w:tcPr>
          <w:p w14:paraId="077A9B47" w14:textId="77777777" w:rsidR="00000000" w:rsidRDefault="00EB4933">
            <w:pPr>
              <w:pStyle w:val="NormalWeb"/>
              <w:spacing w:before="0" w:beforeAutospacing="0" w:after="0" w:afterAutospacing="0"/>
              <w:rPr>
                <w:sz w:val="20"/>
                <w:szCs w:val="20"/>
              </w:rPr>
            </w:pPr>
            <w:r>
              <w:rPr>
                <w:sz w:val="20"/>
                <w:szCs w:val="20"/>
              </w:rPr>
              <w:t>Business related taxes and surcharges</w:t>
            </w:r>
          </w:p>
        </w:tc>
        <w:tc>
          <w:tcPr>
            <w:tcW w:w="50" w:type="pct"/>
            <w:shd w:val="clear" w:color="auto" w:fill="FFFFFF"/>
            <w:noWrap/>
            <w:vAlign w:val="center"/>
            <w:hideMark/>
          </w:tcPr>
          <w:p w14:paraId="05A39EE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114C369"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449980C4" w14:textId="77777777" w:rsidR="00000000" w:rsidRDefault="00EB4933">
            <w:pPr>
              <w:jc w:val="right"/>
              <w:rPr>
                <w:rFonts w:eastAsia="Times New Roman"/>
                <w:sz w:val="20"/>
                <w:szCs w:val="20"/>
              </w:rPr>
            </w:pPr>
            <w:r>
              <w:rPr>
                <w:rFonts w:eastAsia="Times New Roman"/>
                <w:sz w:val="20"/>
                <w:szCs w:val="20"/>
              </w:rPr>
              <w:t>(5,685</w:t>
            </w:r>
          </w:p>
        </w:tc>
        <w:tc>
          <w:tcPr>
            <w:tcW w:w="50" w:type="pct"/>
            <w:shd w:val="clear" w:color="auto" w:fill="FFFFFF"/>
            <w:noWrap/>
            <w:tcMar>
              <w:top w:w="0" w:type="dxa"/>
              <w:left w:w="0" w:type="dxa"/>
              <w:bottom w:w="15" w:type="dxa"/>
              <w:right w:w="0" w:type="dxa"/>
            </w:tcMar>
            <w:vAlign w:val="bottom"/>
            <w:hideMark/>
          </w:tcPr>
          <w:p w14:paraId="4FEDAF27"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C653DB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2FE5BF2"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731A161F" w14:textId="77777777" w:rsidR="00000000" w:rsidRDefault="00EB4933">
            <w:pPr>
              <w:jc w:val="right"/>
              <w:rPr>
                <w:rFonts w:eastAsia="Times New Roman"/>
                <w:sz w:val="20"/>
                <w:szCs w:val="20"/>
              </w:rPr>
            </w:pPr>
            <w:r>
              <w:rPr>
                <w:rFonts w:eastAsia="Times New Roman"/>
                <w:sz w:val="20"/>
                <w:szCs w:val="20"/>
              </w:rPr>
              <w:t>(1,152</w:t>
            </w:r>
          </w:p>
        </w:tc>
        <w:tc>
          <w:tcPr>
            <w:tcW w:w="50" w:type="pct"/>
            <w:shd w:val="clear" w:color="auto" w:fill="FFFFFF"/>
            <w:noWrap/>
            <w:tcMar>
              <w:top w:w="0" w:type="dxa"/>
              <w:left w:w="0" w:type="dxa"/>
              <w:bottom w:w="15" w:type="dxa"/>
              <w:right w:w="0" w:type="dxa"/>
            </w:tcMar>
            <w:vAlign w:val="bottom"/>
            <w:hideMark/>
          </w:tcPr>
          <w:p w14:paraId="4ACFA0D8"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A5A598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7289E4E"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0C4DD428" w14:textId="77777777" w:rsidR="00000000" w:rsidRDefault="00EB4933">
            <w:pPr>
              <w:jc w:val="right"/>
              <w:rPr>
                <w:rFonts w:eastAsia="Times New Roman"/>
                <w:sz w:val="20"/>
                <w:szCs w:val="20"/>
              </w:rPr>
            </w:pPr>
            <w:r>
              <w:rPr>
                <w:rFonts w:eastAsia="Times New Roman"/>
                <w:sz w:val="20"/>
                <w:szCs w:val="20"/>
              </w:rPr>
              <w:t>(674</w:t>
            </w:r>
          </w:p>
        </w:tc>
        <w:tc>
          <w:tcPr>
            <w:tcW w:w="50" w:type="pct"/>
            <w:shd w:val="clear" w:color="auto" w:fill="FFFFFF"/>
            <w:noWrap/>
            <w:tcMar>
              <w:top w:w="0" w:type="dxa"/>
              <w:left w:w="0" w:type="dxa"/>
              <w:bottom w:w="15" w:type="dxa"/>
              <w:right w:w="0" w:type="dxa"/>
            </w:tcMar>
            <w:vAlign w:val="bottom"/>
            <w:hideMark/>
          </w:tcPr>
          <w:p w14:paraId="20D0B064"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10BA61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6EFE8A5"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2CBCDA6F" w14:textId="77777777" w:rsidR="00000000" w:rsidRDefault="00EB4933">
            <w:pPr>
              <w:jc w:val="right"/>
              <w:rPr>
                <w:rFonts w:eastAsia="Times New Roman"/>
                <w:sz w:val="20"/>
                <w:szCs w:val="20"/>
              </w:rPr>
            </w:pPr>
            <w:r>
              <w:rPr>
                <w:rFonts w:eastAsia="Times New Roman"/>
                <w:sz w:val="20"/>
                <w:szCs w:val="20"/>
              </w:rPr>
              <w:t>(590</w:t>
            </w:r>
          </w:p>
        </w:tc>
        <w:tc>
          <w:tcPr>
            <w:tcW w:w="50" w:type="pct"/>
            <w:shd w:val="clear" w:color="auto" w:fill="FFFFFF"/>
            <w:noWrap/>
            <w:tcMar>
              <w:top w:w="0" w:type="dxa"/>
              <w:left w:w="0" w:type="dxa"/>
              <w:bottom w:w="15" w:type="dxa"/>
              <w:right w:w="0" w:type="dxa"/>
            </w:tcMar>
            <w:vAlign w:val="bottom"/>
            <w:hideMark/>
          </w:tcPr>
          <w:p w14:paraId="6414A71E"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75C1F1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4216C20"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413DFF5C" w14:textId="77777777" w:rsidR="00000000" w:rsidRDefault="00EB4933">
            <w:pPr>
              <w:jc w:val="right"/>
              <w:rPr>
                <w:rFonts w:eastAsia="Times New Roman"/>
                <w:sz w:val="20"/>
                <w:szCs w:val="20"/>
              </w:rPr>
            </w:pPr>
            <w:r>
              <w:rPr>
                <w:rFonts w:eastAsia="Times New Roman"/>
                <w:sz w:val="20"/>
                <w:szCs w:val="20"/>
              </w:rPr>
              <w:t>(435</w:t>
            </w:r>
          </w:p>
        </w:tc>
        <w:tc>
          <w:tcPr>
            <w:tcW w:w="50" w:type="pct"/>
            <w:shd w:val="clear" w:color="auto" w:fill="FFFFFF"/>
            <w:noWrap/>
            <w:tcMar>
              <w:top w:w="0" w:type="dxa"/>
              <w:left w:w="0" w:type="dxa"/>
              <w:bottom w:w="15" w:type="dxa"/>
              <w:right w:w="0" w:type="dxa"/>
            </w:tcMar>
            <w:vAlign w:val="bottom"/>
            <w:hideMark/>
          </w:tcPr>
          <w:p w14:paraId="027A5075"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96D386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E1A6F9C"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3738A57D" w14:textId="77777777" w:rsidR="00000000" w:rsidRDefault="00EB4933">
            <w:pPr>
              <w:jc w:val="right"/>
              <w:rPr>
                <w:rFonts w:eastAsia="Times New Roman"/>
                <w:sz w:val="20"/>
                <w:szCs w:val="20"/>
              </w:rPr>
            </w:pPr>
            <w:r>
              <w:rPr>
                <w:rFonts w:eastAsia="Times New Roman"/>
                <w:sz w:val="20"/>
                <w:szCs w:val="20"/>
              </w:rPr>
              <w:t>(62</w:t>
            </w:r>
          </w:p>
        </w:tc>
        <w:tc>
          <w:tcPr>
            <w:tcW w:w="50" w:type="pct"/>
            <w:shd w:val="clear" w:color="auto" w:fill="FFFFFF"/>
            <w:noWrap/>
            <w:tcMar>
              <w:top w:w="0" w:type="dxa"/>
              <w:left w:w="0" w:type="dxa"/>
              <w:bottom w:w="15" w:type="dxa"/>
              <w:right w:w="0" w:type="dxa"/>
            </w:tcMar>
            <w:vAlign w:val="bottom"/>
            <w:hideMark/>
          </w:tcPr>
          <w:p w14:paraId="133182E1" w14:textId="77777777" w:rsidR="00000000" w:rsidRDefault="00EB4933">
            <w:pPr>
              <w:rPr>
                <w:rFonts w:eastAsia="Times New Roman"/>
                <w:sz w:val="20"/>
                <w:szCs w:val="20"/>
              </w:rPr>
            </w:pPr>
            <w:r>
              <w:rPr>
                <w:rFonts w:eastAsia="Times New Roman"/>
                <w:sz w:val="20"/>
                <w:szCs w:val="20"/>
              </w:rPr>
              <w:t>)</w:t>
            </w:r>
          </w:p>
        </w:tc>
      </w:tr>
      <w:tr w:rsidR="00000000" w14:paraId="4976FFBB" w14:textId="77777777">
        <w:trPr>
          <w:divId w:val="98525094"/>
          <w:trHeight w:val="225"/>
          <w:tblCellSpacing w:w="15" w:type="dxa"/>
        </w:trPr>
        <w:tc>
          <w:tcPr>
            <w:tcW w:w="0" w:type="auto"/>
            <w:shd w:val="clear" w:color="auto" w:fill="CCEEFF"/>
            <w:hideMark/>
          </w:tcPr>
          <w:p w14:paraId="7F33980A" w14:textId="77777777" w:rsidR="00000000" w:rsidRDefault="00EB4933">
            <w:pPr>
              <w:pStyle w:val="NormalWeb"/>
              <w:spacing w:before="0" w:beforeAutospacing="0" w:after="0" w:afterAutospacing="0"/>
              <w:rPr>
                <w:sz w:val="20"/>
                <w:szCs w:val="20"/>
              </w:rPr>
            </w:pPr>
            <w:r>
              <w:rPr>
                <w:rStyle w:val="Strong"/>
                <w:sz w:val="20"/>
                <w:szCs w:val="20"/>
              </w:rPr>
              <w:t>Total interest expense</w:t>
            </w:r>
          </w:p>
        </w:tc>
        <w:tc>
          <w:tcPr>
            <w:tcW w:w="50" w:type="pct"/>
            <w:shd w:val="clear" w:color="auto" w:fill="CCEEFF"/>
            <w:noWrap/>
            <w:vAlign w:val="center"/>
            <w:hideMark/>
          </w:tcPr>
          <w:p w14:paraId="795CC1B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680CD6A"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46555B69" w14:textId="77777777" w:rsidR="00000000" w:rsidRDefault="00EB4933">
            <w:pPr>
              <w:jc w:val="right"/>
              <w:rPr>
                <w:rFonts w:eastAsia="Times New Roman"/>
                <w:sz w:val="20"/>
                <w:szCs w:val="20"/>
              </w:rPr>
            </w:pPr>
            <w:r>
              <w:rPr>
                <w:rFonts w:eastAsia="Times New Roman"/>
                <w:sz w:val="20"/>
                <w:szCs w:val="20"/>
              </w:rPr>
              <w:t>(21,760</w:t>
            </w:r>
          </w:p>
        </w:tc>
        <w:tc>
          <w:tcPr>
            <w:tcW w:w="50" w:type="pct"/>
            <w:shd w:val="clear" w:color="auto" w:fill="CCEEFF"/>
            <w:noWrap/>
            <w:tcMar>
              <w:top w:w="0" w:type="dxa"/>
              <w:left w:w="0" w:type="dxa"/>
              <w:bottom w:w="15" w:type="dxa"/>
              <w:right w:w="0" w:type="dxa"/>
            </w:tcMar>
            <w:vAlign w:val="bottom"/>
            <w:hideMark/>
          </w:tcPr>
          <w:p w14:paraId="53A0A761"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542251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5955F3C"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2E735B03" w14:textId="77777777" w:rsidR="00000000" w:rsidRDefault="00EB4933">
            <w:pPr>
              <w:jc w:val="right"/>
              <w:rPr>
                <w:rFonts w:eastAsia="Times New Roman"/>
                <w:sz w:val="20"/>
                <w:szCs w:val="20"/>
              </w:rPr>
            </w:pPr>
            <w:r>
              <w:rPr>
                <w:rFonts w:eastAsia="Times New Roman"/>
                <w:sz w:val="20"/>
                <w:szCs w:val="20"/>
              </w:rPr>
              <w:t>(23,303</w:t>
            </w:r>
          </w:p>
        </w:tc>
        <w:tc>
          <w:tcPr>
            <w:tcW w:w="50" w:type="pct"/>
            <w:shd w:val="clear" w:color="auto" w:fill="CCEEFF"/>
            <w:noWrap/>
            <w:tcMar>
              <w:top w:w="0" w:type="dxa"/>
              <w:left w:w="0" w:type="dxa"/>
              <w:bottom w:w="15" w:type="dxa"/>
              <w:right w:w="0" w:type="dxa"/>
            </w:tcMar>
            <w:vAlign w:val="bottom"/>
            <w:hideMark/>
          </w:tcPr>
          <w:p w14:paraId="1A77503E"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E4E1F4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613E9CC"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04FD17B2" w14:textId="77777777" w:rsidR="00000000" w:rsidRDefault="00EB4933">
            <w:pPr>
              <w:jc w:val="right"/>
              <w:rPr>
                <w:rFonts w:eastAsia="Times New Roman"/>
                <w:sz w:val="20"/>
                <w:szCs w:val="20"/>
              </w:rPr>
            </w:pPr>
            <w:r>
              <w:rPr>
                <w:rFonts w:eastAsia="Times New Roman"/>
                <w:sz w:val="20"/>
                <w:szCs w:val="20"/>
              </w:rPr>
              <w:t>(34,465</w:t>
            </w:r>
          </w:p>
        </w:tc>
        <w:tc>
          <w:tcPr>
            <w:tcW w:w="50" w:type="pct"/>
            <w:shd w:val="clear" w:color="auto" w:fill="CCEEFF"/>
            <w:noWrap/>
            <w:tcMar>
              <w:top w:w="0" w:type="dxa"/>
              <w:left w:w="0" w:type="dxa"/>
              <w:bottom w:w="15" w:type="dxa"/>
              <w:right w:w="0" w:type="dxa"/>
            </w:tcMar>
            <w:vAlign w:val="bottom"/>
            <w:hideMark/>
          </w:tcPr>
          <w:p w14:paraId="7C82C04E"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F187CD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9799AAC"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392F812A" w14:textId="77777777" w:rsidR="00000000" w:rsidRDefault="00EB4933">
            <w:pPr>
              <w:jc w:val="right"/>
              <w:rPr>
                <w:rFonts w:eastAsia="Times New Roman"/>
                <w:sz w:val="20"/>
                <w:szCs w:val="20"/>
              </w:rPr>
            </w:pPr>
            <w:r>
              <w:rPr>
                <w:rFonts w:eastAsia="Times New Roman"/>
                <w:sz w:val="20"/>
                <w:szCs w:val="20"/>
              </w:rPr>
              <w:t>(27,041</w:t>
            </w:r>
          </w:p>
        </w:tc>
        <w:tc>
          <w:tcPr>
            <w:tcW w:w="50" w:type="pct"/>
            <w:shd w:val="clear" w:color="auto" w:fill="CCEEFF"/>
            <w:noWrap/>
            <w:tcMar>
              <w:top w:w="0" w:type="dxa"/>
              <w:left w:w="0" w:type="dxa"/>
              <w:bottom w:w="15" w:type="dxa"/>
              <w:right w:w="0" w:type="dxa"/>
            </w:tcMar>
            <w:vAlign w:val="bottom"/>
            <w:hideMark/>
          </w:tcPr>
          <w:p w14:paraId="6E7B0970"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125FE1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99130CA"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420981F6" w14:textId="77777777" w:rsidR="00000000" w:rsidRDefault="00EB4933">
            <w:pPr>
              <w:jc w:val="right"/>
              <w:rPr>
                <w:rFonts w:eastAsia="Times New Roman"/>
                <w:sz w:val="20"/>
                <w:szCs w:val="20"/>
              </w:rPr>
            </w:pPr>
            <w:r>
              <w:rPr>
                <w:rFonts w:eastAsia="Times New Roman"/>
                <w:sz w:val="20"/>
                <w:szCs w:val="20"/>
              </w:rPr>
              <w:t>(20,281</w:t>
            </w:r>
          </w:p>
        </w:tc>
        <w:tc>
          <w:tcPr>
            <w:tcW w:w="50" w:type="pct"/>
            <w:shd w:val="clear" w:color="auto" w:fill="CCEEFF"/>
            <w:noWrap/>
            <w:tcMar>
              <w:top w:w="0" w:type="dxa"/>
              <w:left w:w="0" w:type="dxa"/>
              <w:bottom w:w="15" w:type="dxa"/>
              <w:right w:w="0" w:type="dxa"/>
            </w:tcMar>
            <w:vAlign w:val="bottom"/>
            <w:hideMark/>
          </w:tcPr>
          <w:p w14:paraId="01CB91C6"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9A41B2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7B309FB"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1A92A5FF" w14:textId="77777777" w:rsidR="00000000" w:rsidRDefault="00EB4933">
            <w:pPr>
              <w:jc w:val="right"/>
              <w:rPr>
                <w:rFonts w:eastAsia="Times New Roman"/>
                <w:sz w:val="20"/>
                <w:szCs w:val="20"/>
              </w:rPr>
            </w:pPr>
            <w:r>
              <w:rPr>
                <w:rFonts w:eastAsia="Times New Roman"/>
                <w:sz w:val="20"/>
                <w:szCs w:val="20"/>
              </w:rPr>
              <w:t>(2,913</w:t>
            </w:r>
          </w:p>
        </w:tc>
        <w:tc>
          <w:tcPr>
            <w:tcW w:w="50" w:type="pct"/>
            <w:shd w:val="clear" w:color="auto" w:fill="CCEEFF"/>
            <w:noWrap/>
            <w:tcMar>
              <w:top w:w="0" w:type="dxa"/>
              <w:left w:w="0" w:type="dxa"/>
              <w:bottom w:w="15" w:type="dxa"/>
              <w:right w:w="0" w:type="dxa"/>
            </w:tcMar>
            <w:vAlign w:val="bottom"/>
            <w:hideMark/>
          </w:tcPr>
          <w:p w14:paraId="06F6E9E1" w14:textId="77777777" w:rsidR="00000000" w:rsidRDefault="00EB4933">
            <w:pPr>
              <w:rPr>
                <w:rFonts w:eastAsia="Times New Roman"/>
                <w:sz w:val="20"/>
                <w:szCs w:val="20"/>
              </w:rPr>
            </w:pPr>
            <w:r>
              <w:rPr>
                <w:rFonts w:eastAsia="Times New Roman"/>
                <w:sz w:val="20"/>
                <w:szCs w:val="20"/>
              </w:rPr>
              <w:t>)</w:t>
            </w:r>
          </w:p>
        </w:tc>
      </w:tr>
      <w:tr w:rsidR="00000000" w14:paraId="60B54CBB" w14:textId="77777777">
        <w:trPr>
          <w:divId w:val="98525094"/>
          <w:trHeight w:val="225"/>
          <w:tblCellSpacing w:w="15" w:type="dxa"/>
        </w:trPr>
        <w:tc>
          <w:tcPr>
            <w:tcW w:w="0" w:type="auto"/>
            <w:shd w:val="clear" w:color="auto" w:fill="FFFFFF"/>
            <w:vAlign w:val="center"/>
            <w:hideMark/>
          </w:tcPr>
          <w:p w14:paraId="753D7C1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CEE31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EB9824"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1A38774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45466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AA7BD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5DB736"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3C4A3D6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22676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E5526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97028C"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4949997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92282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1B2E8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D56430"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4371492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10FE9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04C0D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682452"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5E463A8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41081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E1390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5551A6"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372A4F8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39E28E" w14:textId="77777777" w:rsidR="00000000" w:rsidRDefault="00EB4933">
            <w:pPr>
              <w:pStyle w:val="NormalWeb"/>
              <w:spacing w:before="0" w:beforeAutospacing="0" w:after="0" w:afterAutospacing="0"/>
              <w:rPr>
                <w:sz w:val="20"/>
                <w:szCs w:val="20"/>
              </w:rPr>
            </w:pPr>
            <w:r>
              <w:rPr>
                <w:sz w:val="20"/>
                <w:szCs w:val="20"/>
              </w:rPr>
              <w:t> </w:t>
            </w:r>
          </w:p>
        </w:tc>
      </w:tr>
      <w:tr w:rsidR="00000000" w14:paraId="78ED76EA" w14:textId="77777777">
        <w:trPr>
          <w:divId w:val="98525094"/>
          <w:trHeight w:val="225"/>
          <w:tblCellSpacing w:w="15" w:type="dxa"/>
        </w:trPr>
        <w:tc>
          <w:tcPr>
            <w:tcW w:w="0" w:type="auto"/>
            <w:shd w:val="clear" w:color="auto" w:fill="CCEEFF"/>
            <w:hideMark/>
          </w:tcPr>
          <w:p w14:paraId="264D988C" w14:textId="77777777" w:rsidR="00000000" w:rsidRDefault="00EB4933">
            <w:pPr>
              <w:pStyle w:val="NormalWeb"/>
              <w:spacing w:before="0" w:beforeAutospacing="0" w:after="0" w:afterAutospacing="0"/>
              <w:rPr>
                <w:sz w:val="20"/>
                <w:szCs w:val="20"/>
              </w:rPr>
            </w:pPr>
            <w:r>
              <w:rPr>
                <w:rStyle w:val="Strong"/>
                <w:sz w:val="20"/>
                <w:szCs w:val="20"/>
              </w:rPr>
              <w:t>Net interest income</w:t>
            </w:r>
          </w:p>
        </w:tc>
        <w:tc>
          <w:tcPr>
            <w:tcW w:w="50" w:type="pct"/>
            <w:shd w:val="clear" w:color="auto" w:fill="CCEEFF"/>
            <w:noWrap/>
            <w:vAlign w:val="center"/>
            <w:hideMark/>
          </w:tcPr>
          <w:p w14:paraId="09E1FAF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64BF5A"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D0DA454" w14:textId="77777777" w:rsidR="00000000" w:rsidRDefault="00EB4933">
            <w:pPr>
              <w:jc w:val="right"/>
              <w:rPr>
                <w:rFonts w:eastAsia="Times New Roman"/>
                <w:sz w:val="20"/>
                <w:szCs w:val="20"/>
              </w:rPr>
            </w:pPr>
            <w:r>
              <w:rPr>
                <w:rFonts w:eastAsia="Times New Roman"/>
                <w:sz w:val="20"/>
                <w:szCs w:val="20"/>
              </w:rPr>
              <w:t>78,147</w:t>
            </w:r>
          </w:p>
        </w:tc>
        <w:tc>
          <w:tcPr>
            <w:tcW w:w="50" w:type="pct"/>
            <w:shd w:val="clear" w:color="auto" w:fill="CCEEFF"/>
            <w:noWrap/>
            <w:vAlign w:val="center"/>
            <w:hideMark/>
          </w:tcPr>
          <w:p w14:paraId="6F66130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F54F6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F33A0C"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80690DD" w14:textId="77777777" w:rsidR="00000000" w:rsidRDefault="00EB4933">
            <w:pPr>
              <w:jc w:val="right"/>
              <w:rPr>
                <w:rFonts w:eastAsia="Times New Roman"/>
                <w:sz w:val="20"/>
                <w:szCs w:val="20"/>
              </w:rPr>
            </w:pPr>
            <w:r>
              <w:rPr>
                <w:rFonts w:eastAsia="Times New Roman"/>
                <w:sz w:val="20"/>
                <w:szCs w:val="20"/>
              </w:rPr>
              <w:t>81,593</w:t>
            </w:r>
          </w:p>
        </w:tc>
        <w:tc>
          <w:tcPr>
            <w:tcW w:w="50" w:type="pct"/>
            <w:shd w:val="clear" w:color="auto" w:fill="CCEEFF"/>
            <w:noWrap/>
            <w:vAlign w:val="center"/>
            <w:hideMark/>
          </w:tcPr>
          <w:p w14:paraId="4EF0321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BEAB5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BF3226"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1F388B0" w14:textId="77777777" w:rsidR="00000000" w:rsidRDefault="00EB4933">
            <w:pPr>
              <w:jc w:val="right"/>
              <w:rPr>
                <w:rFonts w:eastAsia="Times New Roman"/>
                <w:sz w:val="20"/>
                <w:szCs w:val="20"/>
              </w:rPr>
            </w:pPr>
            <w:r>
              <w:rPr>
                <w:rFonts w:eastAsia="Times New Roman"/>
                <w:sz w:val="20"/>
                <w:szCs w:val="20"/>
              </w:rPr>
              <w:t>85,174</w:t>
            </w:r>
          </w:p>
        </w:tc>
        <w:tc>
          <w:tcPr>
            <w:tcW w:w="50" w:type="pct"/>
            <w:shd w:val="clear" w:color="auto" w:fill="CCEEFF"/>
            <w:noWrap/>
            <w:vAlign w:val="center"/>
            <w:hideMark/>
          </w:tcPr>
          <w:p w14:paraId="36CF9A3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5BD97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B38260"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49D8147" w14:textId="77777777" w:rsidR="00000000" w:rsidRDefault="00EB4933">
            <w:pPr>
              <w:jc w:val="right"/>
              <w:rPr>
                <w:rFonts w:eastAsia="Times New Roman"/>
                <w:sz w:val="20"/>
                <w:szCs w:val="20"/>
              </w:rPr>
            </w:pPr>
            <w:r>
              <w:rPr>
                <w:rFonts w:eastAsia="Times New Roman"/>
                <w:sz w:val="20"/>
                <w:szCs w:val="20"/>
              </w:rPr>
              <w:t>114,816</w:t>
            </w:r>
          </w:p>
        </w:tc>
        <w:tc>
          <w:tcPr>
            <w:tcW w:w="50" w:type="pct"/>
            <w:shd w:val="clear" w:color="auto" w:fill="CCEEFF"/>
            <w:noWrap/>
            <w:vAlign w:val="center"/>
            <w:hideMark/>
          </w:tcPr>
          <w:p w14:paraId="097569E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6D302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DCB1C5"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09C7A35" w14:textId="77777777" w:rsidR="00000000" w:rsidRDefault="00EB4933">
            <w:pPr>
              <w:jc w:val="right"/>
              <w:rPr>
                <w:rFonts w:eastAsia="Times New Roman"/>
                <w:sz w:val="20"/>
                <w:szCs w:val="20"/>
              </w:rPr>
            </w:pPr>
            <w:r>
              <w:rPr>
                <w:rFonts w:eastAsia="Times New Roman"/>
                <w:sz w:val="20"/>
                <w:szCs w:val="20"/>
              </w:rPr>
              <w:t>98,115</w:t>
            </w:r>
          </w:p>
        </w:tc>
        <w:tc>
          <w:tcPr>
            <w:tcW w:w="50" w:type="pct"/>
            <w:shd w:val="clear" w:color="auto" w:fill="CCEEFF"/>
            <w:noWrap/>
            <w:vAlign w:val="center"/>
            <w:hideMark/>
          </w:tcPr>
          <w:p w14:paraId="2E08FA1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6F8FC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EBF1C7"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1A73E60" w14:textId="77777777" w:rsidR="00000000" w:rsidRDefault="00EB4933">
            <w:pPr>
              <w:jc w:val="right"/>
              <w:rPr>
                <w:rFonts w:eastAsia="Times New Roman"/>
                <w:sz w:val="20"/>
                <w:szCs w:val="20"/>
              </w:rPr>
            </w:pPr>
            <w:r>
              <w:rPr>
                <w:rFonts w:eastAsia="Times New Roman"/>
                <w:sz w:val="20"/>
                <w:szCs w:val="20"/>
              </w:rPr>
              <w:t>14,093</w:t>
            </w:r>
          </w:p>
        </w:tc>
        <w:tc>
          <w:tcPr>
            <w:tcW w:w="50" w:type="pct"/>
            <w:shd w:val="clear" w:color="auto" w:fill="CCEEFF"/>
            <w:noWrap/>
            <w:vAlign w:val="center"/>
            <w:hideMark/>
          </w:tcPr>
          <w:p w14:paraId="3810D5F9" w14:textId="77777777" w:rsidR="00000000" w:rsidRDefault="00EB4933">
            <w:pPr>
              <w:pStyle w:val="NormalWeb"/>
              <w:spacing w:before="0" w:beforeAutospacing="0" w:after="0" w:afterAutospacing="0"/>
              <w:rPr>
                <w:sz w:val="20"/>
                <w:szCs w:val="20"/>
              </w:rPr>
            </w:pPr>
            <w:r>
              <w:rPr>
                <w:sz w:val="20"/>
                <w:szCs w:val="20"/>
              </w:rPr>
              <w:t> </w:t>
            </w:r>
          </w:p>
        </w:tc>
      </w:tr>
      <w:tr w:rsidR="00000000" w14:paraId="77C09454" w14:textId="77777777">
        <w:trPr>
          <w:divId w:val="98525094"/>
          <w:trHeight w:val="225"/>
          <w:tblCellSpacing w:w="15" w:type="dxa"/>
        </w:trPr>
        <w:tc>
          <w:tcPr>
            <w:tcW w:w="0" w:type="auto"/>
            <w:shd w:val="clear" w:color="auto" w:fill="FFFFFF"/>
            <w:hideMark/>
          </w:tcPr>
          <w:p w14:paraId="48F7D775" w14:textId="77777777" w:rsidR="00000000" w:rsidRDefault="00EB4933">
            <w:pPr>
              <w:pStyle w:val="NormalWeb"/>
              <w:spacing w:before="0" w:beforeAutospacing="0" w:after="0" w:afterAutospacing="0"/>
              <w:rPr>
                <w:sz w:val="20"/>
                <w:szCs w:val="20"/>
              </w:rPr>
            </w:pPr>
            <w:r>
              <w:rPr>
                <w:sz w:val="20"/>
                <w:szCs w:val="20"/>
              </w:rPr>
              <w:t>Allowance for loan losses</w:t>
            </w:r>
          </w:p>
        </w:tc>
        <w:tc>
          <w:tcPr>
            <w:tcW w:w="50" w:type="pct"/>
            <w:shd w:val="clear" w:color="auto" w:fill="FFFFFF"/>
            <w:noWrap/>
            <w:vAlign w:val="center"/>
            <w:hideMark/>
          </w:tcPr>
          <w:p w14:paraId="6711856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638DCAD"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6E769B28" w14:textId="77777777" w:rsidR="00000000" w:rsidRDefault="00EB4933">
            <w:pPr>
              <w:jc w:val="right"/>
              <w:rPr>
                <w:rFonts w:eastAsia="Times New Roman"/>
                <w:sz w:val="20"/>
                <w:szCs w:val="20"/>
              </w:rPr>
            </w:pPr>
            <w:r>
              <w:rPr>
                <w:rFonts w:eastAsia="Times New Roman"/>
                <w:sz w:val="20"/>
                <w:szCs w:val="20"/>
              </w:rPr>
              <w:t>(9,396</w:t>
            </w:r>
          </w:p>
        </w:tc>
        <w:tc>
          <w:tcPr>
            <w:tcW w:w="50" w:type="pct"/>
            <w:shd w:val="clear" w:color="auto" w:fill="FFFFFF"/>
            <w:noWrap/>
            <w:tcMar>
              <w:top w:w="0" w:type="dxa"/>
              <w:left w:w="0" w:type="dxa"/>
              <w:bottom w:w="15" w:type="dxa"/>
              <w:right w:w="0" w:type="dxa"/>
            </w:tcMar>
            <w:vAlign w:val="bottom"/>
            <w:hideMark/>
          </w:tcPr>
          <w:p w14:paraId="572B4437"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1E4E76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58DD95F"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1DD8D686" w14:textId="77777777" w:rsidR="00000000" w:rsidRDefault="00EB4933">
            <w:pPr>
              <w:jc w:val="right"/>
              <w:rPr>
                <w:rFonts w:eastAsia="Times New Roman"/>
                <w:sz w:val="20"/>
                <w:szCs w:val="20"/>
              </w:rPr>
            </w:pPr>
            <w:r>
              <w:rPr>
                <w:rFonts w:eastAsia="Times New Roman"/>
                <w:sz w:val="20"/>
                <w:szCs w:val="20"/>
              </w:rPr>
              <w:t>(6,360</w:t>
            </w:r>
          </w:p>
        </w:tc>
        <w:tc>
          <w:tcPr>
            <w:tcW w:w="50" w:type="pct"/>
            <w:shd w:val="clear" w:color="auto" w:fill="FFFFFF"/>
            <w:noWrap/>
            <w:tcMar>
              <w:top w:w="0" w:type="dxa"/>
              <w:left w:w="0" w:type="dxa"/>
              <w:bottom w:w="15" w:type="dxa"/>
              <w:right w:w="0" w:type="dxa"/>
            </w:tcMar>
            <w:vAlign w:val="bottom"/>
            <w:hideMark/>
          </w:tcPr>
          <w:p w14:paraId="22AA9152"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495CAF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1970BFE"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1AB3C899" w14:textId="77777777" w:rsidR="00000000" w:rsidRDefault="00EB4933">
            <w:pPr>
              <w:jc w:val="right"/>
              <w:rPr>
                <w:rFonts w:eastAsia="Times New Roman"/>
                <w:sz w:val="20"/>
                <w:szCs w:val="20"/>
              </w:rPr>
            </w:pPr>
            <w:r>
              <w:rPr>
                <w:rFonts w:eastAsia="Times New Roman"/>
                <w:sz w:val="20"/>
                <w:szCs w:val="20"/>
              </w:rPr>
              <w:t>(3,580</w:t>
            </w:r>
          </w:p>
        </w:tc>
        <w:tc>
          <w:tcPr>
            <w:tcW w:w="50" w:type="pct"/>
            <w:shd w:val="clear" w:color="auto" w:fill="FFFFFF"/>
            <w:noWrap/>
            <w:tcMar>
              <w:top w:w="0" w:type="dxa"/>
              <w:left w:w="0" w:type="dxa"/>
              <w:bottom w:w="15" w:type="dxa"/>
              <w:right w:w="0" w:type="dxa"/>
            </w:tcMar>
            <w:vAlign w:val="bottom"/>
            <w:hideMark/>
          </w:tcPr>
          <w:p w14:paraId="7E234755"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A74849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30FB56D"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1CAFFA41" w14:textId="77777777" w:rsidR="00000000" w:rsidRDefault="00EB4933">
            <w:pPr>
              <w:jc w:val="right"/>
              <w:rPr>
                <w:rFonts w:eastAsia="Times New Roman"/>
                <w:sz w:val="20"/>
                <w:szCs w:val="20"/>
              </w:rPr>
            </w:pPr>
            <w:r>
              <w:rPr>
                <w:rFonts w:eastAsia="Times New Roman"/>
                <w:sz w:val="20"/>
                <w:szCs w:val="20"/>
              </w:rPr>
              <w:t>(66,904</w:t>
            </w:r>
          </w:p>
        </w:tc>
        <w:tc>
          <w:tcPr>
            <w:tcW w:w="50" w:type="pct"/>
            <w:shd w:val="clear" w:color="auto" w:fill="FFFFFF"/>
            <w:noWrap/>
            <w:tcMar>
              <w:top w:w="0" w:type="dxa"/>
              <w:left w:w="0" w:type="dxa"/>
              <w:bottom w:w="15" w:type="dxa"/>
              <w:right w:w="0" w:type="dxa"/>
            </w:tcMar>
            <w:vAlign w:val="bottom"/>
            <w:hideMark/>
          </w:tcPr>
          <w:p w14:paraId="2620596B"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213347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5D17859"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0002DF7A" w14:textId="77777777" w:rsidR="00000000" w:rsidRDefault="00EB4933">
            <w:pPr>
              <w:jc w:val="right"/>
              <w:rPr>
                <w:rFonts w:eastAsia="Times New Roman"/>
                <w:sz w:val="20"/>
                <w:szCs w:val="20"/>
              </w:rPr>
            </w:pPr>
            <w:r>
              <w:rPr>
                <w:rFonts w:eastAsia="Times New Roman"/>
                <w:sz w:val="20"/>
                <w:szCs w:val="20"/>
              </w:rPr>
              <w:t>(24,694</w:t>
            </w:r>
          </w:p>
        </w:tc>
        <w:tc>
          <w:tcPr>
            <w:tcW w:w="50" w:type="pct"/>
            <w:shd w:val="clear" w:color="auto" w:fill="FFFFFF"/>
            <w:noWrap/>
            <w:tcMar>
              <w:top w:w="0" w:type="dxa"/>
              <w:left w:w="0" w:type="dxa"/>
              <w:bottom w:w="15" w:type="dxa"/>
              <w:right w:w="0" w:type="dxa"/>
            </w:tcMar>
            <w:vAlign w:val="bottom"/>
            <w:hideMark/>
          </w:tcPr>
          <w:p w14:paraId="09440997"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230972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D23D522"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12B466E6" w14:textId="77777777" w:rsidR="00000000" w:rsidRDefault="00EB4933">
            <w:pPr>
              <w:jc w:val="right"/>
              <w:rPr>
                <w:rFonts w:eastAsia="Times New Roman"/>
                <w:sz w:val="20"/>
                <w:szCs w:val="20"/>
              </w:rPr>
            </w:pPr>
            <w:r>
              <w:rPr>
                <w:rFonts w:eastAsia="Times New Roman"/>
                <w:sz w:val="20"/>
                <w:szCs w:val="20"/>
              </w:rPr>
              <w:t>(3,547</w:t>
            </w:r>
          </w:p>
        </w:tc>
        <w:tc>
          <w:tcPr>
            <w:tcW w:w="50" w:type="pct"/>
            <w:shd w:val="clear" w:color="auto" w:fill="FFFFFF"/>
            <w:noWrap/>
            <w:tcMar>
              <w:top w:w="0" w:type="dxa"/>
              <w:left w:w="0" w:type="dxa"/>
              <w:bottom w:w="15" w:type="dxa"/>
              <w:right w:w="0" w:type="dxa"/>
            </w:tcMar>
            <w:vAlign w:val="bottom"/>
            <w:hideMark/>
          </w:tcPr>
          <w:p w14:paraId="2DDC4E9C" w14:textId="77777777" w:rsidR="00000000" w:rsidRDefault="00EB4933">
            <w:pPr>
              <w:rPr>
                <w:rFonts w:eastAsia="Times New Roman"/>
                <w:sz w:val="20"/>
                <w:szCs w:val="20"/>
              </w:rPr>
            </w:pPr>
            <w:r>
              <w:rPr>
                <w:rFonts w:eastAsia="Times New Roman"/>
                <w:sz w:val="20"/>
                <w:szCs w:val="20"/>
              </w:rPr>
              <w:t>)</w:t>
            </w:r>
          </w:p>
        </w:tc>
      </w:tr>
      <w:tr w:rsidR="00000000" w14:paraId="16AB0C28" w14:textId="77777777">
        <w:trPr>
          <w:divId w:val="98525094"/>
          <w:trHeight w:val="225"/>
          <w:tblCellSpacing w:w="15" w:type="dxa"/>
        </w:trPr>
        <w:tc>
          <w:tcPr>
            <w:tcW w:w="0" w:type="auto"/>
            <w:shd w:val="clear" w:color="auto" w:fill="CCEEFF"/>
            <w:hideMark/>
          </w:tcPr>
          <w:p w14:paraId="32075CAB" w14:textId="77777777" w:rsidR="00000000" w:rsidRDefault="00EB4933">
            <w:pPr>
              <w:pStyle w:val="NormalWeb"/>
              <w:spacing w:before="0" w:beforeAutospacing="0" w:after="0" w:afterAutospacing="0"/>
              <w:rPr>
                <w:sz w:val="20"/>
                <w:szCs w:val="20"/>
              </w:rPr>
            </w:pPr>
            <w:r>
              <w:rPr>
                <w:rStyle w:val="Strong"/>
                <w:sz w:val="20"/>
                <w:szCs w:val="20"/>
              </w:rPr>
              <w:t>Net interest income after provision for loan losses</w:t>
            </w:r>
          </w:p>
        </w:tc>
        <w:tc>
          <w:tcPr>
            <w:tcW w:w="50" w:type="pct"/>
            <w:shd w:val="clear" w:color="auto" w:fill="CCEEFF"/>
            <w:noWrap/>
            <w:vAlign w:val="center"/>
            <w:hideMark/>
          </w:tcPr>
          <w:p w14:paraId="5F7AD33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6064060"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38E0505B" w14:textId="77777777" w:rsidR="00000000" w:rsidRDefault="00EB4933">
            <w:pPr>
              <w:jc w:val="right"/>
              <w:rPr>
                <w:rFonts w:eastAsia="Times New Roman"/>
                <w:sz w:val="20"/>
                <w:szCs w:val="20"/>
              </w:rPr>
            </w:pPr>
            <w:r>
              <w:rPr>
                <w:rFonts w:eastAsia="Times New Roman"/>
                <w:sz w:val="20"/>
                <w:szCs w:val="20"/>
              </w:rPr>
              <w:t>68,751</w:t>
            </w:r>
          </w:p>
        </w:tc>
        <w:tc>
          <w:tcPr>
            <w:tcW w:w="50" w:type="pct"/>
            <w:shd w:val="clear" w:color="auto" w:fill="CCEEFF"/>
            <w:noWrap/>
            <w:tcMar>
              <w:top w:w="0" w:type="dxa"/>
              <w:left w:w="0" w:type="dxa"/>
              <w:bottom w:w="15" w:type="dxa"/>
              <w:right w:w="0" w:type="dxa"/>
            </w:tcMar>
            <w:vAlign w:val="center"/>
            <w:hideMark/>
          </w:tcPr>
          <w:p w14:paraId="107796B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DDB44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25A2B24"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2835B6A8" w14:textId="77777777" w:rsidR="00000000" w:rsidRDefault="00EB4933">
            <w:pPr>
              <w:jc w:val="right"/>
              <w:rPr>
                <w:rFonts w:eastAsia="Times New Roman"/>
                <w:sz w:val="20"/>
                <w:szCs w:val="20"/>
              </w:rPr>
            </w:pPr>
            <w:r>
              <w:rPr>
                <w:rFonts w:eastAsia="Times New Roman"/>
                <w:sz w:val="20"/>
                <w:szCs w:val="20"/>
              </w:rPr>
              <w:t>75,233</w:t>
            </w:r>
          </w:p>
        </w:tc>
        <w:tc>
          <w:tcPr>
            <w:tcW w:w="50" w:type="pct"/>
            <w:shd w:val="clear" w:color="auto" w:fill="CCEEFF"/>
            <w:noWrap/>
            <w:tcMar>
              <w:top w:w="0" w:type="dxa"/>
              <w:left w:w="0" w:type="dxa"/>
              <w:bottom w:w="15" w:type="dxa"/>
              <w:right w:w="0" w:type="dxa"/>
            </w:tcMar>
            <w:vAlign w:val="center"/>
            <w:hideMark/>
          </w:tcPr>
          <w:p w14:paraId="2FAD15D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2A8AA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116FEF0"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4A3F3333" w14:textId="77777777" w:rsidR="00000000" w:rsidRDefault="00EB4933">
            <w:pPr>
              <w:jc w:val="right"/>
              <w:rPr>
                <w:rFonts w:eastAsia="Times New Roman"/>
                <w:sz w:val="20"/>
                <w:szCs w:val="20"/>
              </w:rPr>
            </w:pPr>
            <w:r>
              <w:rPr>
                <w:rFonts w:eastAsia="Times New Roman"/>
                <w:sz w:val="20"/>
                <w:szCs w:val="20"/>
              </w:rPr>
              <w:t>81,594</w:t>
            </w:r>
          </w:p>
        </w:tc>
        <w:tc>
          <w:tcPr>
            <w:tcW w:w="50" w:type="pct"/>
            <w:shd w:val="clear" w:color="auto" w:fill="CCEEFF"/>
            <w:noWrap/>
            <w:tcMar>
              <w:top w:w="0" w:type="dxa"/>
              <w:left w:w="0" w:type="dxa"/>
              <w:bottom w:w="15" w:type="dxa"/>
              <w:right w:w="0" w:type="dxa"/>
            </w:tcMar>
            <w:vAlign w:val="center"/>
            <w:hideMark/>
          </w:tcPr>
          <w:p w14:paraId="759C089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02534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A40F30D"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68B91F19" w14:textId="77777777" w:rsidR="00000000" w:rsidRDefault="00EB4933">
            <w:pPr>
              <w:jc w:val="right"/>
              <w:rPr>
                <w:rFonts w:eastAsia="Times New Roman"/>
                <w:sz w:val="20"/>
                <w:szCs w:val="20"/>
              </w:rPr>
            </w:pPr>
            <w:r>
              <w:rPr>
                <w:rFonts w:eastAsia="Times New Roman"/>
                <w:sz w:val="20"/>
                <w:szCs w:val="20"/>
              </w:rPr>
              <w:t>47,912</w:t>
            </w:r>
          </w:p>
        </w:tc>
        <w:tc>
          <w:tcPr>
            <w:tcW w:w="50" w:type="pct"/>
            <w:shd w:val="clear" w:color="auto" w:fill="CCEEFF"/>
            <w:noWrap/>
            <w:tcMar>
              <w:top w:w="0" w:type="dxa"/>
              <w:left w:w="0" w:type="dxa"/>
              <w:bottom w:w="15" w:type="dxa"/>
              <w:right w:w="0" w:type="dxa"/>
            </w:tcMar>
            <w:vAlign w:val="center"/>
            <w:hideMark/>
          </w:tcPr>
          <w:p w14:paraId="20EAF91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61EC1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4AB5CA3"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4D0DC63C" w14:textId="77777777" w:rsidR="00000000" w:rsidRDefault="00EB4933">
            <w:pPr>
              <w:jc w:val="right"/>
              <w:rPr>
                <w:rFonts w:eastAsia="Times New Roman"/>
                <w:sz w:val="20"/>
                <w:szCs w:val="20"/>
              </w:rPr>
            </w:pPr>
            <w:r>
              <w:rPr>
                <w:rFonts w:eastAsia="Times New Roman"/>
                <w:sz w:val="20"/>
                <w:szCs w:val="20"/>
              </w:rPr>
              <w:t>73,421</w:t>
            </w:r>
          </w:p>
        </w:tc>
        <w:tc>
          <w:tcPr>
            <w:tcW w:w="50" w:type="pct"/>
            <w:shd w:val="clear" w:color="auto" w:fill="CCEEFF"/>
            <w:noWrap/>
            <w:tcMar>
              <w:top w:w="0" w:type="dxa"/>
              <w:left w:w="0" w:type="dxa"/>
              <w:bottom w:w="15" w:type="dxa"/>
              <w:right w:w="0" w:type="dxa"/>
            </w:tcMar>
            <w:vAlign w:val="center"/>
            <w:hideMark/>
          </w:tcPr>
          <w:p w14:paraId="247AD0A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A35CE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42EDEC9"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65257D97" w14:textId="77777777" w:rsidR="00000000" w:rsidRDefault="00EB4933">
            <w:pPr>
              <w:jc w:val="right"/>
              <w:rPr>
                <w:rFonts w:eastAsia="Times New Roman"/>
                <w:sz w:val="20"/>
                <w:szCs w:val="20"/>
              </w:rPr>
            </w:pPr>
            <w:r>
              <w:rPr>
                <w:rFonts w:eastAsia="Times New Roman"/>
                <w:sz w:val="20"/>
                <w:szCs w:val="20"/>
              </w:rPr>
              <w:t>10,546</w:t>
            </w:r>
          </w:p>
        </w:tc>
        <w:tc>
          <w:tcPr>
            <w:tcW w:w="50" w:type="pct"/>
            <w:shd w:val="clear" w:color="auto" w:fill="CCEEFF"/>
            <w:noWrap/>
            <w:tcMar>
              <w:top w:w="0" w:type="dxa"/>
              <w:left w:w="0" w:type="dxa"/>
              <w:bottom w:w="15" w:type="dxa"/>
              <w:right w:w="0" w:type="dxa"/>
            </w:tcMar>
            <w:vAlign w:val="center"/>
            <w:hideMark/>
          </w:tcPr>
          <w:p w14:paraId="6A4FE903" w14:textId="77777777" w:rsidR="00000000" w:rsidRDefault="00EB4933">
            <w:pPr>
              <w:pStyle w:val="NormalWeb"/>
              <w:spacing w:before="0" w:beforeAutospacing="0" w:after="0" w:afterAutospacing="0"/>
              <w:rPr>
                <w:sz w:val="20"/>
                <w:szCs w:val="20"/>
              </w:rPr>
            </w:pPr>
            <w:r>
              <w:rPr>
                <w:sz w:val="20"/>
                <w:szCs w:val="20"/>
              </w:rPr>
              <w:t> </w:t>
            </w:r>
          </w:p>
        </w:tc>
      </w:tr>
      <w:tr w:rsidR="00000000" w14:paraId="6C4892AE" w14:textId="77777777">
        <w:trPr>
          <w:divId w:val="98525094"/>
          <w:trHeight w:val="225"/>
          <w:tblCellSpacing w:w="15" w:type="dxa"/>
        </w:trPr>
        <w:tc>
          <w:tcPr>
            <w:tcW w:w="0" w:type="auto"/>
            <w:shd w:val="clear" w:color="auto" w:fill="FFFFFF"/>
            <w:vAlign w:val="center"/>
            <w:hideMark/>
          </w:tcPr>
          <w:p w14:paraId="3AFE1BD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7FFC7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058C37"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7DE1072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DC2F9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1ABE8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0CE304"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86DE85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77544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BE91F9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6E41CB"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5DEE35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2C424D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C7558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29FAA2"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880EEB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52E8D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BADAA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62A651"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7A9311A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18C4D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43C36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ACC7F3"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657F743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9A51FF" w14:textId="77777777" w:rsidR="00000000" w:rsidRDefault="00EB4933">
            <w:pPr>
              <w:pStyle w:val="NormalWeb"/>
              <w:spacing w:before="0" w:beforeAutospacing="0" w:after="0" w:afterAutospacing="0"/>
              <w:rPr>
                <w:sz w:val="20"/>
                <w:szCs w:val="20"/>
              </w:rPr>
            </w:pPr>
            <w:r>
              <w:rPr>
                <w:sz w:val="20"/>
                <w:szCs w:val="20"/>
              </w:rPr>
              <w:t> </w:t>
            </w:r>
          </w:p>
        </w:tc>
      </w:tr>
      <w:tr w:rsidR="00000000" w14:paraId="1DA0F109" w14:textId="77777777">
        <w:trPr>
          <w:divId w:val="98525094"/>
          <w:trHeight w:val="225"/>
          <w:tblCellSpacing w:w="15" w:type="dxa"/>
        </w:trPr>
        <w:tc>
          <w:tcPr>
            <w:tcW w:w="0" w:type="auto"/>
            <w:shd w:val="clear" w:color="auto" w:fill="CCEEFF"/>
            <w:hideMark/>
          </w:tcPr>
          <w:p w14:paraId="372FFE65" w14:textId="77777777" w:rsidR="00000000" w:rsidRDefault="00EB4933">
            <w:pPr>
              <w:pStyle w:val="NormalWeb"/>
              <w:spacing w:before="0" w:beforeAutospacing="0" w:after="0" w:afterAutospacing="0"/>
              <w:rPr>
                <w:sz w:val="20"/>
                <w:szCs w:val="20"/>
              </w:rPr>
            </w:pPr>
            <w:r>
              <w:rPr>
                <w:sz w:val="20"/>
                <w:szCs w:val="20"/>
              </w:rPr>
              <w:t>Non-interest and other income</w:t>
            </w:r>
          </w:p>
        </w:tc>
        <w:tc>
          <w:tcPr>
            <w:tcW w:w="50" w:type="pct"/>
            <w:shd w:val="clear" w:color="auto" w:fill="CCEEFF"/>
            <w:noWrap/>
            <w:vAlign w:val="center"/>
            <w:hideMark/>
          </w:tcPr>
          <w:p w14:paraId="473F32C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8C883C"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053549D" w14:textId="77777777" w:rsidR="00000000" w:rsidRDefault="00EB4933">
            <w:pPr>
              <w:jc w:val="right"/>
              <w:rPr>
                <w:rFonts w:eastAsia="Times New Roman"/>
                <w:sz w:val="20"/>
                <w:szCs w:val="20"/>
              </w:rPr>
            </w:pPr>
            <w:r>
              <w:rPr>
                <w:rFonts w:eastAsia="Times New Roman"/>
                <w:sz w:val="20"/>
                <w:szCs w:val="20"/>
              </w:rPr>
              <w:t>476</w:t>
            </w:r>
          </w:p>
        </w:tc>
        <w:tc>
          <w:tcPr>
            <w:tcW w:w="50" w:type="pct"/>
            <w:shd w:val="clear" w:color="auto" w:fill="CCEEFF"/>
            <w:noWrap/>
            <w:vAlign w:val="center"/>
            <w:hideMark/>
          </w:tcPr>
          <w:p w14:paraId="27E1FDA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CDAC3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558A8F"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0B16718" w14:textId="77777777" w:rsidR="00000000" w:rsidRDefault="00EB4933">
            <w:pPr>
              <w:jc w:val="right"/>
              <w:rPr>
                <w:rFonts w:eastAsia="Times New Roman"/>
                <w:sz w:val="20"/>
                <w:szCs w:val="20"/>
              </w:rPr>
            </w:pPr>
            <w:r>
              <w:rPr>
                <w:rFonts w:eastAsia="Times New Roman"/>
                <w:sz w:val="20"/>
                <w:szCs w:val="20"/>
              </w:rPr>
              <w:t>1,772</w:t>
            </w:r>
          </w:p>
        </w:tc>
        <w:tc>
          <w:tcPr>
            <w:tcW w:w="50" w:type="pct"/>
            <w:shd w:val="clear" w:color="auto" w:fill="CCEEFF"/>
            <w:noWrap/>
            <w:vAlign w:val="center"/>
            <w:hideMark/>
          </w:tcPr>
          <w:p w14:paraId="30CCC0B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09DA6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0CE0C0"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416E571" w14:textId="77777777" w:rsidR="00000000" w:rsidRDefault="00EB4933">
            <w:pPr>
              <w:jc w:val="right"/>
              <w:rPr>
                <w:rFonts w:eastAsia="Times New Roman"/>
                <w:sz w:val="20"/>
                <w:szCs w:val="20"/>
              </w:rPr>
            </w:pPr>
            <w:r>
              <w:rPr>
                <w:rFonts w:eastAsia="Times New Roman"/>
                <w:sz w:val="20"/>
                <w:szCs w:val="20"/>
              </w:rPr>
              <w:t>815</w:t>
            </w:r>
          </w:p>
        </w:tc>
        <w:tc>
          <w:tcPr>
            <w:tcW w:w="50" w:type="pct"/>
            <w:shd w:val="clear" w:color="auto" w:fill="CCEEFF"/>
            <w:noWrap/>
            <w:vAlign w:val="center"/>
            <w:hideMark/>
          </w:tcPr>
          <w:p w14:paraId="6D6CE2A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40599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B9DAC9"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50B1E32" w14:textId="77777777" w:rsidR="00000000" w:rsidRDefault="00EB4933">
            <w:pPr>
              <w:jc w:val="right"/>
              <w:rPr>
                <w:rFonts w:eastAsia="Times New Roman"/>
                <w:sz w:val="20"/>
                <w:szCs w:val="20"/>
              </w:rPr>
            </w:pPr>
            <w:r>
              <w:rPr>
                <w:rFonts w:eastAsia="Times New Roman"/>
                <w:sz w:val="20"/>
                <w:szCs w:val="20"/>
              </w:rPr>
              <w:t>438</w:t>
            </w:r>
          </w:p>
        </w:tc>
        <w:tc>
          <w:tcPr>
            <w:tcW w:w="50" w:type="pct"/>
            <w:shd w:val="clear" w:color="auto" w:fill="CCEEFF"/>
            <w:noWrap/>
            <w:vAlign w:val="center"/>
            <w:hideMark/>
          </w:tcPr>
          <w:p w14:paraId="5692417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E5B81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D3FFA1"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602A2F3" w14:textId="77777777" w:rsidR="00000000" w:rsidRDefault="00EB4933">
            <w:pPr>
              <w:jc w:val="right"/>
              <w:rPr>
                <w:rFonts w:eastAsia="Times New Roman"/>
                <w:sz w:val="20"/>
                <w:szCs w:val="20"/>
              </w:rPr>
            </w:pPr>
            <w:r>
              <w:rPr>
                <w:rFonts w:eastAsia="Times New Roman"/>
                <w:sz w:val="20"/>
                <w:szCs w:val="20"/>
              </w:rPr>
              <w:t>173</w:t>
            </w:r>
          </w:p>
        </w:tc>
        <w:tc>
          <w:tcPr>
            <w:tcW w:w="50" w:type="pct"/>
            <w:shd w:val="clear" w:color="auto" w:fill="CCEEFF"/>
            <w:noWrap/>
            <w:vAlign w:val="center"/>
            <w:hideMark/>
          </w:tcPr>
          <w:p w14:paraId="2E32077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561DA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BB6D74"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B62A4F4" w14:textId="77777777" w:rsidR="00000000" w:rsidRDefault="00EB4933">
            <w:pPr>
              <w:jc w:val="right"/>
              <w:rPr>
                <w:rFonts w:eastAsia="Times New Roman"/>
                <w:sz w:val="20"/>
                <w:szCs w:val="20"/>
              </w:rPr>
            </w:pPr>
            <w:r>
              <w:rPr>
                <w:rFonts w:eastAsia="Times New Roman"/>
                <w:sz w:val="20"/>
                <w:szCs w:val="20"/>
              </w:rPr>
              <w:t>25</w:t>
            </w:r>
          </w:p>
        </w:tc>
        <w:tc>
          <w:tcPr>
            <w:tcW w:w="50" w:type="pct"/>
            <w:shd w:val="clear" w:color="auto" w:fill="CCEEFF"/>
            <w:noWrap/>
            <w:vAlign w:val="center"/>
            <w:hideMark/>
          </w:tcPr>
          <w:p w14:paraId="525EE5C1" w14:textId="77777777" w:rsidR="00000000" w:rsidRDefault="00EB4933">
            <w:pPr>
              <w:pStyle w:val="NormalWeb"/>
              <w:spacing w:before="0" w:beforeAutospacing="0" w:after="0" w:afterAutospacing="0"/>
              <w:rPr>
                <w:sz w:val="20"/>
                <w:szCs w:val="20"/>
              </w:rPr>
            </w:pPr>
            <w:r>
              <w:rPr>
                <w:sz w:val="20"/>
                <w:szCs w:val="20"/>
              </w:rPr>
              <w:t> </w:t>
            </w:r>
          </w:p>
        </w:tc>
      </w:tr>
      <w:tr w:rsidR="00000000" w14:paraId="4B46878E" w14:textId="77777777">
        <w:trPr>
          <w:divId w:val="98525094"/>
          <w:trHeight w:val="225"/>
          <w:tblCellSpacing w:w="15" w:type="dxa"/>
        </w:trPr>
        <w:tc>
          <w:tcPr>
            <w:tcW w:w="0" w:type="auto"/>
            <w:shd w:val="clear" w:color="auto" w:fill="FFFFFF"/>
            <w:vAlign w:val="center"/>
            <w:hideMark/>
          </w:tcPr>
          <w:p w14:paraId="424BAA8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D9E91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CFEE59"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40F7A1D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07FF2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D483C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CFAEC6"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4970C11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AC5D0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7AC9C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9C0CD8"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1AA598B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E104B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7FB97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FA551B"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09FCEF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D3B1C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57BCD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F36722"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9C8489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95760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DE256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4E2DCC"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123FC03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BE5819" w14:textId="77777777" w:rsidR="00000000" w:rsidRDefault="00EB4933">
            <w:pPr>
              <w:pStyle w:val="NormalWeb"/>
              <w:spacing w:before="0" w:beforeAutospacing="0" w:after="0" w:afterAutospacing="0"/>
              <w:rPr>
                <w:sz w:val="20"/>
                <w:szCs w:val="20"/>
              </w:rPr>
            </w:pPr>
            <w:r>
              <w:rPr>
                <w:sz w:val="20"/>
                <w:szCs w:val="20"/>
              </w:rPr>
              <w:t> </w:t>
            </w:r>
          </w:p>
        </w:tc>
      </w:tr>
      <w:tr w:rsidR="00000000" w14:paraId="1EFBFB4F" w14:textId="77777777">
        <w:trPr>
          <w:divId w:val="98525094"/>
          <w:trHeight w:val="225"/>
          <w:tblCellSpacing w:w="15" w:type="dxa"/>
        </w:trPr>
        <w:tc>
          <w:tcPr>
            <w:tcW w:w="0" w:type="auto"/>
            <w:shd w:val="clear" w:color="auto" w:fill="CCEEFF"/>
            <w:hideMark/>
          </w:tcPr>
          <w:p w14:paraId="6BCB2F92" w14:textId="77777777" w:rsidR="00000000" w:rsidRDefault="00EB4933">
            <w:pPr>
              <w:pStyle w:val="NormalWeb"/>
              <w:spacing w:before="0" w:beforeAutospacing="0" w:after="0" w:afterAutospacing="0"/>
              <w:rPr>
                <w:sz w:val="20"/>
                <w:szCs w:val="20"/>
              </w:rPr>
            </w:pPr>
            <w:r>
              <w:rPr>
                <w:rStyle w:val="Strong"/>
                <w:sz w:val="20"/>
                <w:szCs w:val="20"/>
              </w:rPr>
              <w:t>Operating costs and expenses</w:t>
            </w:r>
          </w:p>
        </w:tc>
        <w:tc>
          <w:tcPr>
            <w:tcW w:w="50" w:type="pct"/>
            <w:shd w:val="clear" w:color="auto" w:fill="CCEEFF"/>
            <w:noWrap/>
            <w:vAlign w:val="center"/>
            <w:hideMark/>
          </w:tcPr>
          <w:p w14:paraId="6CECDDD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0746DD"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70366A5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99A40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37860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1D8565"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43935F2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B5ADD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DAC8B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5272B0"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6106A6D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3BB5A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B504A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7FBECD"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16C7934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6A6F6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407D0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08B795"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7D7785E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58C04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D5BAE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70695E"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4D87042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B6482E" w14:textId="77777777" w:rsidR="00000000" w:rsidRDefault="00EB4933">
            <w:pPr>
              <w:pStyle w:val="NormalWeb"/>
              <w:spacing w:before="0" w:beforeAutospacing="0" w:after="0" w:afterAutospacing="0"/>
              <w:rPr>
                <w:sz w:val="20"/>
                <w:szCs w:val="20"/>
              </w:rPr>
            </w:pPr>
            <w:r>
              <w:rPr>
                <w:sz w:val="20"/>
                <w:szCs w:val="20"/>
              </w:rPr>
              <w:t> </w:t>
            </w:r>
          </w:p>
        </w:tc>
      </w:tr>
      <w:tr w:rsidR="00000000" w14:paraId="15BD4DD1" w14:textId="77777777">
        <w:trPr>
          <w:divId w:val="98525094"/>
          <w:trHeight w:val="225"/>
          <w:tblCellSpacing w:w="15" w:type="dxa"/>
        </w:trPr>
        <w:tc>
          <w:tcPr>
            <w:tcW w:w="0" w:type="auto"/>
            <w:shd w:val="clear" w:color="auto" w:fill="FFFFFF"/>
            <w:hideMark/>
          </w:tcPr>
          <w:p w14:paraId="43E4BD12" w14:textId="77777777" w:rsidR="00000000" w:rsidRDefault="00EB4933">
            <w:pPr>
              <w:pStyle w:val="NormalWeb"/>
              <w:spacing w:before="0" w:beforeAutospacing="0" w:after="0" w:afterAutospacing="0"/>
              <w:rPr>
                <w:sz w:val="20"/>
                <w:szCs w:val="20"/>
              </w:rPr>
            </w:pPr>
            <w:r>
              <w:rPr>
                <w:sz w:val="20"/>
                <w:szCs w:val="20"/>
              </w:rPr>
              <w:t>Sales and marketing</w:t>
            </w:r>
          </w:p>
        </w:tc>
        <w:tc>
          <w:tcPr>
            <w:tcW w:w="50" w:type="pct"/>
            <w:shd w:val="clear" w:color="auto" w:fill="FFFFFF"/>
            <w:noWrap/>
            <w:vAlign w:val="center"/>
            <w:hideMark/>
          </w:tcPr>
          <w:p w14:paraId="39363E4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00AC85"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1E74C06" w14:textId="77777777" w:rsidR="00000000" w:rsidRDefault="00EB4933">
            <w:pPr>
              <w:jc w:val="right"/>
              <w:rPr>
                <w:rFonts w:eastAsia="Times New Roman"/>
                <w:sz w:val="20"/>
                <w:szCs w:val="20"/>
              </w:rPr>
            </w:pPr>
            <w:r>
              <w:rPr>
                <w:rFonts w:eastAsia="Times New Roman"/>
                <w:sz w:val="20"/>
                <w:szCs w:val="20"/>
              </w:rPr>
              <w:t>(4,236</w:t>
            </w:r>
          </w:p>
        </w:tc>
        <w:tc>
          <w:tcPr>
            <w:tcW w:w="50" w:type="pct"/>
            <w:shd w:val="clear" w:color="auto" w:fill="FFFFFF"/>
            <w:noWrap/>
            <w:vAlign w:val="bottom"/>
            <w:hideMark/>
          </w:tcPr>
          <w:p w14:paraId="615C569F"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E7406C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35B5AC"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B87611A" w14:textId="77777777" w:rsidR="00000000" w:rsidRDefault="00EB4933">
            <w:pPr>
              <w:jc w:val="right"/>
              <w:rPr>
                <w:rFonts w:eastAsia="Times New Roman"/>
                <w:sz w:val="20"/>
                <w:szCs w:val="20"/>
              </w:rPr>
            </w:pPr>
            <w:r>
              <w:rPr>
                <w:rFonts w:eastAsia="Times New Roman"/>
                <w:sz w:val="20"/>
                <w:szCs w:val="20"/>
              </w:rPr>
              <w:t>(4,899</w:t>
            </w:r>
          </w:p>
        </w:tc>
        <w:tc>
          <w:tcPr>
            <w:tcW w:w="50" w:type="pct"/>
            <w:shd w:val="clear" w:color="auto" w:fill="FFFFFF"/>
            <w:noWrap/>
            <w:vAlign w:val="bottom"/>
            <w:hideMark/>
          </w:tcPr>
          <w:p w14:paraId="63A4DF36"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714005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5F099C"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A00A25B" w14:textId="77777777" w:rsidR="00000000" w:rsidRDefault="00EB4933">
            <w:pPr>
              <w:jc w:val="right"/>
              <w:rPr>
                <w:rFonts w:eastAsia="Times New Roman"/>
                <w:sz w:val="20"/>
                <w:szCs w:val="20"/>
              </w:rPr>
            </w:pPr>
            <w:r>
              <w:rPr>
                <w:rFonts w:eastAsia="Times New Roman"/>
                <w:sz w:val="20"/>
                <w:szCs w:val="20"/>
              </w:rPr>
              <w:t>(3,138</w:t>
            </w:r>
          </w:p>
        </w:tc>
        <w:tc>
          <w:tcPr>
            <w:tcW w:w="50" w:type="pct"/>
            <w:shd w:val="clear" w:color="auto" w:fill="FFFFFF"/>
            <w:noWrap/>
            <w:vAlign w:val="bottom"/>
            <w:hideMark/>
          </w:tcPr>
          <w:p w14:paraId="55613A20"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DFFB8E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64BF72"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211503C" w14:textId="77777777" w:rsidR="00000000" w:rsidRDefault="00EB4933">
            <w:pPr>
              <w:jc w:val="right"/>
              <w:rPr>
                <w:rFonts w:eastAsia="Times New Roman"/>
                <w:sz w:val="20"/>
                <w:szCs w:val="20"/>
              </w:rPr>
            </w:pPr>
            <w:r>
              <w:rPr>
                <w:rFonts w:eastAsia="Times New Roman"/>
                <w:sz w:val="20"/>
                <w:szCs w:val="20"/>
              </w:rPr>
              <w:t>(1,794</w:t>
            </w:r>
          </w:p>
        </w:tc>
        <w:tc>
          <w:tcPr>
            <w:tcW w:w="50" w:type="pct"/>
            <w:shd w:val="clear" w:color="auto" w:fill="FFFFFF"/>
            <w:noWrap/>
            <w:vAlign w:val="bottom"/>
            <w:hideMark/>
          </w:tcPr>
          <w:p w14:paraId="6D3FBCC6"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139F3D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4D4079"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9AF3DF9" w14:textId="77777777" w:rsidR="00000000" w:rsidRDefault="00EB4933">
            <w:pPr>
              <w:jc w:val="right"/>
              <w:rPr>
                <w:rFonts w:eastAsia="Times New Roman"/>
                <w:sz w:val="20"/>
                <w:szCs w:val="20"/>
              </w:rPr>
            </w:pPr>
            <w:r>
              <w:rPr>
                <w:rFonts w:eastAsia="Times New Roman"/>
                <w:sz w:val="20"/>
                <w:szCs w:val="20"/>
              </w:rPr>
              <w:t>(1,698</w:t>
            </w:r>
          </w:p>
        </w:tc>
        <w:tc>
          <w:tcPr>
            <w:tcW w:w="50" w:type="pct"/>
            <w:shd w:val="clear" w:color="auto" w:fill="FFFFFF"/>
            <w:noWrap/>
            <w:vAlign w:val="bottom"/>
            <w:hideMark/>
          </w:tcPr>
          <w:p w14:paraId="72E92F07"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6BE1AD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19DC9D"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93159C3" w14:textId="77777777" w:rsidR="00000000" w:rsidRDefault="00EB4933">
            <w:pPr>
              <w:jc w:val="right"/>
              <w:rPr>
                <w:rFonts w:eastAsia="Times New Roman"/>
                <w:sz w:val="20"/>
                <w:szCs w:val="20"/>
              </w:rPr>
            </w:pPr>
            <w:r>
              <w:rPr>
                <w:rFonts w:eastAsia="Times New Roman"/>
                <w:sz w:val="20"/>
                <w:szCs w:val="20"/>
              </w:rPr>
              <w:t>(244</w:t>
            </w:r>
          </w:p>
        </w:tc>
        <w:tc>
          <w:tcPr>
            <w:tcW w:w="50" w:type="pct"/>
            <w:shd w:val="clear" w:color="auto" w:fill="FFFFFF"/>
            <w:noWrap/>
            <w:vAlign w:val="bottom"/>
            <w:hideMark/>
          </w:tcPr>
          <w:p w14:paraId="554D68E0" w14:textId="77777777" w:rsidR="00000000" w:rsidRDefault="00EB4933">
            <w:pPr>
              <w:rPr>
                <w:rFonts w:eastAsia="Times New Roman"/>
                <w:sz w:val="20"/>
                <w:szCs w:val="20"/>
              </w:rPr>
            </w:pPr>
            <w:r>
              <w:rPr>
                <w:rFonts w:eastAsia="Times New Roman"/>
                <w:sz w:val="20"/>
                <w:szCs w:val="20"/>
              </w:rPr>
              <w:t>)</w:t>
            </w:r>
          </w:p>
        </w:tc>
      </w:tr>
      <w:tr w:rsidR="00000000" w14:paraId="008480DA" w14:textId="77777777">
        <w:trPr>
          <w:divId w:val="98525094"/>
          <w:trHeight w:val="225"/>
          <w:tblCellSpacing w:w="15" w:type="dxa"/>
        </w:trPr>
        <w:tc>
          <w:tcPr>
            <w:tcW w:w="0" w:type="auto"/>
            <w:shd w:val="clear" w:color="auto" w:fill="CCEEFF"/>
            <w:hideMark/>
          </w:tcPr>
          <w:p w14:paraId="1A5F08BF" w14:textId="77777777" w:rsidR="00000000" w:rsidRDefault="00EB4933">
            <w:pPr>
              <w:pStyle w:val="NormalWeb"/>
              <w:spacing w:before="0" w:beforeAutospacing="0" w:after="0" w:afterAutospacing="0"/>
              <w:rPr>
                <w:sz w:val="20"/>
                <w:szCs w:val="20"/>
              </w:rPr>
            </w:pPr>
            <w:r>
              <w:rPr>
                <w:sz w:val="20"/>
                <w:szCs w:val="20"/>
              </w:rPr>
              <w:t xml:space="preserve">General and administrative </w:t>
            </w:r>
          </w:p>
        </w:tc>
        <w:tc>
          <w:tcPr>
            <w:tcW w:w="50" w:type="pct"/>
            <w:shd w:val="clear" w:color="auto" w:fill="CCEEFF"/>
            <w:noWrap/>
            <w:vAlign w:val="center"/>
            <w:hideMark/>
          </w:tcPr>
          <w:p w14:paraId="4ADF353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00A6BA7"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5AD0E798" w14:textId="77777777" w:rsidR="00000000" w:rsidRDefault="00EB4933">
            <w:pPr>
              <w:jc w:val="right"/>
              <w:rPr>
                <w:rFonts w:eastAsia="Times New Roman"/>
                <w:sz w:val="20"/>
                <w:szCs w:val="20"/>
              </w:rPr>
            </w:pPr>
            <w:r>
              <w:rPr>
                <w:rFonts w:eastAsia="Times New Roman"/>
                <w:sz w:val="20"/>
                <w:szCs w:val="20"/>
              </w:rPr>
              <w:t>(10,295</w:t>
            </w:r>
          </w:p>
        </w:tc>
        <w:tc>
          <w:tcPr>
            <w:tcW w:w="50" w:type="pct"/>
            <w:shd w:val="clear" w:color="auto" w:fill="CCEEFF"/>
            <w:noWrap/>
            <w:tcMar>
              <w:top w:w="0" w:type="dxa"/>
              <w:left w:w="0" w:type="dxa"/>
              <w:bottom w:w="15" w:type="dxa"/>
              <w:right w:w="0" w:type="dxa"/>
            </w:tcMar>
            <w:vAlign w:val="bottom"/>
            <w:hideMark/>
          </w:tcPr>
          <w:p w14:paraId="1B518ADD"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248EF3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30CF966"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03C8ACA7" w14:textId="77777777" w:rsidR="00000000" w:rsidRDefault="00EB4933">
            <w:pPr>
              <w:jc w:val="right"/>
              <w:rPr>
                <w:rFonts w:eastAsia="Times New Roman"/>
                <w:sz w:val="20"/>
                <w:szCs w:val="20"/>
              </w:rPr>
            </w:pPr>
            <w:r>
              <w:rPr>
                <w:rFonts w:eastAsia="Times New Roman"/>
                <w:sz w:val="20"/>
                <w:szCs w:val="20"/>
              </w:rPr>
              <w:t>(14,937</w:t>
            </w:r>
          </w:p>
        </w:tc>
        <w:tc>
          <w:tcPr>
            <w:tcW w:w="50" w:type="pct"/>
            <w:shd w:val="clear" w:color="auto" w:fill="CCEEFF"/>
            <w:noWrap/>
            <w:tcMar>
              <w:top w:w="0" w:type="dxa"/>
              <w:left w:w="0" w:type="dxa"/>
              <w:bottom w:w="15" w:type="dxa"/>
              <w:right w:w="0" w:type="dxa"/>
            </w:tcMar>
            <w:vAlign w:val="bottom"/>
            <w:hideMark/>
          </w:tcPr>
          <w:p w14:paraId="44943A0A"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583746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F14E33E"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7F5E7CDD" w14:textId="77777777" w:rsidR="00000000" w:rsidRDefault="00EB4933">
            <w:pPr>
              <w:jc w:val="right"/>
              <w:rPr>
                <w:rFonts w:eastAsia="Times New Roman"/>
                <w:sz w:val="20"/>
                <w:szCs w:val="20"/>
              </w:rPr>
            </w:pPr>
            <w:r>
              <w:rPr>
                <w:rFonts w:eastAsia="Times New Roman"/>
                <w:sz w:val="20"/>
                <w:szCs w:val="20"/>
              </w:rPr>
              <w:t>(34,895</w:t>
            </w:r>
          </w:p>
        </w:tc>
        <w:tc>
          <w:tcPr>
            <w:tcW w:w="50" w:type="pct"/>
            <w:shd w:val="clear" w:color="auto" w:fill="CCEEFF"/>
            <w:noWrap/>
            <w:tcMar>
              <w:top w:w="0" w:type="dxa"/>
              <w:left w:w="0" w:type="dxa"/>
              <w:bottom w:w="15" w:type="dxa"/>
              <w:right w:w="0" w:type="dxa"/>
            </w:tcMar>
            <w:vAlign w:val="bottom"/>
            <w:hideMark/>
          </w:tcPr>
          <w:p w14:paraId="66E92517"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940D87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7BD49C2"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63C39355" w14:textId="77777777" w:rsidR="00000000" w:rsidRDefault="00EB4933">
            <w:pPr>
              <w:jc w:val="right"/>
              <w:rPr>
                <w:rFonts w:eastAsia="Times New Roman"/>
                <w:sz w:val="20"/>
                <w:szCs w:val="20"/>
              </w:rPr>
            </w:pPr>
            <w:r>
              <w:rPr>
                <w:rFonts w:eastAsia="Times New Roman"/>
                <w:sz w:val="20"/>
                <w:szCs w:val="20"/>
              </w:rPr>
              <w:t>(20,368</w:t>
            </w:r>
          </w:p>
        </w:tc>
        <w:tc>
          <w:tcPr>
            <w:tcW w:w="50" w:type="pct"/>
            <w:shd w:val="clear" w:color="auto" w:fill="CCEEFF"/>
            <w:noWrap/>
            <w:tcMar>
              <w:top w:w="0" w:type="dxa"/>
              <w:left w:w="0" w:type="dxa"/>
              <w:bottom w:w="15" w:type="dxa"/>
              <w:right w:w="0" w:type="dxa"/>
            </w:tcMar>
            <w:vAlign w:val="bottom"/>
            <w:hideMark/>
          </w:tcPr>
          <w:p w14:paraId="60F80762"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6401CD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49EF63E"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61595A59" w14:textId="77777777" w:rsidR="00000000" w:rsidRDefault="00EB4933">
            <w:pPr>
              <w:jc w:val="right"/>
              <w:rPr>
                <w:rFonts w:eastAsia="Times New Roman"/>
                <w:sz w:val="20"/>
                <w:szCs w:val="20"/>
              </w:rPr>
            </w:pPr>
            <w:r>
              <w:rPr>
                <w:rFonts w:eastAsia="Times New Roman"/>
                <w:sz w:val="20"/>
                <w:szCs w:val="20"/>
              </w:rPr>
              <w:t>(13,280</w:t>
            </w:r>
          </w:p>
        </w:tc>
        <w:tc>
          <w:tcPr>
            <w:tcW w:w="50" w:type="pct"/>
            <w:shd w:val="clear" w:color="auto" w:fill="CCEEFF"/>
            <w:noWrap/>
            <w:tcMar>
              <w:top w:w="0" w:type="dxa"/>
              <w:left w:w="0" w:type="dxa"/>
              <w:bottom w:w="15" w:type="dxa"/>
              <w:right w:w="0" w:type="dxa"/>
            </w:tcMar>
            <w:vAlign w:val="bottom"/>
            <w:hideMark/>
          </w:tcPr>
          <w:p w14:paraId="3BEC0085"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7DCAF4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83D2324"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7C79E894" w14:textId="77777777" w:rsidR="00000000" w:rsidRDefault="00EB4933">
            <w:pPr>
              <w:jc w:val="right"/>
              <w:rPr>
                <w:rFonts w:eastAsia="Times New Roman"/>
                <w:sz w:val="20"/>
                <w:szCs w:val="20"/>
              </w:rPr>
            </w:pPr>
            <w:r>
              <w:rPr>
                <w:rFonts w:eastAsia="Times New Roman"/>
                <w:sz w:val="20"/>
                <w:szCs w:val="20"/>
              </w:rPr>
              <w:t>(1,908</w:t>
            </w:r>
          </w:p>
        </w:tc>
        <w:tc>
          <w:tcPr>
            <w:tcW w:w="50" w:type="pct"/>
            <w:shd w:val="clear" w:color="auto" w:fill="CCEEFF"/>
            <w:noWrap/>
            <w:tcMar>
              <w:top w:w="0" w:type="dxa"/>
              <w:left w:w="0" w:type="dxa"/>
              <w:bottom w:w="15" w:type="dxa"/>
              <w:right w:w="0" w:type="dxa"/>
            </w:tcMar>
            <w:vAlign w:val="bottom"/>
            <w:hideMark/>
          </w:tcPr>
          <w:p w14:paraId="6BDC6110" w14:textId="77777777" w:rsidR="00000000" w:rsidRDefault="00EB4933">
            <w:pPr>
              <w:rPr>
                <w:rFonts w:eastAsia="Times New Roman"/>
                <w:sz w:val="20"/>
                <w:szCs w:val="20"/>
              </w:rPr>
            </w:pPr>
            <w:r>
              <w:rPr>
                <w:rFonts w:eastAsia="Times New Roman"/>
                <w:sz w:val="20"/>
                <w:szCs w:val="20"/>
              </w:rPr>
              <w:t>)</w:t>
            </w:r>
          </w:p>
        </w:tc>
      </w:tr>
      <w:tr w:rsidR="00000000" w14:paraId="1D7855D8" w14:textId="77777777">
        <w:trPr>
          <w:divId w:val="98525094"/>
          <w:trHeight w:val="225"/>
          <w:tblCellSpacing w:w="15" w:type="dxa"/>
        </w:trPr>
        <w:tc>
          <w:tcPr>
            <w:tcW w:w="0" w:type="auto"/>
            <w:shd w:val="clear" w:color="auto" w:fill="FFFFFF"/>
            <w:hideMark/>
          </w:tcPr>
          <w:p w14:paraId="764FDD2B" w14:textId="77777777" w:rsidR="00000000" w:rsidRDefault="00EB4933">
            <w:pPr>
              <w:pStyle w:val="NormalWeb"/>
              <w:spacing w:before="0" w:beforeAutospacing="0" w:after="0" w:afterAutospacing="0"/>
              <w:rPr>
                <w:sz w:val="20"/>
                <w:szCs w:val="20"/>
              </w:rPr>
            </w:pPr>
            <w:r>
              <w:rPr>
                <w:rStyle w:val="Strong"/>
                <w:sz w:val="20"/>
                <w:szCs w:val="20"/>
              </w:rPr>
              <w:t>Total operating costs and expenses</w:t>
            </w:r>
          </w:p>
        </w:tc>
        <w:tc>
          <w:tcPr>
            <w:tcW w:w="50" w:type="pct"/>
            <w:shd w:val="clear" w:color="auto" w:fill="FFFFFF"/>
            <w:noWrap/>
            <w:vAlign w:val="center"/>
            <w:hideMark/>
          </w:tcPr>
          <w:p w14:paraId="70E4C0B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2C323A6"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633B5D10" w14:textId="77777777" w:rsidR="00000000" w:rsidRDefault="00EB4933">
            <w:pPr>
              <w:jc w:val="right"/>
              <w:rPr>
                <w:rFonts w:eastAsia="Times New Roman"/>
                <w:sz w:val="20"/>
                <w:szCs w:val="20"/>
              </w:rPr>
            </w:pPr>
            <w:r>
              <w:rPr>
                <w:rFonts w:eastAsia="Times New Roman"/>
                <w:sz w:val="20"/>
                <w:szCs w:val="20"/>
              </w:rPr>
              <w:t>(14,531</w:t>
            </w:r>
          </w:p>
        </w:tc>
        <w:tc>
          <w:tcPr>
            <w:tcW w:w="50" w:type="pct"/>
            <w:shd w:val="clear" w:color="auto" w:fill="FFFFFF"/>
            <w:noWrap/>
            <w:tcMar>
              <w:top w:w="0" w:type="dxa"/>
              <w:left w:w="0" w:type="dxa"/>
              <w:bottom w:w="15" w:type="dxa"/>
              <w:right w:w="0" w:type="dxa"/>
            </w:tcMar>
            <w:vAlign w:val="bottom"/>
            <w:hideMark/>
          </w:tcPr>
          <w:p w14:paraId="776E0CC5"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3ECD93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056630E"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4D22F9E2" w14:textId="77777777" w:rsidR="00000000" w:rsidRDefault="00EB4933">
            <w:pPr>
              <w:jc w:val="right"/>
              <w:rPr>
                <w:rFonts w:eastAsia="Times New Roman"/>
                <w:sz w:val="20"/>
                <w:szCs w:val="20"/>
              </w:rPr>
            </w:pPr>
            <w:r>
              <w:rPr>
                <w:rFonts w:eastAsia="Times New Roman"/>
                <w:sz w:val="20"/>
                <w:szCs w:val="20"/>
              </w:rPr>
              <w:t>(19,836</w:t>
            </w:r>
          </w:p>
        </w:tc>
        <w:tc>
          <w:tcPr>
            <w:tcW w:w="50" w:type="pct"/>
            <w:shd w:val="clear" w:color="auto" w:fill="FFFFFF"/>
            <w:noWrap/>
            <w:tcMar>
              <w:top w:w="0" w:type="dxa"/>
              <w:left w:w="0" w:type="dxa"/>
              <w:bottom w:w="15" w:type="dxa"/>
              <w:right w:w="0" w:type="dxa"/>
            </w:tcMar>
            <w:vAlign w:val="bottom"/>
            <w:hideMark/>
          </w:tcPr>
          <w:p w14:paraId="51D93F39"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65B4BA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772B06B"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15E6D5C9" w14:textId="77777777" w:rsidR="00000000" w:rsidRDefault="00EB4933">
            <w:pPr>
              <w:jc w:val="right"/>
              <w:rPr>
                <w:rFonts w:eastAsia="Times New Roman"/>
                <w:sz w:val="20"/>
                <w:szCs w:val="20"/>
              </w:rPr>
            </w:pPr>
            <w:r>
              <w:rPr>
                <w:rFonts w:eastAsia="Times New Roman"/>
                <w:sz w:val="20"/>
                <w:szCs w:val="20"/>
              </w:rPr>
              <w:t>(38,033</w:t>
            </w:r>
          </w:p>
        </w:tc>
        <w:tc>
          <w:tcPr>
            <w:tcW w:w="50" w:type="pct"/>
            <w:shd w:val="clear" w:color="auto" w:fill="FFFFFF"/>
            <w:noWrap/>
            <w:tcMar>
              <w:top w:w="0" w:type="dxa"/>
              <w:left w:w="0" w:type="dxa"/>
              <w:bottom w:w="15" w:type="dxa"/>
              <w:right w:w="0" w:type="dxa"/>
            </w:tcMar>
            <w:vAlign w:val="bottom"/>
            <w:hideMark/>
          </w:tcPr>
          <w:p w14:paraId="53A43C7C"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EB1514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3886178"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32100D6A" w14:textId="77777777" w:rsidR="00000000" w:rsidRDefault="00EB4933">
            <w:pPr>
              <w:jc w:val="right"/>
              <w:rPr>
                <w:rFonts w:eastAsia="Times New Roman"/>
                <w:sz w:val="20"/>
                <w:szCs w:val="20"/>
              </w:rPr>
            </w:pPr>
            <w:r>
              <w:rPr>
                <w:rFonts w:eastAsia="Times New Roman"/>
                <w:sz w:val="20"/>
                <w:szCs w:val="20"/>
              </w:rPr>
              <w:t>(22,162</w:t>
            </w:r>
          </w:p>
        </w:tc>
        <w:tc>
          <w:tcPr>
            <w:tcW w:w="50" w:type="pct"/>
            <w:shd w:val="clear" w:color="auto" w:fill="FFFFFF"/>
            <w:noWrap/>
            <w:tcMar>
              <w:top w:w="0" w:type="dxa"/>
              <w:left w:w="0" w:type="dxa"/>
              <w:bottom w:w="15" w:type="dxa"/>
              <w:right w:w="0" w:type="dxa"/>
            </w:tcMar>
            <w:vAlign w:val="bottom"/>
            <w:hideMark/>
          </w:tcPr>
          <w:p w14:paraId="2CDF66AA"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172425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768522E"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2825A699" w14:textId="77777777" w:rsidR="00000000" w:rsidRDefault="00EB4933">
            <w:pPr>
              <w:jc w:val="right"/>
              <w:rPr>
                <w:rFonts w:eastAsia="Times New Roman"/>
                <w:sz w:val="20"/>
                <w:szCs w:val="20"/>
              </w:rPr>
            </w:pPr>
            <w:r>
              <w:rPr>
                <w:rFonts w:eastAsia="Times New Roman"/>
                <w:sz w:val="20"/>
                <w:szCs w:val="20"/>
              </w:rPr>
              <w:t>(14,978</w:t>
            </w:r>
          </w:p>
        </w:tc>
        <w:tc>
          <w:tcPr>
            <w:tcW w:w="50" w:type="pct"/>
            <w:shd w:val="clear" w:color="auto" w:fill="FFFFFF"/>
            <w:noWrap/>
            <w:tcMar>
              <w:top w:w="0" w:type="dxa"/>
              <w:left w:w="0" w:type="dxa"/>
              <w:bottom w:w="15" w:type="dxa"/>
              <w:right w:w="0" w:type="dxa"/>
            </w:tcMar>
            <w:vAlign w:val="bottom"/>
            <w:hideMark/>
          </w:tcPr>
          <w:p w14:paraId="47750709"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F9BBAB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457AFAA"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72FADFDA" w14:textId="77777777" w:rsidR="00000000" w:rsidRDefault="00EB4933">
            <w:pPr>
              <w:jc w:val="right"/>
              <w:rPr>
                <w:rFonts w:eastAsia="Times New Roman"/>
                <w:sz w:val="20"/>
                <w:szCs w:val="20"/>
              </w:rPr>
            </w:pPr>
            <w:r>
              <w:rPr>
                <w:rFonts w:eastAsia="Times New Roman"/>
                <w:sz w:val="20"/>
                <w:szCs w:val="20"/>
              </w:rPr>
              <w:t>(2,152</w:t>
            </w:r>
          </w:p>
        </w:tc>
        <w:tc>
          <w:tcPr>
            <w:tcW w:w="50" w:type="pct"/>
            <w:shd w:val="clear" w:color="auto" w:fill="FFFFFF"/>
            <w:noWrap/>
            <w:tcMar>
              <w:top w:w="0" w:type="dxa"/>
              <w:left w:w="0" w:type="dxa"/>
              <w:bottom w:w="15" w:type="dxa"/>
              <w:right w:w="0" w:type="dxa"/>
            </w:tcMar>
            <w:vAlign w:val="bottom"/>
            <w:hideMark/>
          </w:tcPr>
          <w:p w14:paraId="1D6A98E5" w14:textId="77777777" w:rsidR="00000000" w:rsidRDefault="00EB4933">
            <w:pPr>
              <w:rPr>
                <w:rFonts w:eastAsia="Times New Roman"/>
                <w:sz w:val="20"/>
                <w:szCs w:val="20"/>
              </w:rPr>
            </w:pPr>
            <w:r>
              <w:rPr>
                <w:rFonts w:eastAsia="Times New Roman"/>
                <w:sz w:val="20"/>
                <w:szCs w:val="20"/>
              </w:rPr>
              <w:t>)</w:t>
            </w:r>
          </w:p>
        </w:tc>
      </w:tr>
      <w:tr w:rsidR="00000000" w14:paraId="497C006A" w14:textId="77777777">
        <w:trPr>
          <w:divId w:val="98525094"/>
          <w:trHeight w:val="225"/>
          <w:tblCellSpacing w:w="15" w:type="dxa"/>
        </w:trPr>
        <w:tc>
          <w:tcPr>
            <w:tcW w:w="0" w:type="auto"/>
            <w:shd w:val="clear" w:color="auto" w:fill="CCEEFF"/>
            <w:vAlign w:val="center"/>
            <w:hideMark/>
          </w:tcPr>
          <w:p w14:paraId="2C82125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06696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064712"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35E14F4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AB83E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EF18D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98E299"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3039D00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EEDBE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77500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4653AB"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4B049E4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3853B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EFA7F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0B491B"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7700683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AC381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F19AD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CEBA18"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32C6123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B4DC1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6BFC4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B90F5F"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center"/>
            <w:hideMark/>
          </w:tcPr>
          <w:p w14:paraId="378F8D8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360C21" w14:textId="77777777" w:rsidR="00000000" w:rsidRDefault="00EB4933">
            <w:pPr>
              <w:pStyle w:val="NormalWeb"/>
              <w:spacing w:before="0" w:beforeAutospacing="0" w:after="0" w:afterAutospacing="0"/>
              <w:rPr>
                <w:sz w:val="20"/>
                <w:szCs w:val="20"/>
              </w:rPr>
            </w:pPr>
            <w:r>
              <w:rPr>
                <w:sz w:val="20"/>
                <w:szCs w:val="20"/>
              </w:rPr>
              <w:t> </w:t>
            </w:r>
          </w:p>
        </w:tc>
      </w:tr>
      <w:tr w:rsidR="00000000" w14:paraId="088214A8" w14:textId="77777777">
        <w:trPr>
          <w:divId w:val="98525094"/>
          <w:trHeight w:val="225"/>
          <w:tblCellSpacing w:w="15" w:type="dxa"/>
        </w:trPr>
        <w:tc>
          <w:tcPr>
            <w:tcW w:w="0" w:type="auto"/>
            <w:shd w:val="clear" w:color="auto" w:fill="FFFFFF"/>
            <w:hideMark/>
          </w:tcPr>
          <w:p w14:paraId="3528C5B7" w14:textId="77777777" w:rsidR="00000000" w:rsidRDefault="00EB4933">
            <w:pPr>
              <w:pStyle w:val="NormalWeb"/>
              <w:spacing w:before="0" w:beforeAutospacing="0" w:after="0" w:afterAutospacing="0"/>
              <w:rPr>
                <w:sz w:val="20"/>
                <w:szCs w:val="20"/>
              </w:rPr>
            </w:pPr>
            <w:r>
              <w:rPr>
                <w:sz w:val="20"/>
                <w:szCs w:val="20"/>
              </w:rPr>
              <w:t>Profit before income taxes</w:t>
            </w:r>
          </w:p>
        </w:tc>
        <w:tc>
          <w:tcPr>
            <w:tcW w:w="50" w:type="pct"/>
            <w:shd w:val="clear" w:color="auto" w:fill="FFFFFF"/>
            <w:noWrap/>
            <w:vAlign w:val="center"/>
            <w:hideMark/>
          </w:tcPr>
          <w:p w14:paraId="7835C3D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A6D816"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8BC9AD6" w14:textId="77777777" w:rsidR="00000000" w:rsidRDefault="00EB4933">
            <w:pPr>
              <w:jc w:val="right"/>
              <w:rPr>
                <w:rFonts w:eastAsia="Times New Roman"/>
                <w:sz w:val="20"/>
                <w:szCs w:val="20"/>
              </w:rPr>
            </w:pPr>
            <w:r>
              <w:rPr>
                <w:rFonts w:eastAsia="Times New Roman"/>
                <w:sz w:val="20"/>
                <w:szCs w:val="20"/>
              </w:rPr>
              <w:t>54,696</w:t>
            </w:r>
          </w:p>
        </w:tc>
        <w:tc>
          <w:tcPr>
            <w:tcW w:w="50" w:type="pct"/>
            <w:shd w:val="clear" w:color="auto" w:fill="FFFFFF"/>
            <w:noWrap/>
            <w:vAlign w:val="center"/>
            <w:hideMark/>
          </w:tcPr>
          <w:p w14:paraId="368CCB3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5D2E7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CD30A6"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9D035D5" w14:textId="77777777" w:rsidR="00000000" w:rsidRDefault="00EB4933">
            <w:pPr>
              <w:jc w:val="right"/>
              <w:rPr>
                <w:rFonts w:eastAsia="Times New Roman"/>
                <w:sz w:val="20"/>
                <w:szCs w:val="20"/>
              </w:rPr>
            </w:pPr>
            <w:r>
              <w:rPr>
                <w:rFonts w:eastAsia="Times New Roman"/>
                <w:sz w:val="20"/>
                <w:szCs w:val="20"/>
              </w:rPr>
              <w:t>57,169</w:t>
            </w:r>
          </w:p>
        </w:tc>
        <w:tc>
          <w:tcPr>
            <w:tcW w:w="50" w:type="pct"/>
            <w:shd w:val="clear" w:color="auto" w:fill="FFFFFF"/>
            <w:noWrap/>
            <w:vAlign w:val="center"/>
            <w:hideMark/>
          </w:tcPr>
          <w:p w14:paraId="73AE0AF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E67BD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2AD609"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D61B76B" w14:textId="77777777" w:rsidR="00000000" w:rsidRDefault="00EB4933">
            <w:pPr>
              <w:jc w:val="right"/>
              <w:rPr>
                <w:rFonts w:eastAsia="Times New Roman"/>
                <w:sz w:val="20"/>
                <w:szCs w:val="20"/>
              </w:rPr>
            </w:pPr>
            <w:r>
              <w:rPr>
                <w:rFonts w:eastAsia="Times New Roman"/>
                <w:sz w:val="20"/>
                <w:szCs w:val="20"/>
              </w:rPr>
              <w:t>44,376</w:t>
            </w:r>
          </w:p>
        </w:tc>
        <w:tc>
          <w:tcPr>
            <w:tcW w:w="50" w:type="pct"/>
            <w:shd w:val="clear" w:color="auto" w:fill="FFFFFF"/>
            <w:noWrap/>
            <w:vAlign w:val="center"/>
            <w:hideMark/>
          </w:tcPr>
          <w:p w14:paraId="48C6346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D61F0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720D51"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5759CF1" w14:textId="77777777" w:rsidR="00000000" w:rsidRDefault="00EB4933">
            <w:pPr>
              <w:jc w:val="right"/>
              <w:rPr>
                <w:rFonts w:eastAsia="Times New Roman"/>
                <w:sz w:val="20"/>
                <w:szCs w:val="20"/>
              </w:rPr>
            </w:pPr>
            <w:r>
              <w:rPr>
                <w:rFonts w:eastAsia="Times New Roman"/>
                <w:sz w:val="20"/>
                <w:szCs w:val="20"/>
              </w:rPr>
              <w:t>26,188</w:t>
            </w:r>
          </w:p>
        </w:tc>
        <w:tc>
          <w:tcPr>
            <w:tcW w:w="50" w:type="pct"/>
            <w:shd w:val="clear" w:color="auto" w:fill="FFFFFF"/>
            <w:noWrap/>
            <w:vAlign w:val="center"/>
            <w:hideMark/>
          </w:tcPr>
          <w:p w14:paraId="2C128C1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950D3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290665"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BE71D7F" w14:textId="77777777" w:rsidR="00000000" w:rsidRDefault="00EB4933">
            <w:pPr>
              <w:jc w:val="right"/>
              <w:rPr>
                <w:rFonts w:eastAsia="Times New Roman"/>
                <w:sz w:val="20"/>
                <w:szCs w:val="20"/>
              </w:rPr>
            </w:pPr>
            <w:r>
              <w:rPr>
                <w:rFonts w:eastAsia="Times New Roman"/>
                <w:sz w:val="20"/>
                <w:szCs w:val="20"/>
              </w:rPr>
              <w:t>58,616</w:t>
            </w:r>
          </w:p>
        </w:tc>
        <w:tc>
          <w:tcPr>
            <w:tcW w:w="50" w:type="pct"/>
            <w:shd w:val="clear" w:color="auto" w:fill="FFFFFF"/>
            <w:noWrap/>
            <w:vAlign w:val="center"/>
            <w:hideMark/>
          </w:tcPr>
          <w:p w14:paraId="0C634B9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5760A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24CCFA"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DD85D86" w14:textId="77777777" w:rsidR="00000000" w:rsidRDefault="00EB4933">
            <w:pPr>
              <w:jc w:val="right"/>
              <w:rPr>
                <w:rFonts w:eastAsia="Times New Roman"/>
                <w:sz w:val="20"/>
                <w:szCs w:val="20"/>
              </w:rPr>
            </w:pPr>
            <w:r>
              <w:rPr>
                <w:rFonts w:eastAsia="Times New Roman"/>
                <w:sz w:val="20"/>
                <w:szCs w:val="20"/>
              </w:rPr>
              <w:t>8,419</w:t>
            </w:r>
          </w:p>
        </w:tc>
        <w:tc>
          <w:tcPr>
            <w:tcW w:w="50" w:type="pct"/>
            <w:shd w:val="clear" w:color="auto" w:fill="FFFFFF"/>
            <w:noWrap/>
            <w:vAlign w:val="center"/>
            <w:hideMark/>
          </w:tcPr>
          <w:p w14:paraId="3088BB31" w14:textId="77777777" w:rsidR="00000000" w:rsidRDefault="00EB4933">
            <w:pPr>
              <w:pStyle w:val="NormalWeb"/>
              <w:spacing w:before="0" w:beforeAutospacing="0" w:after="0" w:afterAutospacing="0"/>
              <w:rPr>
                <w:sz w:val="20"/>
                <w:szCs w:val="20"/>
              </w:rPr>
            </w:pPr>
            <w:r>
              <w:rPr>
                <w:sz w:val="20"/>
                <w:szCs w:val="20"/>
              </w:rPr>
              <w:t> </w:t>
            </w:r>
          </w:p>
        </w:tc>
      </w:tr>
      <w:tr w:rsidR="00000000" w14:paraId="7D7EAD67" w14:textId="77777777">
        <w:trPr>
          <w:divId w:val="98525094"/>
          <w:trHeight w:val="225"/>
          <w:tblCellSpacing w:w="15" w:type="dxa"/>
        </w:trPr>
        <w:tc>
          <w:tcPr>
            <w:tcW w:w="0" w:type="auto"/>
            <w:shd w:val="clear" w:color="auto" w:fill="CCEEFF"/>
            <w:hideMark/>
          </w:tcPr>
          <w:p w14:paraId="015F19F2" w14:textId="77777777" w:rsidR="00000000" w:rsidRDefault="00EB4933">
            <w:pPr>
              <w:pStyle w:val="NormalWeb"/>
              <w:spacing w:before="0" w:beforeAutospacing="0" w:after="0" w:afterAutospacing="0"/>
              <w:rPr>
                <w:sz w:val="20"/>
                <w:szCs w:val="20"/>
              </w:rPr>
            </w:pPr>
            <w:r>
              <w:rPr>
                <w:sz w:val="20"/>
                <w:szCs w:val="20"/>
              </w:rPr>
              <w:t>Income tax expense</w:t>
            </w:r>
          </w:p>
        </w:tc>
        <w:tc>
          <w:tcPr>
            <w:tcW w:w="50" w:type="pct"/>
            <w:shd w:val="clear" w:color="auto" w:fill="CCEEFF"/>
            <w:noWrap/>
            <w:vAlign w:val="center"/>
            <w:hideMark/>
          </w:tcPr>
          <w:p w14:paraId="3873132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1B1DE5D"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0FAC6104" w14:textId="77777777" w:rsidR="00000000" w:rsidRDefault="00EB4933">
            <w:pPr>
              <w:jc w:val="right"/>
              <w:rPr>
                <w:rFonts w:eastAsia="Times New Roman"/>
                <w:sz w:val="20"/>
                <w:szCs w:val="20"/>
              </w:rPr>
            </w:pPr>
            <w:r>
              <w:rPr>
                <w:rFonts w:eastAsia="Times New Roman"/>
                <w:sz w:val="20"/>
                <w:szCs w:val="20"/>
              </w:rPr>
              <w:t>(17,841</w:t>
            </w:r>
          </w:p>
        </w:tc>
        <w:tc>
          <w:tcPr>
            <w:tcW w:w="50" w:type="pct"/>
            <w:shd w:val="clear" w:color="auto" w:fill="CCEEFF"/>
            <w:noWrap/>
            <w:tcMar>
              <w:top w:w="0" w:type="dxa"/>
              <w:left w:w="0" w:type="dxa"/>
              <w:bottom w:w="15" w:type="dxa"/>
              <w:right w:w="0" w:type="dxa"/>
            </w:tcMar>
            <w:vAlign w:val="bottom"/>
            <w:hideMark/>
          </w:tcPr>
          <w:p w14:paraId="63129803"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B5EA8D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97F522F"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0480C35F" w14:textId="77777777" w:rsidR="00000000" w:rsidRDefault="00EB4933">
            <w:pPr>
              <w:jc w:val="right"/>
              <w:rPr>
                <w:rFonts w:eastAsia="Times New Roman"/>
                <w:sz w:val="20"/>
                <w:szCs w:val="20"/>
              </w:rPr>
            </w:pPr>
            <w:r>
              <w:rPr>
                <w:rFonts w:eastAsia="Times New Roman"/>
                <w:sz w:val="20"/>
                <w:szCs w:val="20"/>
              </w:rPr>
              <w:t>(15,221</w:t>
            </w:r>
          </w:p>
        </w:tc>
        <w:tc>
          <w:tcPr>
            <w:tcW w:w="50" w:type="pct"/>
            <w:shd w:val="clear" w:color="auto" w:fill="CCEEFF"/>
            <w:noWrap/>
            <w:tcMar>
              <w:top w:w="0" w:type="dxa"/>
              <w:left w:w="0" w:type="dxa"/>
              <w:bottom w:w="15" w:type="dxa"/>
              <w:right w:w="0" w:type="dxa"/>
            </w:tcMar>
            <w:vAlign w:val="bottom"/>
            <w:hideMark/>
          </w:tcPr>
          <w:p w14:paraId="5AD3D55F"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BAD90C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C96FD87"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6788ED78" w14:textId="77777777" w:rsidR="00000000" w:rsidRDefault="00EB4933">
            <w:pPr>
              <w:jc w:val="right"/>
              <w:rPr>
                <w:rFonts w:eastAsia="Times New Roman"/>
                <w:sz w:val="20"/>
                <w:szCs w:val="20"/>
              </w:rPr>
            </w:pPr>
            <w:r>
              <w:rPr>
                <w:rFonts w:eastAsia="Times New Roman"/>
                <w:sz w:val="20"/>
                <w:szCs w:val="20"/>
              </w:rPr>
              <w:t>(15,550</w:t>
            </w:r>
          </w:p>
        </w:tc>
        <w:tc>
          <w:tcPr>
            <w:tcW w:w="50" w:type="pct"/>
            <w:shd w:val="clear" w:color="auto" w:fill="CCEEFF"/>
            <w:noWrap/>
            <w:tcMar>
              <w:top w:w="0" w:type="dxa"/>
              <w:left w:w="0" w:type="dxa"/>
              <w:bottom w:w="15" w:type="dxa"/>
              <w:right w:w="0" w:type="dxa"/>
            </w:tcMar>
            <w:vAlign w:val="bottom"/>
            <w:hideMark/>
          </w:tcPr>
          <w:p w14:paraId="0B0B1519"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335274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930249B"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76F94464" w14:textId="77777777" w:rsidR="00000000" w:rsidRDefault="00EB4933">
            <w:pPr>
              <w:jc w:val="right"/>
              <w:rPr>
                <w:rFonts w:eastAsia="Times New Roman"/>
                <w:sz w:val="20"/>
                <w:szCs w:val="20"/>
              </w:rPr>
            </w:pPr>
            <w:r>
              <w:rPr>
                <w:rFonts w:eastAsia="Times New Roman"/>
                <w:sz w:val="20"/>
                <w:szCs w:val="20"/>
              </w:rPr>
              <w:t>(18,033</w:t>
            </w:r>
          </w:p>
        </w:tc>
        <w:tc>
          <w:tcPr>
            <w:tcW w:w="50" w:type="pct"/>
            <w:shd w:val="clear" w:color="auto" w:fill="CCEEFF"/>
            <w:noWrap/>
            <w:tcMar>
              <w:top w:w="0" w:type="dxa"/>
              <w:left w:w="0" w:type="dxa"/>
              <w:bottom w:w="15" w:type="dxa"/>
              <w:right w:w="0" w:type="dxa"/>
            </w:tcMar>
            <w:vAlign w:val="bottom"/>
            <w:hideMark/>
          </w:tcPr>
          <w:p w14:paraId="53C1BAB8"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A25119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B1FB0A9"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59C8F3B9"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0D3AE01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B4A58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B401D70"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65B63E42"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1B7F4B76" w14:textId="77777777" w:rsidR="00000000" w:rsidRDefault="00EB4933">
            <w:pPr>
              <w:pStyle w:val="NormalWeb"/>
              <w:spacing w:before="0" w:beforeAutospacing="0" w:after="0" w:afterAutospacing="0"/>
              <w:rPr>
                <w:sz w:val="20"/>
                <w:szCs w:val="20"/>
              </w:rPr>
            </w:pPr>
            <w:r>
              <w:rPr>
                <w:sz w:val="20"/>
                <w:szCs w:val="20"/>
              </w:rPr>
              <w:t> </w:t>
            </w:r>
          </w:p>
        </w:tc>
      </w:tr>
      <w:tr w:rsidR="00000000" w14:paraId="1C2B3E0C" w14:textId="77777777">
        <w:trPr>
          <w:divId w:val="98525094"/>
          <w:trHeight w:val="225"/>
          <w:tblCellSpacing w:w="15" w:type="dxa"/>
        </w:trPr>
        <w:tc>
          <w:tcPr>
            <w:tcW w:w="0" w:type="auto"/>
            <w:shd w:val="clear" w:color="auto" w:fill="FFFFFF"/>
            <w:hideMark/>
          </w:tcPr>
          <w:p w14:paraId="7FCF49D1" w14:textId="77777777" w:rsidR="00000000" w:rsidRDefault="00EB4933">
            <w:pPr>
              <w:pStyle w:val="NormalWeb"/>
              <w:spacing w:before="0" w:beforeAutospacing="0" w:after="0" w:afterAutospacing="0"/>
              <w:rPr>
                <w:sz w:val="20"/>
                <w:szCs w:val="20"/>
              </w:rPr>
            </w:pPr>
            <w:r>
              <w:rPr>
                <w:sz w:val="20"/>
                <w:szCs w:val="20"/>
              </w:rPr>
              <w:t>Net profit</w:t>
            </w:r>
          </w:p>
        </w:tc>
        <w:tc>
          <w:tcPr>
            <w:tcW w:w="50" w:type="pct"/>
            <w:shd w:val="clear" w:color="auto" w:fill="FFFFFF"/>
            <w:noWrap/>
            <w:vAlign w:val="center"/>
            <w:hideMark/>
          </w:tcPr>
          <w:p w14:paraId="4E4FCB7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663C72E8"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FFFFFF"/>
            <w:vAlign w:val="bottom"/>
            <w:hideMark/>
          </w:tcPr>
          <w:p w14:paraId="38112BB6" w14:textId="77777777" w:rsidR="00000000" w:rsidRDefault="00EB4933">
            <w:pPr>
              <w:jc w:val="right"/>
              <w:rPr>
                <w:rFonts w:eastAsia="Times New Roman"/>
                <w:sz w:val="20"/>
                <w:szCs w:val="20"/>
              </w:rPr>
            </w:pPr>
            <w:r>
              <w:rPr>
                <w:rFonts w:eastAsia="Times New Roman"/>
                <w:sz w:val="20"/>
                <w:szCs w:val="20"/>
              </w:rPr>
              <w:t>36,855</w:t>
            </w:r>
          </w:p>
        </w:tc>
        <w:tc>
          <w:tcPr>
            <w:tcW w:w="50" w:type="pct"/>
            <w:shd w:val="clear" w:color="auto" w:fill="FFFFFF"/>
            <w:noWrap/>
            <w:tcMar>
              <w:top w:w="0" w:type="dxa"/>
              <w:left w:w="0" w:type="dxa"/>
              <w:bottom w:w="45" w:type="dxa"/>
              <w:right w:w="0" w:type="dxa"/>
            </w:tcMar>
            <w:vAlign w:val="center"/>
            <w:hideMark/>
          </w:tcPr>
          <w:p w14:paraId="05C6C18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FA4A4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01006C86"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FFFFFF"/>
            <w:vAlign w:val="bottom"/>
            <w:hideMark/>
          </w:tcPr>
          <w:p w14:paraId="08500548" w14:textId="77777777" w:rsidR="00000000" w:rsidRDefault="00EB4933">
            <w:pPr>
              <w:jc w:val="right"/>
              <w:rPr>
                <w:rFonts w:eastAsia="Times New Roman"/>
                <w:sz w:val="20"/>
                <w:szCs w:val="20"/>
              </w:rPr>
            </w:pPr>
            <w:r>
              <w:rPr>
                <w:rFonts w:eastAsia="Times New Roman"/>
                <w:sz w:val="20"/>
                <w:szCs w:val="20"/>
              </w:rPr>
              <w:t>41,948</w:t>
            </w:r>
          </w:p>
        </w:tc>
        <w:tc>
          <w:tcPr>
            <w:tcW w:w="50" w:type="pct"/>
            <w:shd w:val="clear" w:color="auto" w:fill="FFFFFF"/>
            <w:noWrap/>
            <w:tcMar>
              <w:top w:w="0" w:type="dxa"/>
              <w:left w:w="0" w:type="dxa"/>
              <w:bottom w:w="45" w:type="dxa"/>
              <w:right w:w="0" w:type="dxa"/>
            </w:tcMar>
            <w:vAlign w:val="center"/>
            <w:hideMark/>
          </w:tcPr>
          <w:p w14:paraId="00E7624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B1982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03267F94"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FFFFFF"/>
            <w:vAlign w:val="bottom"/>
            <w:hideMark/>
          </w:tcPr>
          <w:p w14:paraId="76F8F39B" w14:textId="77777777" w:rsidR="00000000" w:rsidRDefault="00EB4933">
            <w:pPr>
              <w:jc w:val="right"/>
              <w:rPr>
                <w:rFonts w:eastAsia="Times New Roman"/>
                <w:sz w:val="20"/>
                <w:szCs w:val="20"/>
              </w:rPr>
            </w:pPr>
            <w:r>
              <w:rPr>
                <w:rFonts w:eastAsia="Times New Roman"/>
                <w:sz w:val="20"/>
                <w:szCs w:val="20"/>
              </w:rPr>
              <w:t>28,826</w:t>
            </w:r>
          </w:p>
        </w:tc>
        <w:tc>
          <w:tcPr>
            <w:tcW w:w="50" w:type="pct"/>
            <w:shd w:val="clear" w:color="auto" w:fill="FFFFFF"/>
            <w:noWrap/>
            <w:tcMar>
              <w:top w:w="0" w:type="dxa"/>
              <w:left w:w="0" w:type="dxa"/>
              <w:bottom w:w="45" w:type="dxa"/>
              <w:right w:w="0" w:type="dxa"/>
            </w:tcMar>
            <w:vAlign w:val="center"/>
            <w:hideMark/>
          </w:tcPr>
          <w:p w14:paraId="47A66CE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ACEAE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42BC8BF7"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FFFFFF"/>
            <w:vAlign w:val="bottom"/>
            <w:hideMark/>
          </w:tcPr>
          <w:p w14:paraId="565259B9" w14:textId="77777777" w:rsidR="00000000" w:rsidRDefault="00EB4933">
            <w:pPr>
              <w:jc w:val="right"/>
              <w:rPr>
                <w:rFonts w:eastAsia="Times New Roman"/>
                <w:sz w:val="20"/>
                <w:szCs w:val="20"/>
              </w:rPr>
            </w:pPr>
            <w:r>
              <w:rPr>
                <w:rFonts w:eastAsia="Times New Roman"/>
                <w:sz w:val="20"/>
                <w:szCs w:val="20"/>
              </w:rPr>
              <w:t>8,155</w:t>
            </w:r>
          </w:p>
        </w:tc>
        <w:tc>
          <w:tcPr>
            <w:tcW w:w="50" w:type="pct"/>
            <w:shd w:val="clear" w:color="auto" w:fill="FFFFFF"/>
            <w:noWrap/>
            <w:tcMar>
              <w:top w:w="0" w:type="dxa"/>
              <w:left w:w="0" w:type="dxa"/>
              <w:bottom w:w="45" w:type="dxa"/>
              <w:right w:w="0" w:type="dxa"/>
            </w:tcMar>
            <w:vAlign w:val="center"/>
            <w:hideMark/>
          </w:tcPr>
          <w:p w14:paraId="3048E3A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514DA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051D32C0"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FFFFFF"/>
            <w:vAlign w:val="bottom"/>
            <w:hideMark/>
          </w:tcPr>
          <w:p w14:paraId="4C30A805" w14:textId="77777777" w:rsidR="00000000" w:rsidRDefault="00EB4933">
            <w:pPr>
              <w:jc w:val="right"/>
              <w:rPr>
                <w:rFonts w:eastAsia="Times New Roman"/>
                <w:sz w:val="20"/>
                <w:szCs w:val="20"/>
              </w:rPr>
            </w:pPr>
            <w:r>
              <w:rPr>
                <w:rFonts w:eastAsia="Times New Roman"/>
                <w:sz w:val="20"/>
                <w:szCs w:val="20"/>
              </w:rPr>
              <w:t>58,616</w:t>
            </w:r>
          </w:p>
        </w:tc>
        <w:tc>
          <w:tcPr>
            <w:tcW w:w="50" w:type="pct"/>
            <w:shd w:val="clear" w:color="auto" w:fill="FFFFFF"/>
            <w:noWrap/>
            <w:tcMar>
              <w:top w:w="0" w:type="dxa"/>
              <w:left w:w="0" w:type="dxa"/>
              <w:bottom w:w="45" w:type="dxa"/>
              <w:right w:w="0" w:type="dxa"/>
            </w:tcMar>
            <w:vAlign w:val="center"/>
            <w:hideMark/>
          </w:tcPr>
          <w:p w14:paraId="01AAB17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67006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6687C8B6"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FFFFFF"/>
            <w:vAlign w:val="bottom"/>
            <w:hideMark/>
          </w:tcPr>
          <w:p w14:paraId="022BD5AA" w14:textId="77777777" w:rsidR="00000000" w:rsidRDefault="00EB4933">
            <w:pPr>
              <w:jc w:val="right"/>
              <w:rPr>
                <w:rFonts w:eastAsia="Times New Roman"/>
                <w:sz w:val="20"/>
                <w:szCs w:val="20"/>
              </w:rPr>
            </w:pPr>
            <w:r>
              <w:rPr>
                <w:rFonts w:eastAsia="Times New Roman"/>
                <w:sz w:val="20"/>
                <w:szCs w:val="20"/>
              </w:rPr>
              <w:t>8,419</w:t>
            </w:r>
          </w:p>
        </w:tc>
        <w:tc>
          <w:tcPr>
            <w:tcW w:w="50" w:type="pct"/>
            <w:shd w:val="clear" w:color="auto" w:fill="FFFFFF"/>
            <w:noWrap/>
            <w:tcMar>
              <w:top w:w="0" w:type="dxa"/>
              <w:left w:w="0" w:type="dxa"/>
              <w:bottom w:w="45" w:type="dxa"/>
              <w:right w:w="0" w:type="dxa"/>
            </w:tcMar>
            <w:vAlign w:val="center"/>
            <w:hideMark/>
          </w:tcPr>
          <w:p w14:paraId="66B07FFF" w14:textId="77777777" w:rsidR="00000000" w:rsidRDefault="00EB4933">
            <w:pPr>
              <w:pStyle w:val="NormalWeb"/>
              <w:spacing w:before="0" w:beforeAutospacing="0" w:after="0" w:afterAutospacing="0"/>
              <w:rPr>
                <w:sz w:val="20"/>
                <w:szCs w:val="20"/>
              </w:rPr>
            </w:pPr>
            <w:r>
              <w:rPr>
                <w:sz w:val="20"/>
                <w:szCs w:val="20"/>
              </w:rPr>
              <w:t> </w:t>
            </w:r>
          </w:p>
        </w:tc>
      </w:tr>
    </w:tbl>
    <w:p w14:paraId="41F805C3"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38AA3894" w14:textId="77777777">
        <w:trPr>
          <w:divId w:val="98525094"/>
          <w:trHeight w:val="225"/>
          <w:tblCellSpacing w:w="15" w:type="dxa"/>
        </w:trPr>
        <w:tc>
          <w:tcPr>
            <w:tcW w:w="200" w:type="pct"/>
            <w:hideMark/>
          </w:tcPr>
          <w:p w14:paraId="6301D48B" w14:textId="77777777" w:rsidR="00000000" w:rsidRDefault="00EB4933">
            <w:pPr>
              <w:pStyle w:val="NormalWeb"/>
              <w:spacing w:before="0" w:beforeAutospacing="0" w:after="0" w:afterAutospacing="0"/>
              <w:rPr>
                <w:sz w:val="20"/>
                <w:szCs w:val="20"/>
              </w:rPr>
            </w:pPr>
            <w:r>
              <w:rPr>
                <w:sz w:val="20"/>
                <w:szCs w:val="20"/>
              </w:rPr>
              <w:t xml:space="preserve">(1) </w:t>
            </w:r>
          </w:p>
        </w:tc>
        <w:tc>
          <w:tcPr>
            <w:tcW w:w="0" w:type="auto"/>
            <w:hideMark/>
          </w:tcPr>
          <w:p w14:paraId="5843B601" w14:textId="77777777" w:rsidR="00000000" w:rsidRDefault="00EB4933">
            <w:pPr>
              <w:rPr>
                <w:rFonts w:eastAsia="Times New Roman"/>
                <w:sz w:val="20"/>
                <w:szCs w:val="20"/>
              </w:rPr>
            </w:pPr>
            <w:r>
              <w:rPr>
                <w:rFonts w:eastAsia="Times New Roman"/>
                <w:sz w:val="20"/>
                <w:szCs w:val="20"/>
              </w:rPr>
              <w:t>Information has been restated in order to cor</w:t>
            </w:r>
            <w:r>
              <w:rPr>
                <w:rFonts w:eastAsia="Times New Roman"/>
                <w:sz w:val="20"/>
                <w:szCs w:val="20"/>
              </w:rPr>
              <w:t xml:space="preserve">rect certain accounting errors. See Note 30 of Notes to Consolidated Financial Statements. </w:t>
            </w:r>
          </w:p>
        </w:tc>
      </w:tr>
    </w:tbl>
    <w:p w14:paraId="75495509"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6E2BA11" w14:textId="77777777">
        <w:trPr>
          <w:divId w:val="98525094"/>
          <w:trHeight w:val="225"/>
          <w:tblCellSpacing w:w="15" w:type="dxa"/>
        </w:trPr>
        <w:tc>
          <w:tcPr>
            <w:tcW w:w="0" w:type="auto"/>
            <w:vAlign w:val="center"/>
            <w:hideMark/>
          </w:tcPr>
          <w:p w14:paraId="19504138" w14:textId="77777777" w:rsidR="00000000" w:rsidRDefault="00EB4933">
            <w:pPr>
              <w:rPr>
                <w:rFonts w:eastAsia="Times New Roman"/>
                <w:sz w:val="20"/>
                <w:szCs w:val="20"/>
              </w:rPr>
            </w:pPr>
            <w:r>
              <w:rPr>
                <w:rFonts w:eastAsia="Times New Roman"/>
                <w:sz w:val="20"/>
                <w:szCs w:val="20"/>
              </w:rPr>
              <w:t> </w:t>
            </w:r>
          </w:p>
        </w:tc>
      </w:tr>
      <w:tr w:rsidR="00000000" w14:paraId="7742841A" w14:textId="77777777">
        <w:trPr>
          <w:divId w:val="98525094"/>
          <w:trHeight w:val="225"/>
          <w:tblCellSpacing w:w="15" w:type="dxa"/>
        </w:trPr>
        <w:tc>
          <w:tcPr>
            <w:tcW w:w="0" w:type="auto"/>
            <w:tcBorders>
              <w:bottom w:val="single" w:sz="6" w:space="0" w:color="000000"/>
            </w:tcBorders>
            <w:vAlign w:val="center"/>
            <w:hideMark/>
          </w:tcPr>
          <w:p w14:paraId="3308E4E9" w14:textId="77777777" w:rsidR="00000000" w:rsidRDefault="00EB4933">
            <w:pPr>
              <w:jc w:val="center"/>
              <w:rPr>
                <w:rFonts w:eastAsia="Times New Roman"/>
                <w:sz w:val="20"/>
                <w:szCs w:val="20"/>
              </w:rPr>
            </w:pPr>
            <w:r>
              <w:rPr>
                <w:rFonts w:eastAsia="Times New Roman"/>
                <w:sz w:val="20"/>
                <w:szCs w:val="20"/>
              </w:rPr>
              <w:t>9</w:t>
            </w:r>
          </w:p>
        </w:tc>
      </w:tr>
      <w:tr w:rsidR="00000000" w14:paraId="29655020" w14:textId="77777777">
        <w:trPr>
          <w:divId w:val="98525094"/>
          <w:trHeight w:val="225"/>
          <w:tblCellSpacing w:w="15" w:type="dxa"/>
        </w:trPr>
        <w:tc>
          <w:tcPr>
            <w:tcW w:w="0" w:type="auto"/>
            <w:vAlign w:val="center"/>
            <w:hideMark/>
          </w:tcPr>
          <w:p w14:paraId="4DD2C1E5" w14:textId="77777777" w:rsidR="00000000" w:rsidRDefault="00EB4933">
            <w:pPr>
              <w:rPr>
                <w:rFonts w:eastAsia="Times New Roman"/>
                <w:sz w:val="20"/>
                <w:szCs w:val="20"/>
              </w:rPr>
            </w:pPr>
          </w:p>
        </w:tc>
      </w:tr>
      <w:tr w:rsidR="00000000" w14:paraId="0834AF5A" w14:textId="77777777">
        <w:trPr>
          <w:divId w:val="98525094"/>
          <w:trHeight w:val="225"/>
          <w:tblCellSpacing w:w="15" w:type="dxa"/>
        </w:trPr>
        <w:tc>
          <w:tcPr>
            <w:tcW w:w="0" w:type="auto"/>
            <w:vAlign w:val="center"/>
            <w:hideMark/>
          </w:tcPr>
          <w:p w14:paraId="2EBF9E9D" w14:textId="77777777" w:rsidR="00000000" w:rsidRDefault="00EB4933">
            <w:pPr>
              <w:rPr>
                <w:rFonts w:eastAsia="Times New Roman"/>
                <w:sz w:val="20"/>
                <w:szCs w:val="20"/>
              </w:rPr>
            </w:pPr>
            <w:hyperlink r:id="rId69" w:anchor="toc" w:history="1">
              <w:r>
                <w:rPr>
                  <w:rStyle w:val="Hyperlink"/>
                  <w:rFonts w:eastAsia="Times New Roman"/>
                  <w:i/>
                  <w:iCs/>
                  <w:sz w:val="20"/>
                  <w:szCs w:val="20"/>
                </w:rPr>
                <w:t>Table of Contents</w:t>
              </w:r>
            </w:hyperlink>
          </w:p>
        </w:tc>
      </w:tr>
    </w:tbl>
    <w:p w14:paraId="6837B9A7"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889"/>
        <w:gridCol w:w="82"/>
        <w:gridCol w:w="82"/>
        <w:gridCol w:w="680"/>
        <w:gridCol w:w="82"/>
        <w:gridCol w:w="82"/>
        <w:gridCol w:w="82"/>
        <w:gridCol w:w="680"/>
        <w:gridCol w:w="82"/>
        <w:gridCol w:w="82"/>
        <w:gridCol w:w="82"/>
        <w:gridCol w:w="680"/>
        <w:gridCol w:w="82"/>
        <w:gridCol w:w="82"/>
        <w:gridCol w:w="82"/>
        <w:gridCol w:w="680"/>
        <w:gridCol w:w="82"/>
        <w:gridCol w:w="82"/>
        <w:gridCol w:w="82"/>
        <w:gridCol w:w="680"/>
        <w:gridCol w:w="82"/>
        <w:gridCol w:w="82"/>
        <w:gridCol w:w="82"/>
        <w:gridCol w:w="580"/>
        <w:gridCol w:w="97"/>
      </w:tblGrid>
      <w:tr w:rsidR="00000000" w14:paraId="771681C1" w14:textId="77777777">
        <w:trPr>
          <w:divId w:val="98525094"/>
          <w:trHeight w:val="225"/>
          <w:tblCellSpacing w:w="15" w:type="dxa"/>
        </w:trPr>
        <w:tc>
          <w:tcPr>
            <w:tcW w:w="0" w:type="auto"/>
            <w:vAlign w:val="center"/>
            <w:hideMark/>
          </w:tcPr>
          <w:p w14:paraId="3CDA3115"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999BE4F"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3"/>
            <w:tcBorders>
              <w:bottom w:val="single" w:sz="6" w:space="0" w:color="000000"/>
            </w:tcBorders>
            <w:vAlign w:val="bottom"/>
            <w:hideMark/>
          </w:tcPr>
          <w:p w14:paraId="3A26A1B5" w14:textId="77777777" w:rsidR="00000000" w:rsidRDefault="00EB4933">
            <w:pPr>
              <w:pStyle w:val="NormalWeb"/>
              <w:spacing w:before="0" w:beforeAutospacing="0" w:after="0" w:afterAutospacing="0"/>
              <w:jc w:val="center"/>
              <w:rPr>
                <w:sz w:val="20"/>
                <w:szCs w:val="20"/>
              </w:rPr>
            </w:pPr>
            <w:r>
              <w:rPr>
                <w:rStyle w:val="Strong"/>
                <w:sz w:val="20"/>
                <w:szCs w:val="20"/>
              </w:rPr>
              <w:t>As of December 31</w:t>
            </w:r>
          </w:p>
        </w:tc>
      </w:tr>
      <w:tr w:rsidR="00000000" w14:paraId="3A9F5B8B" w14:textId="77777777">
        <w:trPr>
          <w:divId w:val="98525094"/>
          <w:trHeight w:val="225"/>
          <w:tblCellSpacing w:w="15" w:type="dxa"/>
        </w:trPr>
        <w:tc>
          <w:tcPr>
            <w:tcW w:w="0" w:type="auto"/>
            <w:vAlign w:val="center"/>
            <w:hideMark/>
          </w:tcPr>
          <w:p w14:paraId="357CC39F"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E698401"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00F9DAA8" w14:textId="77777777" w:rsidR="00000000" w:rsidRDefault="00EB4933">
            <w:pPr>
              <w:pStyle w:val="NormalWeb"/>
              <w:spacing w:before="0" w:beforeAutospacing="0" w:after="0" w:afterAutospacing="0"/>
              <w:jc w:val="center"/>
              <w:rPr>
                <w:sz w:val="20"/>
                <w:szCs w:val="20"/>
              </w:rPr>
            </w:pPr>
            <w:r>
              <w:rPr>
                <w:rStyle w:val="Strong"/>
                <w:sz w:val="20"/>
                <w:szCs w:val="20"/>
              </w:rPr>
              <w:t>2015</w:t>
            </w:r>
          </w:p>
        </w:tc>
        <w:tc>
          <w:tcPr>
            <w:tcW w:w="0" w:type="auto"/>
            <w:noWrap/>
            <w:vAlign w:val="center"/>
            <w:hideMark/>
          </w:tcPr>
          <w:p w14:paraId="0C460CAB"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660A0FC"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740CD6F9" w14:textId="77777777" w:rsidR="00000000" w:rsidRDefault="00EB4933">
            <w:pPr>
              <w:pStyle w:val="NormalWeb"/>
              <w:spacing w:before="0" w:beforeAutospacing="0" w:after="0" w:afterAutospacing="0"/>
              <w:jc w:val="center"/>
              <w:rPr>
                <w:sz w:val="20"/>
                <w:szCs w:val="20"/>
              </w:rPr>
            </w:pPr>
            <w:r>
              <w:rPr>
                <w:rStyle w:val="Strong"/>
                <w:sz w:val="20"/>
                <w:szCs w:val="20"/>
              </w:rPr>
              <w:t>2016</w:t>
            </w:r>
          </w:p>
        </w:tc>
        <w:tc>
          <w:tcPr>
            <w:tcW w:w="0" w:type="auto"/>
            <w:noWrap/>
            <w:vAlign w:val="center"/>
            <w:hideMark/>
          </w:tcPr>
          <w:p w14:paraId="2B9FF49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276E826"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16B4C27D" w14:textId="77777777" w:rsidR="00000000" w:rsidRDefault="00EB4933">
            <w:pPr>
              <w:pStyle w:val="NormalWeb"/>
              <w:spacing w:before="0" w:beforeAutospacing="0" w:after="0" w:afterAutospacing="0"/>
              <w:jc w:val="center"/>
              <w:rPr>
                <w:sz w:val="20"/>
                <w:szCs w:val="20"/>
              </w:rPr>
            </w:pPr>
            <w:r>
              <w:rPr>
                <w:rStyle w:val="Strong"/>
                <w:sz w:val="20"/>
                <w:szCs w:val="20"/>
              </w:rPr>
              <w:t>2017</w:t>
            </w:r>
            <w:r>
              <w:rPr>
                <w:rStyle w:val="Strong"/>
                <w:sz w:val="20"/>
                <w:szCs w:val="20"/>
                <w:vertAlign w:val="superscript"/>
              </w:rPr>
              <w:t>(1)</w:t>
            </w:r>
          </w:p>
        </w:tc>
        <w:tc>
          <w:tcPr>
            <w:tcW w:w="0" w:type="auto"/>
            <w:noWrap/>
            <w:vAlign w:val="center"/>
            <w:hideMark/>
          </w:tcPr>
          <w:p w14:paraId="2F95F03B"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62DD177"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46C98764"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vAlign w:val="center"/>
            <w:hideMark/>
          </w:tcPr>
          <w:p w14:paraId="3C5BD3E8"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9DD372F"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269ADFFD"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1E8FC58D"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C9A877F"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1F4CBB60"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5DBD1A1B" w14:textId="77777777" w:rsidR="00000000" w:rsidRDefault="00EB4933">
            <w:pPr>
              <w:pStyle w:val="NormalWeb"/>
              <w:spacing w:before="0" w:beforeAutospacing="0" w:after="0" w:afterAutospacing="0"/>
              <w:rPr>
                <w:sz w:val="20"/>
                <w:szCs w:val="20"/>
              </w:rPr>
            </w:pPr>
            <w:r>
              <w:rPr>
                <w:sz w:val="20"/>
                <w:szCs w:val="20"/>
              </w:rPr>
              <w:t> </w:t>
            </w:r>
          </w:p>
        </w:tc>
      </w:tr>
      <w:tr w:rsidR="00000000" w14:paraId="670FB06D" w14:textId="77777777">
        <w:trPr>
          <w:divId w:val="98525094"/>
          <w:trHeight w:val="225"/>
          <w:tblCellSpacing w:w="15" w:type="dxa"/>
        </w:trPr>
        <w:tc>
          <w:tcPr>
            <w:tcW w:w="0" w:type="auto"/>
            <w:vAlign w:val="bottom"/>
            <w:hideMark/>
          </w:tcPr>
          <w:p w14:paraId="0E87C641" w14:textId="77777777" w:rsidR="00000000" w:rsidRDefault="00EB4933">
            <w:pPr>
              <w:pStyle w:val="NormalWeb"/>
              <w:spacing w:before="0" w:beforeAutospacing="0" w:after="0" w:afterAutospacing="0"/>
              <w:rPr>
                <w:sz w:val="20"/>
                <w:szCs w:val="20"/>
              </w:rPr>
            </w:pPr>
            <w:r>
              <w:rPr>
                <w:rStyle w:val="Strong"/>
                <w:sz w:val="20"/>
                <w:szCs w:val="20"/>
              </w:rPr>
              <w:t>Selected Statement of Financial Position Data</w:t>
            </w:r>
          </w:p>
        </w:tc>
        <w:tc>
          <w:tcPr>
            <w:tcW w:w="0" w:type="auto"/>
            <w:noWrap/>
            <w:vAlign w:val="center"/>
            <w:hideMark/>
          </w:tcPr>
          <w:p w14:paraId="09CD6E87"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bottom"/>
            <w:hideMark/>
          </w:tcPr>
          <w:p w14:paraId="2915EC63" w14:textId="77777777" w:rsidR="00000000" w:rsidRDefault="00EB4933">
            <w:pPr>
              <w:pStyle w:val="NormalWeb"/>
              <w:spacing w:before="0" w:beforeAutospacing="0" w:after="0" w:afterAutospacing="0"/>
              <w:jc w:val="center"/>
              <w:rPr>
                <w:sz w:val="20"/>
                <w:szCs w:val="20"/>
              </w:rPr>
            </w:pPr>
            <w:r>
              <w:rPr>
                <w:rStyle w:val="Strong"/>
                <w:sz w:val="20"/>
                <w:szCs w:val="20"/>
              </w:rPr>
              <w:t>RMB</w:t>
            </w:r>
          </w:p>
        </w:tc>
        <w:tc>
          <w:tcPr>
            <w:tcW w:w="0" w:type="auto"/>
            <w:noWrap/>
            <w:vAlign w:val="center"/>
            <w:hideMark/>
          </w:tcPr>
          <w:p w14:paraId="491A666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4D798D2"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bottom"/>
            <w:hideMark/>
          </w:tcPr>
          <w:p w14:paraId="2E0E7F7D" w14:textId="77777777" w:rsidR="00000000" w:rsidRDefault="00EB4933">
            <w:pPr>
              <w:pStyle w:val="NormalWeb"/>
              <w:spacing w:before="0" w:beforeAutospacing="0" w:after="0" w:afterAutospacing="0"/>
              <w:jc w:val="center"/>
              <w:rPr>
                <w:sz w:val="20"/>
                <w:szCs w:val="20"/>
              </w:rPr>
            </w:pPr>
            <w:r>
              <w:rPr>
                <w:rStyle w:val="Strong"/>
                <w:sz w:val="20"/>
                <w:szCs w:val="20"/>
              </w:rPr>
              <w:t>RMB</w:t>
            </w:r>
          </w:p>
        </w:tc>
        <w:tc>
          <w:tcPr>
            <w:tcW w:w="0" w:type="auto"/>
            <w:noWrap/>
            <w:vAlign w:val="center"/>
            <w:hideMark/>
          </w:tcPr>
          <w:p w14:paraId="7D3DB805"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3C9A14F"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bottom"/>
            <w:hideMark/>
          </w:tcPr>
          <w:p w14:paraId="293E3987" w14:textId="77777777" w:rsidR="00000000" w:rsidRDefault="00EB4933">
            <w:pPr>
              <w:pStyle w:val="NormalWeb"/>
              <w:spacing w:before="0" w:beforeAutospacing="0" w:after="0" w:afterAutospacing="0"/>
              <w:jc w:val="center"/>
              <w:rPr>
                <w:sz w:val="20"/>
                <w:szCs w:val="20"/>
              </w:rPr>
            </w:pPr>
            <w:r>
              <w:rPr>
                <w:rStyle w:val="Strong"/>
                <w:sz w:val="20"/>
                <w:szCs w:val="20"/>
              </w:rPr>
              <w:t>RMB</w:t>
            </w:r>
          </w:p>
        </w:tc>
        <w:tc>
          <w:tcPr>
            <w:tcW w:w="0" w:type="auto"/>
            <w:noWrap/>
            <w:vAlign w:val="center"/>
            <w:hideMark/>
          </w:tcPr>
          <w:p w14:paraId="5331C41D"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73D5EBB"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bottom"/>
            <w:hideMark/>
          </w:tcPr>
          <w:p w14:paraId="48680FBD" w14:textId="77777777" w:rsidR="00000000" w:rsidRDefault="00EB4933">
            <w:pPr>
              <w:pStyle w:val="NormalWeb"/>
              <w:spacing w:before="0" w:beforeAutospacing="0" w:after="0" w:afterAutospacing="0"/>
              <w:jc w:val="center"/>
              <w:rPr>
                <w:sz w:val="20"/>
                <w:szCs w:val="20"/>
              </w:rPr>
            </w:pPr>
            <w:r>
              <w:rPr>
                <w:rStyle w:val="Strong"/>
                <w:sz w:val="20"/>
                <w:szCs w:val="20"/>
              </w:rPr>
              <w:t>RMB</w:t>
            </w:r>
          </w:p>
        </w:tc>
        <w:tc>
          <w:tcPr>
            <w:tcW w:w="0" w:type="auto"/>
            <w:noWrap/>
            <w:vAlign w:val="center"/>
            <w:hideMark/>
          </w:tcPr>
          <w:p w14:paraId="5B309D6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31346CA"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bottom"/>
            <w:hideMark/>
          </w:tcPr>
          <w:p w14:paraId="458FB36F" w14:textId="77777777" w:rsidR="00000000" w:rsidRDefault="00EB4933">
            <w:pPr>
              <w:pStyle w:val="NormalWeb"/>
              <w:spacing w:before="0" w:beforeAutospacing="0" w:after="0" w:afterAutospacing="0"/>
              <w:jc w:val="center"/>
              <w:rPr>
                <w:sz w:val="20"/>
                <w:szCs w:val="20"/>
              </w:rPr>
            </w:pPr>
            <w:r>
              <w:rPr>
                <w:rStyle w:val="Strong"/>
                <w:sz w:val="20"/>
                <w:szCs w:val="20"/>
              </w:rPr>
              <w:t>RMB</w:t>
            </w:r>
          </w:p>
        </w:tc>
        <w:tc>
          <w:tcPr>
            <w:tcW w:w="0" w:type="auto"/>
            <w:noWrap/>
            <w:vAlign w:val="center"/>
            <w:hideMark/>
          </w:tcPr>
          <w:p w14:paraId="34E39380"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99E57BD"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bottom"/>
            <w:hideMark/>
          </w:tcPr>
          <w:p w14:paraId="6A98B703" w14:textId="77777777" w:rsidR="00000000" w:rsidRDefault="00EB4933">
            <w:pPr>
              <w:pStyle w:val="NormalWeb"/>
              <w:spacing w:before="0" w:beforeAutospacing="0" w:after="0" w:afterAutospacing="0"/>
              <w:jc w:val="center"/>
              <w:rPr>
                <w:sz w:val="20"/>
                <w:szCs w:val="20"/>
              </w:rPr>
            </w:pPr>
            <w:r>
              <w:rPr>
                <w:rStyle w:val="Strong"/>
                <w:sz w:val="20"/>
                <w:szCs w:val="20"/>
              </w:rPr>
              <w:t>$</w:t>
            </w:r>
          </w:p>
        </w:tc>
        <w:tc>
          <w:tcPr>
            <w:tcW w:w="0" w:type="auto"/>
            <w:noWrap/>
            <w:vAlign w:val="center"/>
            <w:hideMark/>
          </w:tcPr>
          <w:p w14:paraId="7FB1E79F" w14:textId="77777777" w:rsidR="00000000" w:rsidRDefault="00EB4933">
            <w:pPr>
              <w:pStyle w:val="NormalWeb"/>
              <w:spacing w:before="0" w:beforeAutospacing="0" w:after="0" w:afterAutospacing="0"/>
              <w:rPr>
                <w:sz w:val="20"/>
                <w:szCs w:val="20"/>
              </w:rPr>
            </w:pPr>
            <w:r>
              <w:rPr>
                <w:sz w:val="20"/>
                <w:szCs w:val="20"/>
              </w:rPr>
              <w:t> </w:t>
            </w:r>
          </w:p>
        </w:tc>
      </w:tr>
      <w:tr w:rsidR="00000000" w14:paraId="299AE4EA" w14:textId="77777777">
        <w:trPr>
          <w:divId w:val="98525094"/>
          <w:trHeight w:val="225"/>
          <w:tblCellSpacing w:w="15" w:type="dxa"/>
        </w:trPr>
        <w:tc>
          <w:tcPr>
            <w:tcW w:w="0" w:type="auto"/>
            <w:vAlign w:val="center"/>
            <w:hideMark/>
          </w:tcPr>
          <w:p w14:paraId="5FF03491" w14:textId="77777777" w:rsidR="00000000" w:rsidRDefault="00EB4933">
            <w:pPr>
              <w:pStyle w:val="NormalWeb"/>
              <w:spacing w:before="0" w:beforeAutospacing="0" w:after="0" w:afterAutospacing="0"/>
              <w:rPr>
                <w:sz w:val="20"/>
                <w:szCs w:val="20"/>
              </w:rPr>
            </w:pPr>
            <w:r>
              <w:rPr>
                <w:sz w:val="20"/>
                <w:szCs w:val="20"/>
              </w:rPr>
              <w:lastRenderedPageBreak/>
              <w:t> </w:t>
            </w:r>
          </w:p>
        </w:tc>
        <w:tc>
          <w:tcPr>
            <w:tcW w:w="0" w:type="auto"/>
            <w:noWrap/>
            <w:vAlign w:val="center"/>
            <w:hideMark/>
          </w:tcPr>
          <w:p w14:paraId="1D1D78E4"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center"/>
            <w:hideMark/>
          </w:tcPr>
          <w:p w14:paraId="0EB390FB" w14:textId="77777777" w:rsidR="00000000" w:rsidRDefault="00EB4933">
            <w:pPr>
              <w:rPr>
                <w:sz w:val="20"/>
                <w:szCs w:val="20"/>
              </w:rPr>
            </w:pPr>
          </w:p>
        </w:tc>
        <w:tc>
          <w:tcPr>
            <w:tcW w:w="0" w:type="auto"/>
            <w:noWrap/>
            <w:vAlign w:val="center"/>
            <w:hideMark/>
          </w:tcPr>
          <w:p w14:paraId="19CDB1F8"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3314732"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18"/>
            <w:vAlign w:val="bottom"/>
            <w:hideMark/>
          </w:tcPr>
          <w:p w14:paraId="14850350" w14:textId="77777777" w:rsidR="00000000" w:rsidRDefault="00EB4933">
            <w:pPr>
              <w:pStyle w:val="NormalWeb"/>
              <w:spacing w:before="0" w:beforeAutospacing="0" w:after="0" w:afterAutospacing="0"/>
              <w:jc w:val="center"/>
              <w:rPr>
                <w:sz w:val="20"/>
                <w:szCs w:val="20"/>
              </w:rPr>
            </w:pPr>
            <w:r>
              <w:rPr>
                <w:rStyle w:val="Strong"/>
                <w:sz w:val="20"/>
                <w:szCs w:val="20"/>
              </w:rPr>
              <w:t>(amounts in thousands)</w:t>
            </w:r>
          </w:p>
        </w:tc>
        <w:tc>
          <w:tcPr>
            <w:tcW w:w="0" w:type="auto"/>
            <w:noWrap/>
            <w:vAlign w:val="center"/>
            <w:hideMark/>
          </w:tcPr>
          <w:p w14:paraId="4DDCC5BE" w14:textId="77777777" w:rsidR="00000000" w:rsidRDefault="00EB4933">
            <w:pPr>
              <w:pStyle w:val="NormalWeb"/>
              <w:spacing w:before="0" w:beforeAutospacing="0" w:after="0" w:afterAutospacing="0"/>
              <w:rPr>
                <w:sz w:val="20"/>
                <w:szCs w:val="20"/>
              </w:rPr>
            </w:pPr>
            <w:r>
              <w:rPr>
                <w:sz w:val="20"/>
                <w:szCs w:val="20"/>
              </w:rPr>
              <w:t> </w:t>
            </w:r>
          </w:p>
        </w:tc>
      </w:tr>
      <w:tr w:rsidR="00000000" w14:paraId="58183DD1" w14:textId="77777777">
        <w:trPr>
          <w:divId w:val="98525094"/>
          <w:trHeight w:val="225"/>
          <w:tblCellSpacing w:w="15" w:type="dxa"/>
        </w:trPr>
        <w:tc>
          <w:tcPr>
            <w:tcW w:w="0" w:type="auto"/>
            <w:shd w:val="clear" w:color="auto" w:fill="CCEEFF"/>
            <w:hideMark/>
          </w:tcPr>
          <w:p w14:paraId="364CA526" w14:textId="77777777" w:rsidR="00000000" w:rsidRDefault="00EB4933">
            <w:pPr>
              <w:pStyle w:val="NormalWeb"/>
              <w:spacing w:before="0" w:beforeAutospacing="0" w:after="0" w:afterAutospacing="0"/>
              <w:rPr>
                <w:sz w:val="20"/>
                <w:szCs w:val="20"/>
              </w:rPr>
            </w:pPr>
            <w:r>
              <w:rPr>
                <w:sz w:val="20"/>
                <w:szCs w:val="20"/>
              </w:rPr>
              <w:t>Cash, cash equivalents and restricted cash</w:t>
            </w:r>
          </w:p>
        </w:tc>
        <w:tc>
          <w:tcPr>
            <w:tcW w:w="50" w:type="pct"/>
            <w:shd w:val="clear" w:color="auto" w:fill="CCEEFF"/>
            <w:noWrap/>
            <w:vAlign w:val="center"/>
            <w:hideMark/>
          </w:tcPr>
          <w:p w14:paraId="356868D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8BB9C2"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862084A" w14:textId="77777777" w:rsidR="00000000" w:rsidRDefault="00EB4933">
            <w:pPr>
              <w:jc w:val="right"/>
              <w:rPr>
                <w:rFonts w:eastAsia="Times New Roman"/>
                <w:sz w:val="20"/>
                <w:szCs w:val="20"/>
              </w:rPr>
            </w:pPr>
            <w:r>
              <w:rPr>
                <w:rFonts w:eastAsia="Times New Roman"/>
                <w:sz w:val="20"/>
                <w:szCs w:val="20"/>
              </w:rPr>
              <w:t>65,741</w:t>
            </w:r>
          </w:p>
        </w:tc>
        <w:tc>
          <w:tcPr>
            <w:tcW w:w="50" w:type="pct"/>
            <w:shd w:val="clear" w:color="auto" w:fill="CCEEFF"/>
            <w:noWrap/>
            <w:vAlign w:val="center"/>
            <w:hideMark/>
          </w:tcPr>
          <w:p w14:paraId="13E4DD4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0A667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0952AD"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0B564DC" w14:textId="77777777" w:rsidR="00000000" w:rsidRDefault="00EB4933">
            <w:pPr>
              <w:jc w:val="right"/>
              <w:rPr>
                <w:rFonts w:eastAsia="Times New Roman"/>
                <w:sz w:val="20"/>
                <w:szCs w:val="20"/>
              </w:rPr>
            </w:pPr>
            <w:r>
              <w:rPr>
                <w:rFonts w:eastAsia="Times New Roman"/>
                <w:sz w:val="20"/>
                <w:szCs w:val="20"/>
              </w:rPr>
              <w:t>96,761</w:t>
            </w:r>
          </w:p>
        </w:tc>
        <w:tc>
          <w:tcPr>
            <w:tcW w:w="50" w:type="pct"/>
            <w:shd w:val="clear" w:color="auto" w:fill="CCEEFF"/>
            <w:noWrap/>
            <w:vAlign w:val="center"/>
            <w:hideMark/>
          </w:tcPr>
          <w:p w14:paraId="49EAED4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9D2AA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7B2323"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AFFCBF6" w14:textId="77777777" w:rsidR="00000000" w:rsidRDefault="00EB4933">
            <w:pPr>
              <w:jc w:val="right"/>
              <w:rPr>
                <w:rFonts w:eastAsia="Times New Roman"/>
                <w:sz w:val="20"/>
                <w:szCs w:val="20"/>
              </w:rPr>
            </w:pPr>
            <w:r>
              <w:rPr>
                <w:rFonts w:eastAsia="Times New Roman"/>
                <w:sz w:val="20"/>
                <w:szCs w:val="20"/>
              </w:rPr>
              <w:t>21,717</w:t>
            </w:r>
          </w:p>
        </w:tc>
        <w:tc>
          <w:tcPr>
            <w:tcW w:w="50" w:type="pct"/>
            <w:shd w:val="clear" w:color="auto" w:fill="CCEEFF"/>
            <w:noWrap/>
            <w:vAlign w:val="center"/>
            <w:hideMark/>
          </w:tcPr>
          <w:p w14:paraId="1240527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A87E9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0E2FA5"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24681EA" w14:textId="77777777" w:rsidR="00000000" w:rsidRDefault="00EB4933">
            <w:pPr>
              <w:jc w:val="right"/>
              <w:rPr>
                <w:rFonts w:eastAsia="Times New Roman"/>
                <w:sz w:val="20"/>
                <w:szCs w:val="20"/>
              </w:rPr>
            </w:pPr>
            <w:r>
              <w:rPr>
                <w:rFonts w:eastAsia="Times New Roman"/>
                <w:sz w:val="20"/>
                <w:szCs w:val="20"/>
              </w:rPr>
              <w:t>3,188</w:t>
            </w:r>
          </w:p>
        </w:tc>
        <w:tc>
          <w:tcPr>
            <w:tcW w:w="50" w:type="pct"/>
            <w:shd w:val="clear" w:color="auto" w:fill="CCEEFF"/>
            <w:noWrap/>
            <w:vAlign w:val="center"/>
            <w:hideMark/>
          </w:tcPr>
          <w:p w14:paraId="75F2D7F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53BCB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7B120B"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77002DE" w14:textId="77777777" w:rsidR="00000000" w:rsidRDefault="00EB4933">
            <w:pPr>
              <w:jc w:val="right"/>
              <w:rPr>
                <w:rFonts w:eastAsia="Times New Roman"/>
                <w:sz w:val="20"/>
                <w:szCs w:val="20"/>
              </w:rPr>
            </w:pPr>
            <w:r>
              <w:rPr>
                <w:rFonts w:eastAsia="Times New Roman"/>
                <w:sz w:val="20"/>
                <w:szCs w:val="20"/>
              </w:rPr>
              <w:t>132</w:t>
            </w:r>
          </w:p>
        </w:tc>
        <w:tc>
          <w:tcPr>
            <w:tcW w:w="50" w:type="pct"/>
            <w:shd w:val="clear" w:color="auto" w:fill="CCEEFF"/>
            <w:noWrap/>
            <w:vAlign w:val="center"/>
            <w:hideMark/>
          </w:tcPr>
          <w:p w14:paraId="5F2AE2D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4CB33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84E4EF"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D4F5A06" w14:textId="77777777" w:rsidR="00000000" w:rsidRDefault="00EB4933">
            <w:pPr>
              <w:jc w:val="right"/>
              <w:rPr>
                <w:rFonts w:eastAsia="Times New Roman"/>
                <w:sz w:val="20"/>
                <w:szCs w:val="20"/>
              </w:rPr>
            </w:pPr>
            <w:r>
              <w:rPr>
                <w:rFonts w:eastAsia="Times New Roman"/>
                <w:sz w:val="20"/>
                <w:szCs w:val="20"/>
              </w:rPr>
              <w:t>19</w:t>
            </w:r>
          </w:p>
        </w:tc>
        <w:tc>
          <w:tcPr>
            <w:tcW w:w="50" w:type="pct"/>
            <w:shd w:val="clear" w:color="auto" w:fill="CCEEFF"/>
            <w:noWrap/>
            <w:vAlign w:val="center"/>
            <w:hideMark/>
          </w:tcPr>
          <w:p w14:paraId="283D70AC" w14:textId="77777777" w:rsidR="00000000" w:rsidRDefault="00EB4933">
            <w:pPr>
              <w:pStyle w:val="NormalWeb"/>
              <w:spacing w:before="0" w:beforeAutospacing="0" w:after="0" w:afterAutospacing="0"/>
              <w:rPr>
                <w:sz w:val="20"/>
                <w:szCs w:val="20"/>
              </w:rPr>
            </w:pPr>
            <w:r>
              <w:rPr>
                <w:sz w:val="20"/>
                <w:szCs w:val="20"/>
              </w:rPr>
              <w:t> </w:t>
            </w:r>
          </w:p>
        </w:tc>
      </w:tr>
      <w:tr w:rsidR="00000000" w14:paraId="4CC58126" w14:textId="77777777">
        <w:trPr>
          <w:divId w:val="98525094"/>
          <w:trHeight w:val="225"/>
          <w:tblCellSpacing w:w="15" w:type="dxa"/>
        </w:trPr>
        <w:tc>
          <w:tcPr>
            <w:tcW w:w="0" w:type="auto"/>
            <w:shd w:val="clear" w:color="auto" w:fill="FFFFFF"/>
            <w:hideMark/>
          </w:tcPr>
          <w:p w14:paraId="350851C5" w14:textId="77777777" w:rsidR="00000000" w:rsidRDefault="00EB4933">
            <w:pPr>
              <w:pStyle w:val="NormalWeb"/>
              <w:spacing w:before="0" w:beforeAutospacing="0" w:after="0" w:afterAutospacing="0"/>
              <w:rPr>
                <w:sz w:val="20"/>
                <w:szCs w:val="20"/>
              </w:rPr>
            </w:pPr>
            <w:r>
              <w:rPr>
                <w:sz w:val="20"/>
                <w:szCs w:val="20"/>
              </w:rPr>
              <w:t>Total current assets</w:t>
            </w:r>
          </w:p>
        </w:tc>
        <w:tc>
          <w:tcPr>
            <w:tcW w:w="50" w:type="pct"/>
            <w:shd w:val="clear" w:color="auto" w:fill="FFFFFF"/>
            <w:noWrap/>
            <w:vAlign w:val="center"/>
            <w:hideMark/>
          </w:tcPr>
          <w:p w14:paraId="1B35BA0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2F4323"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B2F7B51" w14:textId="77777777" w:rsidR="00000000" w:rsidRDefault="00EB4933">
            <w:pPr>
              <w:jc w:val="right"/>
              <w:rPr>
                <w:rFonts w:eastAsia="Times New Roman"/>
                <w:sz w:val="20"/>
                <w:szCs w:val="20"/>
              </w:rPr>
            </w:pPr>
            <w:r>
              <w:rPr>
                <w:rFonts w:eastAsia="Times New Roman"/>
                <w:sz w:val="20"/>
                <w:szCs w:val="20"/>
              </w:rPr>
              <w:t>537,035</w:t>
            </w:r>
          </w:p>
        </w:tc>
        <w:tc>
          <w:tcPr>
            <w:tcW w:w="50" w:type="pct"/>
            <w:shd w:val="clear" w:color="auto" w:fill="FFFFFF"/>
            <w:noWrap/>
            <w:vAlign w:val="center"/>
            <w:hideMark/>
          </w:tcPr>
          <w:p w14:paraId="179AB7F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8FEA4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1B6915"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F9B0273" w14:textId="77777777" w:rsidR="00000000" w:rsidRDefault="00EB4933">
            <w:pPr>
              <w:jc w:val="right"/>
              <w:rPr>
                <w:rFonts w:eastAsia="Times New Roman"/>
                <w:sz w:val="20"/>
                <w:szCs w:val="20"/>
              </w:rPr>
            </w:pPr>
            <w:r>
              <w:rPr>
                <w:rFonts w:eastAsia="Times New Roman"/>
                <w:sz w:val="20"/>
                <w:szCs w:val="20"/>
              </w:rPr>
              <w:t>802,018</w:t>
            </w:r>
          </w:p>
        </w:tc>
        <w:tc>
          <w:tcPr>
            <w:tcW w:w="50" w:type="pct"/>
            <w:shd w:val="clear" w:color="auto" w:fill="FFFFFF"/>
            <w:noWrap/>
            <w:vAlign w:val="center"/>
            <w:hideMark/>
          </w:tcPr>
          <w:p w14:paraId="38B9DBF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38FCB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4475E4"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36B6B25" w14:textId="77777777" w:rsidR="00000000" w:rsidRDefault="00EB4933">
            <w:pPr>
              <w:jc w:val="right"/>
              <w:rPr>
                <w:rFonts w:eastAsia="Times New Roman"/>
                <w:sz w:val="20"/>
                <w:szCs w:val="20"/>
              </w:rPr>
            </w:pPr>
            <w:r>
              <w:rPr>
                <w:rFonts w:eastAsia="Times New Roman"/>
                <w:sz w:val="20"/>
                <w:szCs w:val="20"/>
              </w:rPr>
              <w:t>853,218</w:t>
            </w:r>
          </w:p>
        </w:tc>
        <w:tc>
          <w:tcPr>
            <w:tcW w:w="50" w:type="pct"/>
            <w:shd w:val="clear" w:color="auto" w:fill="FFFFFF"/>
            <w:noWrap/>
            <w:vAlign w:val="center"/>
            <w:hideMark/>
          </w:tcPr>
          <w:p w14:paraId="0AFA309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2651D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1E8829"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65A6BAE" w14:textId="77777777" w:rsidR="00000000" w:rsidRDefault="00EB4933">
            <w:pPr>
              <w:jc w:val="right"/>
              <w:rPr>
                <w:rFonts w:eastAsia="Times New Roman"/>
                <w:sz w:val="20"/>
                <w:szCs w:val="20"/>
              </w:rPr>
            </w:pPr>
            <w:r>
              <w:rPr>
                <w:rFonts w:eastAsia="Times New Roman"/>
                <w:sz w:val="20"/>
                <w:szCs w:val="20"/>
              </w:rPr>
              <w:t>590,937</w:t>
            </w:r>
          </w:p>
        </w:tc>
        <w:tc>
          <w:tcPr>
            <w:tcW w:w="50" w:type="pct"/>
            <w:shd w:val="clear" w:color="auto" w:fill="FFFFFF"/>
            <w:noWrap/>
            <w:vAlign w:val="center"/>
            <w:hideMark/>
          </w:tcPr>
          <w:p w14:paraId="65E1C36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134F4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D4CAA7"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A6F588A" w14:textId="77777777" w:rsidR="00000000" w:rsidRDefault="00EB4933">
            <w:pPr>
              <w:jc w:val="right"/>
              <w:rPr>
                <w:rFonts w:eastAsia="Times New Roman"/>
                <w:sz w:val="20"/>
                <w:szCs w:val="20"/>
              </w:rPr>
            </w:pPr>
            <w:r>
              <w:rPr>
                <w:rFonts w:eastAsia="Times New Roman"/>
                <w:sz w:val="20"/>
                <w:szCs w:val="20"/>
              </w:rPr>
              <w:t>615,611</w:t>
            </w:r>
          </w:p>
        </w:tc>
        <w:tc>
          <w:tcPr>
            <w:tcW w:w="50" w:type="pct"/>
            <w:shd w:val="clear" w:color="auto" w:fill="FFFFFF"/>
            <w:noWrap/>
            <w:vAlign w:val="center"/>
            <w:hideMark/>
          </w:tcPr>
          <w:p w14:paraId="6CA460F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283AA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5F9DA5"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A2F8F98" w14:textId="77777777" w:rsidR="00000000" w:rsidRDefault="00EB4933">
            <w:pPr>
              <w:jc w:val="right"/>
              <w:rPr>
                <w:rFonts w:eastAsia="Times New Roman"/>
                <w:sz w:val="20"/>
                <w:szCs w:val="20"/>
              </w:rPr>
            </w:pPr>
            <w:r>
              <w:rPr>
                <w:rFonts w:eastAsia="Times New Roman"/>
                <w:sz w:val="20"/>
                <w:szCs w:val="20"/>
              </w:rPr>
              <w:t>88,427</w:t>
            </w:r>
          </w:p>
        </w:tc>
        <w:tc>
          <w:tcPr>
            <w:tcW w:w="50" w:type="pct"/>
            <w:shd w:val="clear" w:color="auto" w:fill="FFFFFF"/>
            <w:noWrap/>
            <w:vAlign w:val="center"/>
            <w:hideMark/>
          </w:tcPr>
          <w:p w14:paraId="1DA48D18" w14:textId="77777777" w:rsidR="00000000" w:rsidRDefault="00EB4933">
            <w:pPr>
              <w:pStyle w:val="NormalWeb"/>
              <w:spacing w:before="0" w:beforeAutospacing="0" w:after="0" w:afterAutospacing="0"/>
              <w:rPr>
                <w:sz w:val="20"/>
                <w:szCs w:val="20"/>
              </w:rPr>
            </w:pPr>
            <w:r>
              <w:rPr>
                <w:sz w:val="20"/>
                <w:szCs w:val="20"/>
              </w:rPr>
              <w:t> </w:t>
            </w:r>
          </w:p>
        </w:tc>
      </w:tr>
      <w:tr w:rsidR="00000000" w14:paraId="6821B44D" w14:textId="77777777">
        <w:trPr>
          <w:divId w:val="98525094"/>
          <w:trHeight w:val="225"/>
          <w:tblCellSpacing w:w="15" w:type="dxa"/>
        </w:trPr>
        <w:tc>
          <w:tcPr>
            <w:tcW w:w="0" w:type="auto"/>
            <w:shd w:val="clear" w:color="auto" w:fill="CCEEFF"/>
            <w:hideMark/>
          </w:tcPr>
          <w:p w14:paraId="4FF867D2" w14:textId="77777777" w:rsidR="00000000" w:rsidRDefault="00EB4933">
            <w:pPr>
              <w:pStyle w:val="NormalWeb"/>
              <w:spacing w:before="0" w:beforeAutospacing="0" w:after="0" w:afterAutospacing="0"/>
              <w:rPr>
                <w:sz w:val="20"/>
                <w:szCs w:val="20"/>
              </w:rPr>
            </w:pPr>
            <w:r>
              <w:rPr>
                <w:sz w:val="20"/>
                <w:szCs w:val="20"/>
              </w:rPr>
              <w:t>Total non-current assets</w:t>
            </w:r>
          </w:p>
        </w:tc>
        <w:tc>
          <w:tcPr>
            <w:tcW w:w="50" w:type="pct"/>
            <w:shd w:val="clear" w:color="auto" w:fill="CCEEFF"/>
            <w:noWrap/>
            <w:vAlign w:val="center"/>
            <w:hideMark/>
          </w:tcPr>
          <w:p w14:paraId="07B3B50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34FAA1"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F7FBC97" w14:textId="77777777" w:rsidR="00000000" w:rsidRDefault="00EB4933">
            <w:pPr>
              <w:jc w:val="right"/>
              <w:rPr>
                <w:rFonts w:eastAsia="Times New Roman"/>
                <w:sz w:val="20"/>
                <w:szCs w:val="20"/>
              </w:rPr>
            </w:pPr>
            <w:r>
              <w:rPr>
                <w:rFonts w:eastAsia="Times New Roman"/>
                <w:sz w:val="20"/>
                <w:szCs w:val="20"/>
              </w:rPr>
              <w:t>1,305</w:t>
            </w:r>
          </w:p>
        </w:tc>
        <w:tc>
          <w:tcPr>
            <w:tcW w:w="50" w:type="pct"/>
            <w:shd w:val="clear" w:color="auto" w:fill="CCEEFF"/>
            <w:noWrap/>
            <w:vAlign w:val="center"/>
            <w:hideMark/>
          </w:tcPr>
          <w:p w14:paraId="7272DF5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BEF21C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F00EBC"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7721FA9" w14:textId="77777777" w:rsidR="00000000" w:rsidRDefault="00EB4933">
            <w:pPr>
              <w:jc w:val="right"/>
              <w:rPr>
                <w:rFonts w:eastAsia="Times New Roman"/>
                <w:sz w:val="20"/>
                <w:szCs w:val="20"/>
              </w:rPr>
            </w:pPr>
            <w:r>
              <w:rPr>
                <w:rFonts w:eastAsia="Times New Roman"/>
                <w:sz w:val="20"/>
                <w:szCs w:val="20"/>
              </w:rPr>
              <w:t>779</w:t>
            </w:r>
          </w:p>
        </w:tc>
        <w:tc>
          <w:tcPr>
            <w:tcW w:w="50" w:type="pct"/>
            <w:shd w:val="clear" w:color="auto" w:fill="CCEEFF"/>
            <w:noWrap/>
            <w:vAlign w:val="center"/>
            <w:hideMark/>
          </w:tcPr>
          <w:p w14:paraId="1035565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3CEC3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3ED9D0"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336E69D" w14:textId="77777777" w:rsidR="00000000" w:rsidRDefault="00EB4933">
            <w:pPr>
              <w:jc w:val="right"/>
              <w:rPr>
                <w:rFonts w:eastAsia="Times New Roman"/>
                <w:sz w:val="20"/>
                <w:szCs w:val="20"/>
              </w:rPr>
            </w:pPr>
            <w:r>
              <w:rPr>
                <w:rFonts w:eastAsia="Times New Roman"/>
                <w:sz w:val="20"/>
                <w:szCs w:val="20"/>
              </w:rPr>
              <w:t>15,266</w:t>
            </w:r>
          </w:p>
        </w:tc>
        <w:tc>
          <w:tcPr>
            <w:tcW w:w="50" w:type="pct"/>
            <w:shd w:val="clear" w:color="auto" w:fill="CCEEFF"/>
            <w:noWrap/>
            <w:vAlign w:val="center"/>
            <w:hideMark/>
          </w:tcPr>
          <w:p w14:paraId="2C39FE0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D27EE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5C08A9"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2C52EEE" w14:textId="77777777" w:rsidR="00000000" w:rsidRDefault="00EB4933">
            <w:pPr>
              <w:jc w:val="right"/>
              <w:rPr>
                <w:rFonts w:eastAsia="Times New Roman"/>
                <w:sz w:val="20"/>
                <w:szCs w:val="20"/>
              </w:rPr>
            </w:pPr>
            <w:r>
              <w:rPr>
                <w:rFonts w:eastAsia="Times New Roman"/>
                <w:sz w:val="20"/>
                <w:szCs w:val="20"/>
              </w:rPr>
              <w:t>50,833</w:t>
            </w:r>
          </w:p>
        </w:tc>
        <w:tc>
          <w:tcPr>
            <w:tcW w:w="50" w:type="pct"/>
            <w:shd w:val="clear" w:color="auto" w:fill="CCEEFF"/>
            <w:noWrap/>
            <w:vAlign w:val="center"/>
            <w:hideMark/>
          </w:tcPr>
          <w:p w14:paraId="11A6644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61254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E0AEFA"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AA5628B" w14:textId="77777777" w:rsidR="00000000" w:rsidRDefault="00EB4933">
            <w:pPr>
              <w:jc w:val="right"/>
              <w:rPr>
                <w:rFonts w:eastAsia="Times New Roman"/>
                <w:sz w:val="20"/>
                <w:szCs w:val="20"/>
              </w:rPr>
            </w:pPr>
            <w:r>
              <w:rPr>
                <w:rFonts w:eastAsia="Times New Roman"/>
                <w:sz w:val="20"/>
                <w:szCs w:val="20"/>
              </w:rPr>
              <w:t>48,137</w:t>
            </w:r>
          </w:p>
        </w:tc>
        <w:tc>
          <w:tcPr>
            <w:tcW w:w="50" w:type="pct"/>
            <w:shd w:val="clear" w:color="auto" w:fill="CCEEFF"/>
            <w:noWrap/>
            <w:vAlign w:val="center"/>
            <w:hideMark/>
          </w:tcPr>
          <w:p w14:paraId="15C2516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B9AD4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38E32B"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16FBDD1" w14:textId="77777777" w:rsidR="00000000" w:rsidRDefault="00EB4933">
            <w:pPr>
              <w:jc w:val="right"/>
              <w:rPr>
                <w:rFonts w:eastAsia="Times New Roman"/>
                <w:sz w:val="20"/>
                <w:szCs w:val="20"/>
              </w:rPr>
            </w:pPr>
            <w:r>
              <w:rPr>
                <w:rFonts w:eastAsia="Times New Roman"/>
                <w:sz w:val="20"/>
                <w:szCs w:val="20"/>
              </w:rPr>
              <w:t>6,914</w:t>
            </w:r>
          </w:p>
        </w:tc>
        <w:tc>
          <w:tcPr>
            <w:tcW w:w="50" w:type="pct"/>
            <w:shd w:val="clear" w:color="auto" w:fill="CCEEFF"/>
            <w:noWrap/>
            <w:vAlign w:val="center"/>
            <w:hideMark/>
          </w:tcPr>
          <w:p w14:paraId="76D1C28E" w14:textId="77777777" w:rsidR="00000000" w:rsidRDefault="00EB4933">
            <w:pPr>
              <w:pStyle w:val="NormalWeb"/>
              <w:spacing w:before="0" w:beforeAutospacing="0" w:after="0" w:afterAutospacing="0"/>
              <w:rPr>
                <w:sz w:val="20"/>
                <w:szCs w:val="20"/>
              </w:rPr>
            </w:pPr>
            <w:r>
              <w:rPr>
                <w:sz w:val="20"/>
                <w:szCs w:val="20"/>
              </w:rPr>
              <w:t> </w:t>
            </w:r>
          </w:p>
        </w:tc>
      </w:tr>
      <w:tr w:rsidR="00000000" w14:paraId="19116442" w14:textId="77777777">
        <w:trPr>
          <w:divId w:val="98525094"/>
          <w:trHeight w:val="225"/>
          <w:tblCellSpacing w:w="15" w:type="dxa"/>
        </w:trPr>
        <w:tc>
          <w:tcPr>
            <w:tcW w:w="0" w:type="auto"/>
            <w:shd w:val="clear" w:color="auto" w:fill="FFFFFF"/>
            <w:hideMark/>
          </w:tcPr>
          <w:p w14:paraId="700ECB68" w14:textId="77777777" w:rsidR="00000000" w:rsidRDefault="00EB4933">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029E420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57DA17"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1566C24" w14:textId="77777777" w:rsidR="00000000" w:rsidRDefault="00EB4933">
            <w:pPr>
              <w:jc w:val="right"/>
              <w:rPr>
                <w:rFonts w:eastAsia="Times New Roman"/>
                <w:sz w:val="20"/>
                <w:szCs w:val="20"/>
              </w:rPr>
            </w:pPr>
            <w:r>
              <w:rPr>
                <w:rFonts w:eastAsia="Times New Roman"/>
                <w:sz w:val="20"/>
                <w:szCs w:val="20"/>
              </w:rPr>
              <w:t>538,340</w:t>
            </w:r>
          </w:p>
        </w:tc>
        <w:tc>
          <w:tcPr>
            <w:tcW w:w="50" w:type="pct"/>
            <w:shd w:val="clear" w:color="auto" w:fill="FFFFFF"/>
            <w:noWrap/>
            <w:vAlign w:val="center"/>
            <w:hideMark/>
          </w:tcPr>
          <w:p w14:paraId="0B7F6C0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5EF8C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7BCCE5"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870250D" w14:textId="77777777" w:rsidR="00000000" w:rsidRDefault="00EB4933">
            <w:pPr>
              <w:jc w:val="right"/>
              <w:rPr>
                <w:rFonts w:eastAsia="Times New Roman"/>
                <w:sz w:val="20"/>
                <w:szCs w:val="20"/>
              </w:rPr>
            </w:pPr>
            <w:r>
              <w:rPr>
                <w:rFonts w:eastAsia="Times New Roman"/>
                <w:sz w:val="20"/>
                <w:szCs w:val="20"/>
              </w:rPr>
              <w:t>802,797</w:t>
            </w:r>
          </w:p>
        </w:tc>
        <w:tc>
          <w:tcPr>
            <w:tcW w:w="50" w:type="pct"/>
            <w:shd w:val="clear" w:color="auto" w:fill="FFFFFF"/>
            <w:noWrap/>
            <w:vAlign w:val="center"/>
            <w:hideMark/>
          </w:tcPr>
          <w:p w14:paraId="714A3A3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A8B03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7E0707"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6E05C7A" w14:textId="77777777" w:rsidR="00000000" w:rsidRDefault="00EB4933">
            <w:pPr>
              <w:jc w:val="right"/>
              <w:rPr>
                <w:rFonts w:eastAsia="Times New Roman"/>
                <w:sz w:val="20"/>
                <w:szCs w:val="20"/>
              </w:rPr>
            </w:pPr>
            <w:r>
              <w:rPr>
                <w:rFonts w:eastAsia="Times New Roman"/>
                <w:sz w:val="20"/>
                <w:szCs w:val="20"/>
              </w:rPr>
              <w:t>868,484</w:t>
            </w:r>
          </w:p>
        </w:tc>
        <w:tc>
          <w:tcPr>
            <w:tcW w:w="50" w:type="pct"/>
            <w:shd w:val="clear" w:color="auto" w:fill="FFFFFF"/>
            <w:noWrap/>
            <w:vAlign w:val="center"/>
            <w:hideMark/>
          </w:tcPr>
          <w:p w14:paraId="7848925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23855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BE9A17"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F2A5580" w14:textId="77777777" w:rsidR="00000000" w:rsidRDefault="00EB4933">
            <w:pPr>
              <w:jc w:val="right"/>
              <w:rPr>
                <w:rFonts w:eastAsia="Times New Roman"/>
                <w:sz w:val="20"/>
                <w:szCs w:val="20"/>
              </w:rPr>
            </w:pPr>
            <w:r>
              <w:rPr>
                <w:rFonts w:eastAsia="Times New Roman"/>
                <w:sz w:val="20"/>
                <w:szCs w:val="20"/>
              </w:rPr>
              <w:t>641,770</w:t>
            </w:r>
          </w:p>
        </w:tc>
        <w:tc>
          <w:tcPr>
            <w:tcW w:w="50" w:type="pct"/>
            <w:shd w:val="clear" w:color="auto" w:fill="FFFFFF"/>
            <w:noWrap/>
            <w:vAlign w:val="center"/>
            <w:hideMark/>
          </w:tcPr>
          <w:p w14:paraId="061ECD9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C2F02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82F1A3"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D7CD747" w14:textId="77777777" w:rsidR="00000000" w:rsidRDefault="00EB4933">
            <w:pPr>
              <w:jc w:val="right"/>
              <w:rPr>
                <w:rFonts w:eastAsia="Times New Roman"/>
                <w:sz w:val="20"/>
                <w:szCs w:val="20"/>
              </w:rPr>
            </w:pPr>
            <w:r>
              <w:rPr>
                <w:rFonts w:eastAsia="Times New Roman"/>
                <w:sz w:val="20"/>
                <w:szCs w:val="20"/>
              </w:rPr>
              <w:t>663,748</w:t>
            </w:r>
          </w:p>
        </w:tc>
        <w:tc>
          <w:tcPr>
            <w:tcW w:w="50" w:type="pct"/>
            <w:shd w:val="clear" w:color="auto" w:fill="FFFFFF"/>
            <w:noWrap/>
            <w:vAlign w:val="center"/>
            <w:hideMark/>
          </w:tcPr>
          <w:p w14:paraId="795B893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AB2B2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A3C899"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2533D00" w14:textId="77777777" w:rsidR="00000000" w:rsidRDefault="00EB4933">
            <w:pPr>
              <w:jc w:val="right"/>
              <w:rPr>
                <w:rFonts w:eastAsia="Times New Roman"/>
                <w:sz w:val="20"/>
                <w:szCs w:val="20"/>
              </w:rPr>
            </w:pPr>
            <w:r>
              <w:rPr>
                <w:rFonts w:eastAsia="Times New Roman"/>
                <w:sz w:val="20"/>
                <w:szCs w:val="20"/>
              </w:rPr>
              <w:t>95,341</w:t>
            </w:r>
          </w:p>
        </w:tc>
        <w:tc>
          <w:tcPr>
            <w:tcW w:w="50" w:type="pct"/>
            <w:shd w:val="clear" w:color="auto" w:fill="FFFFFF"/>
            <w:noWrap/>
            <w:vAlign w:val="center"/>
            <w:hideMark/>
          </w:tcPr>
          <w:p w14:paraId="4E57CAF1" w14:textId="77777777" w:rsidR="00000000" w:rsidRDefault="00EB4933">
            <w:pPr>
              <w:pStyle w:val="NormalWeb"/>
              <w:spacing w:before="0" w:beforeAutospacing="0" w:after="0" w:afterAutospacing="0"/>
              <w:rPr>
                <w:sz w:val="20"/>
                <w:szCs w:val="20"/>
              </w:rPr>
            </w:pPr>
            <w:r>
              <w:rPr>
                <w:sz w:val="20"/>
                <w:szCs w:val="20"/>
              </w:rPr>
              <w:t> </w:t>
            </w:r>
          </w:p>
        </w:tc>
      </w:tr>
      <w:tr w:rsidR="00000000" w14:paraId="270D5A29" w14:textId="77777777">
        <w:trPr>
          <w:divId w:val="98525094"/>
          <w:trHeight w:val="225"/>
          <w:tblCellSpacing w:w="15" w:type="dxa"/>
        </w:trPr>
        <w:tc>
          <w:tcPr>
            <w:tcW w:w="0" w:type="auto"/>
            <w:shd w:val="clear" w:color="auto" w:fill="CCEEFF"/>
            <w:hideMark/>
          </w:tcPr>
          <w:p w14:paraId="4B400740" w14:textId="77777777" w:rsidR="00000000" w:rsidRDefault="00EB4933">
            <w:pPr>
              <w:pStyle w:val="NormalWeb"/>
              <w:spacing w:before="0" w:beforeAutospacing="0" w:after="0" w:afterAutospacing="0"/>
              <w:rPr>
                <w:sz w:val="20"/>
                <w:szCs w:val="20"/>
              </w:rPr>
            </w:pPr>
            <w:r>
              <w:rPr>
                <w:sz w:val="20"/>
                <w:szCs w:val="20"/>
              </w:rPr>
              <w:t>Total current liabilities</w:t>
            </w:r>
          </w:p>
        </w:tc>
        <w:tc>
          <w:tcPr>
            <w:tcW w:w="50" w:type="pct"/>
            <w:shd w:val="clear" w:color="auto" w:fill="CCEEFF"/>
            <w:noWrap/>
            <w:vAlign w:val="center"/>
            <w:hideMark/>
          </w:tcPr>
          <w:p w14:paraId="726302D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708463"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693B019" w14:textId="77777777" w:rsidR="00000000" w:rsidRDefault="00EB4933">
            <w:pPr>
              <w:jc w:val="right"/>
              <w:rPr>
                <w:rFonts w:eastAsia="Times New Roman"/>
                <w:sz w:val="20"/>
                <w:szCs w:val="20"/>
              </w:rPr>
            </w:pPr>
            <w:r>
              <w:rPr>
                <w:rFonts w:eastAsia="Times New Roman"/>
                <w:sz w:val="20"/>
                <w:szCs w:val="20"/>
              </w:rPr>
              <w:t>176,833</w:t>
            </w:r>
          </w:p>
        </w:tc>
        <w:tc>
          <w:tcPr>
            <w:tcW w:w="50" w:type="pct"/>
            <w:shd w:val="clear" w:color="auto" w:fill="CCEEFF"/>
            <w:noWrap/>
            <w:vAlign w:val="center"/>
            <w:hideMark/>
          </w:tcPr>
          <w:p w14:paraId="6AD7524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7D15A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B5BFF4"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591C443" w14:textId="77777777" w:rsidR="00000000" w:rsidRDefault="00EB4933">
            <w:pPr>
              <w:jc w:val="right"/>
              <w:rPr>
                <w:rFonts w:eastAsia="Times New Roman"/>
                <w:sz w:val="20"/>
                <w:szCs w:val="20"/>
              </w:rPr>
            </w:pPr>
            <w:r>
              <w:rPr>
                <w:rFonts w:eastAsia="Times New Roman"/>
                <w:sz w:val="20"/>
                <w:szCs w:val="20"/>
              </w:rPr>
              <w:t>223,112</w:t>
            </w:r>
          </w:p>
        </w:tc>
        <w:tc>
          <w:tcPr>
            <w:tcW w:w="50" w:type="pct"/>
            <w:shd w:val="clear" w:color="auto" w:fill="CCEEFF"/>
            <w:noWrap/>
            <w:vAlign w:val="center"/>
            <w:hideMark/>
          </w:tcPr>
          <w:p w14:paraId="5423294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F2D0E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44CE0F"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BA212BA" w14:textId="77777777" w:rsidR="00000000" w:rsidRDefault="00EB4933">
            <w:pPr>
              <w:jc w:val="right"/>
              <w:rPr>
                <w:rFonts w:eastAsia="Times New Roman"/>
                <w:sz w:val="20"/>
                <w:szCs w:val="20"/>
              </w:rPr>
            </w:pPr>
            <w:r>
              <w:rPr>
                <w:rFonts w:eastAsia="Times New Roman"/>
                <w:sz w:val="20"/>
                <w:szCs w:val="20"/>
              </w:rPr>
              <w:t>275,600</w:t>
            </w:r>
          </w:p>
        </w:tc>
        <w:tc>
          <w:tcPr>
            <w:tcW w:w="50" w:type="pct"/>
            <w:shd w:val="clear" w:color="auto" w:fill="CCEEFF"/>
            <w:noWrap/>
            <w:vAlign w:val="center"/>
            <w:hideMark/>
          </w:tcPr>
          <w:p w14:paraId="43B55E6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F2B65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49C7D3"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283C789" w14:textId="77777777" w:rsidR="00000000" w:rsidRDefault="00EB4933">
            <w:pPr>
              <w:jc w:val="right"/>
              <w:rPr>
                <w:rFonts w:eastAsia="Times New Roman"/>
                <w:sz w:val="20"/>
                <w:szCs w:val="20"/>
              </w:rPr>
            </w:pPr>
            <w:r>
              <w:rPr>
                <w:rFonts w:eastAsia="Times New Roman"/>
                <w:sz w:val="20"/>
                <w:szCs w:val="20"/>
              </w:rPr>
              <w:t>274,704</w:t>
            </w:r>
          </w:p>
        </w:tc>
        <w:tc>
          <w:tcPr>
            <w:tcW w:w="50" w:type="pct"/>
            <w:shd w:val="clear" w:color="auto" w:fill="CCEEFF"/>
            <w:noWrap/>
            <w:vAlign w:val="center"/>
            <w:hideMark/>
          </w:tcPr>
          <w:p w14:paraId="248AC37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7966E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6D6803"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63C08A3" w14:textId="77777777" w:rsidR="00000000" w:rsidRDefault="00EB4933">
            <w:pPr>
              <w:jc w:val="right"/>
              <w:rPr>
                <w:rFonts w:eastAsia="Times New Roman"/>
                <w:sz w:val="20"/>
                <w:szCs w:val="20"/>
              </w:rPr>
            </w:pPr>
            <w:r>
              <w:rPr>
                <w:rFonts w:eastAsia="Times New Roman"/>
                <w:sz w:val="20"/>
                <w:szCs w:val="20"/>
              </w:rPr>
              <w:t>237,587</w:t>
            </w:r>
          </w:p>
        </w:tc>
        <w:tc>
          <w:tcPr>
            <w:tcW w:w="50" w:type="pct"/>
            <w:shd w:val="clear" w:color="auto" w:fill="CCEEFF"/>
            <w:noWrap/>
            <w:vAlign w:val="center"/>
            <w:hideMark/>
          </w:tcPr>
          <w:p w14:paraId="2824555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EADBA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FA3300"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9832E7C" w14:textId="77777777" w:rsidR="00000000" w:rsidRDefault="00EB4933">
            <w:pPr>
              <w:jc w:val="right"/>
              <w:rPr>
                <w:rFonts w:eastAsia="Times New Roman"/>
                <w:sz w:val="20"/>
                <w:szCs w:val="20"/>
              </w:rPr>
            </w:pPr>
            <w:r>
              <w:rPr>
                <w:rFonts w:eastAsia="Times New Roman"/>
                <w:sz w:val="20"/>
                <w:szCs w:val="20"/>
              </w:rPr>
              <w:t>34,127</w:t>
            </w:r>
          </w:p>
        </w:tc>
        <w:tc>
          <w:tcPr>
            <w:tcW w:w="50" w:type="pct"/>
            <w:shd w:val="clear" w:color="auto" w:fill="CCEEFF"/>
            <w:noWrap/>
            <w:vAlign w:val="center"/>
            <w:hideMark/>
          </w:tcPr>
          <w:p w14:paraId="689B40AF" w14:textId="77777777" w:rsidR="00000000" w:rsidRDefault="00EB4933">
            <w:pPr>
              <w:pStyle w:val="NormalWeb"/>
              <w:spacing w:before="0" w:beforeAutospacing="0" w:after="0" w:afterAutospacing="0"/>
              <w:rPr>
                <w:sz w:val="20"/>
                <w:szCs w:val="20"/>
              </w:rPr>
            </w:pPr>
            <w:r>
              <w:rPr>
                <w:sz w:val="20"/>
                <w:szCs w:val="20"/>
              </w:rPr>
              <w:t> </w:t>
            </w:r>
          </w:p>
        </w:tc>
      </w:tr>
      <w:tr w:rsidR="00000000" w14:paraId="67F014FF" w14:textId="77777777">
        <w:trPr>
          <w:divId w:val="98525094"/>
          <w:trHeight w:val="225"/>
          <w:tblCellSpacing w:w="15" w:type="dxa"/>
        </w:trPr>
        <w:tc>
          <w:tcPr>
            <w:tcW w:w="0" w:type="auto"/>
            <w:shd w:val="clear" w:color="auto" w:fill="FFFFFF"/>
            <w:hideMark/>
          </w:tcPr>
          <w:p w14:paraId="46488F8A" w14:textId="77777777" w:rsidR="00000000" w:rsidRDefault="00EB4933">
            <w:pPr>
              <w:pStyle w:val="NormalWeb"/>
              <w:spacing w:before="0" w:beforeAutospacing="0" w:after="0" w:afterAutospacing="0"/>
              <w:rPr>
                <w:sz w:val="20"/>
                <w:szCs w:val="20"/>
              </w:rPr>
            </w:pPr>
            <w:r>
              <w:rPr>
                <w:sz w:val="20"/>
                <w:szCs w:val="20"/>
              </w:rPr>
              <w:t>Net assets</w:t>
            </w:r>
          </w:p>
        </w:tc>
        <w:tc>
          <w:tcPr>
            <w:tcW w:w="50" w:type="pct"/>
            <w:shd w:val="clear" w:color="auto" w:fill="FFFFFF"/>
            <w:noWrap/>
            <w:vAlign w:val="center"/>
            <w:hideMark/>
          </w:tcPr>
          <w:p w14:paraId="68B7874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CCDEEB"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590C572" w14:textId="77777777" w:rsidR="00000000" w:rsidRDefault="00EB4933">
            <w:pPr>
              <w:jc w:val="right"/>
              <w:rPr>
                <w:rFonts w:eastAsia="Times New Roman"/>
                <w:sz w:val="20"/>
                <w:szCs w:val="20"/>
              </w:rPr>
            </w:pPr>
            <w:r>
              <w:rPr>
                <w:rFonts w:eastAsia="Times New Roman"/>
                <w:sz w:val="20"/>
                <w:szCs w:val="20"/>
              </w:rPr>
              <w:t>361,507</w:t>
            </w:r>
          </w:p>
        </w:tc>
        <w:tc>
          <w:tcPr>
            <w:tcW w:w="50" w:type="pct"/>
            <w:shd w:val="clear" w:color="auto" w:fill="FFFFFF"/>
            <w:noWrap/>
            <w:vAlign w:val="center"/>
            <w:hideMark/>
          </w:tcPr>
          <w:p w14:paraId="5DF38BB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43DB7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48862E"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25073E5" w14:textId="77777777" w:rsidR="00000000" w:rsidRDefault="00EB4933">
            <w:pPr>
              <w:jc w:val="right"/>
              <w:rPr>
                <w:rFonts w:eastAsia="Times New Roman"/>
                <w:sz w:val="20"/>
                <w:szCs w:val="20"/>
              </w:rPr>
            </w:pPr>
            <w:r>
              <w:rPr>
                <w:rFonts w:eastAsia="Times New Roman"/>
                <w:sz w:val="20"/>
                <w:szCs w:val="20"/>
              </w:rPr>
              <w:t>579,685</w:t>
            </w:r>
          </w:p>
        </w:tc>
        <w:tc>
          <w:tcPr>
            <w:tcW w:w="50" w:type="pct"/>
            <w:shd w:val="clear" w:color="auto" w:fill="FFFFFF"/>
            <w:noWrap/>
            <w:vAlign w:val="center"/>
            <w:hideMark/>
          </w:tcPr>
          <w:p w14:paraId="037AE23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4569D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FB363A"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95C1AFA" w14:textId="77777777" w:rsidR="00000000" w:rsidRDefault="00EB4933">
            <w:pPr>
              <w:jc w:val="right"/>
              <w:rPr>
                <w:rFonts w:eastAsia="Times New Roman"/>
                <w:sz w:val="20"/>
                <w:szCs w:val="20"/>
              </w:rPr>
            </w:pPr>
            <w:r>
              <w:rPr>
                <w:rFonts w:eastAsia="Times New Roman"/>
                <w:sz w:val="20"/>
                <w:szCs w:val="20"/>
              </w:rPr>
              <w:t>592,884</w:t>
            </w:r>
          </w:p>
        </w:tc>
        <w:tc>
          <w:tcPr>
            <w:tcW w:w="50" w:type="pct"/>
            <w:shd w:val="clear" w:color="auto" w:fill="FFFFFF"/>
            <w:noWrap/>
            <w:vAlign w:val="center"/>
            <w:hideMark/>
          </w:tcPr>
          <w:p w14:paraId="7D839C5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12C12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88CA84"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1CDD929" w14:textId="77777777" w:rsidR="00000000" w:rsidRDefault="00EB4933">
            <w:pPr>
              <w:jc w:val="right"/>
              <w:rPr>
                <w:rFonts w:eastAsia="Times New Roman"/>
                <w:sz w:val="20"/>
                <w:szCs w:val="20"/>
              </w:rPr>
            </w:pPr>
            <w:r>
              <w:rPr>
                <w:rFonts w:eastAsia="Times New Roman"/>
                <w:sz w:val="20"/>
                <w:szCs w:val="20"/>
              </w:rPr>
              <w:t>367,066</w:t>
            </w:r>
          </w:p>
        </w:tc>
        <w:tc>
          <w:tcPr>
            <w:tcW w:w="50" w:type="pct"/>
            <w:shd w:val="clear" w:color="auto" w:fill="FFFFFF"/>
            <w:noWrap/>
            <w:vAlign w:val="center"/>
            <w:hideMark/>
          </w:tcPr>
          <w:p w14:paraId="5110BE0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560A7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DCBA32"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BDFDBC5" w14:textId="77777777" w:rsidR="00000000" w:rsidRDefault="00EB4933">
            <w:pPr>
              <w:jc w:val="right"/>
              <w:rPr>
                <w:rFonts w:eastAsia="Times New Roman"/>
                <w:sz w:val="20"/>
                <w:szCs w:val="20"/>
              </w:rPr>
            </w:pPr>
            <w:r>
              <w:rPr>
                <w:rFonts w:eastAsia="Times New Roman"/>
                <w:sz w:val="20"/>
                <w:szCs w:val="20"/>
              </w:rPr>
              <w:t>426,161</w:t>
            </w:r>
          </w:p>
        </w:tc>
        <w:tc>
          <w:tcPr>
            <w:tcW w:w="50" w:type="pct"/>
            <w:shd w:val="clear" w:color="auto" w:fill="FFFFFF"/>
            <w:noWrap/>
            <w:vAlign w:val="center"/>
            <w:hideMark/>
          </w:tcPr>
          <w:p w14:paraId="45FED29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E26D6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8D0F19"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688E867" w14:textId="77777777" w:rsidR="00000000" w:rsidRDefault="00EB4933">
            <w:pPr>
              <w:jc w:val="right"/>
              <w:rPr>
                <w:rFonts w:eastAsia="Times New Roman"/>
                <w:sz w:val="20"/>
                <w:szCs w:val="20"/>
              </w:rPr>
            </w:pPr>
            <w:r>
              <w:rPr>
                <w:rFonts w:eastAsia="Times New Roman"/>
                <w:sz w:val="20"/>
                <w:szCs w:val="20"/>
              </w:rPr>
              <w:t>61,214</w:t>
            </w:r>
          </w:p>
        </w:tc>
        <w:tc>
          <w:tcPr>
            <w:tcW w:w="50" w:type="pct"/>
            <w:shd w:val="clear" w:color="auto" w:fill="FFFFFF"/>
            <w:noWrap/>
            <w:vAlign w:val="center"/>
            <w:hideMark/>
          </w:tcPr>
          <w:p w14:paraId="7D48ABB4" w14:textId="77777777" w:rsidR="00000000" w:rsidRDefault="00EB4933">
            <w:pPr>
              <w:pStyle w:val="NormalWeb"/>
              <w:spacing w:before="0" w:beforeAutospacing="0" w:after="0" w:afterAutospacing="0"/>
              <w:rPr>
                <w:sz w:val="20"/>
                <w:szCs w:val="20"/>
              </w:rPr>
            </w:pPr>
            <w:r>
              <w:rPr>
                <w:sz w:val="20"/>
                <w:szCs w:val="20"/>
              </w:rPr>
              <w:t> </w:t>
            </w:r>
          </w:p>
        </w:tc>
      </w:tr>
      <w:tr w:rsidR="00000000" w14:paraId="3DC02B68" w14:textId="77777777">
        <w:trPr>
          <w:divId w:val="98525094"/>
          <w:trHeight w:val="225"/>
          <w:tblCellSpacing w:w="15" w:type="dxa"/>
        </w:trPr>
        <w:tc>
          <w:tcPr>
            <w:tcW w:w="0" w:type="auto"/>
            <w:shd w:val="clear" w:color="auto" w:fill="CCEEFF"/>
            <w:hideMark/>
          </w:tcPr>
          <w:p w14:paraId="0062572D" w14:textId="77777777" w:rsidR="00000000" w:rsidRDefault="00EB4933">
            <w:pPr>
              <w:pStyle w:val="NormalWeb"/>
              <w:spacing w:before="0" w:beforeAutospacing="0" w:after="0" w:afterAutospacing="0"/>
              <w:rPr>
                <w:sz w:val="20"/>
                <w:szCs w:val="20"/>
              </w:rPr>
            </w:pPr>
            <w:r>
              <w:rPr>
                <w:sz w:val="20"/>
                <w:szCs w:val="20"/>
              </w:rPr>
              <w:t>Total shareholders’ equity</w:t>
            </w:r>
          </w:p>
        </w:tc>
        <w:tc>
          <w:tcPr>
            <w:tcW w:w="50" w:type="pct"/>
            <w:shd w:val="clear" w:color="auto" w:fill="CCEEFF"/>
            <w:noWrap/>
            <w:vAlign w:val="center"/>
            <w:hideMark/>
          </w:tcPr>
          <w:p w14:paraId="57B7195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53D6BB"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96187AA" w14:textId="77777777" w:rsidR="00000000" w:rsidRDefault="00EB4933">
            <w:pPr>
              <w:jc w:val="right"/>
              <w:rPr>
                <w:rFonts w:eastAsia="Times New Roman"/>
                <w:sz w:val="20"/>
                <w:szCs w:val="20"/>
              </w:rPr>
            </w:pPr>
            <w:r>
              <w:rPr>
                <w:rFonts w:eastAsia="Times New Roman"/>
                <w:sz w:val="20"/>
                <w:szCs w:val="20"/>
              </w:rPr>
              <w:t>361,507</w:t>
            </w:r>
          </w:p>
        </w:tc>
        <w:tc>
          <w:tcPr>
            <w:tcW w:w="50" w:type="pct"/>
            <w:shd w:val="clear" w:color="auto" w:fill="CCEEFF"/>
            <w:noWrap/>
            <w:vAlign w:val="center"/>
            <w:hideMark/>
          </w:tcPr>
          <w:p w14:paraId="2D9E8CC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8A95A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9C7485"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62F0361" w14:textId="77777777" w:rsidR="00000000" w:rsidRDefault="00EB4933">
            <w:pPr>
              <w:jc w:val="right"/>
              <w:rPr>
                <w:rFonts w:eastAsia="Times New Roman"/>
                <w:sz w:val="20"/>
                <w:szCs w:val="20"/>
              </w:rPr>
            </w:pPr>
            <w:r>
              <w:rPr>
                <w:rFonts w:eastAsia="Times New Roman"/>
                <w:sz w:val="20"/>
                <w:szCs w:val="20"/>
              </w:rPr>
              <w:t>579,685</w:t>
            </w:r>
          </w:p>
        </w:tc>
        <w:tc>
          <w:tcPr>
            <w:tcW w:w="50" w:type="pct"/>
            <w:shd w:val="clear" w:color="auto" w:fill="CCEEFF"/>
            <w:noWrap/>
            <w:vAlign w:val="center"/>
            <w:hideMark/>
          </w:tcPr>
          <w:p w14:paraId="04A1A43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249A5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418100"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EFEB9D6" w14:textId="77777777" w:rsidR="00000000" w:rsidRDefault="00EB4933">
            <w:pPr>
              <w:jc w:val="right"/>
              <w:rPr>
                <w:rFonts w:eastAsia="Times New Roman"/>
                <w:sz w:val="20"/>
                <w:szCs w:val="20"/>
              </w:rPr>
            </w:pPr>
            <w:r>
              <w:rPr>
                <w:rFonts w:eastAsia="Times New Roman"/>
                <w:sz w:val="20"/>
                <w:szCs w:val="20"/>
              </w:rPr>
              <w:t>592,884</w:t>
            </w:r>
          </w:p>
        </w:tc>
        <w:tc>
          <w:tcPr>
            <w:tcW w:w="50" w:type="pct"/>
            <w:shd w:val="clear" w:color="auto" w:fill="CCEEFF"/>
            <w:noWrap/>
            <w:vAlign w:val="center"/>
            <w:hideMark/>
          </w:tcPr>
          <w:p w14:paraId="1D2C229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38624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204DE9"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159BBFD" w14:textId="77777777" w:rsidR="00000000" w:rsidRDefault="00EB4933">
            <w:pPr>
              <w:jc w:val="right"/>
              <w:rPr>
                <w:rFonts w:eastAsia="Times New Roman"/>
                <w:sz w:val="20"/>
                <w:szCs w:val="20"/>
              </w:rPr>
            </w:pPr>
            <w:r>
              <w:rPr>
                <w:rFonts w:eastAsia="Times New Roman"/>
                <w:sz w:val="20"/>
                <w:szCs w:val="20"/>
              </w:rPr>
              <w:t>367,066</w:t>
            </w:r>
          </w:p>
        </w:tc>
        <w:tc>
          <w:tcPr>
            <w:tcW w:w="50" w:type="pct"/>
            <w:shd w:val="clear" w:color="auto" w:fill="CCEEFF"/>
            <w:noWrap/>
            <w:vAlign w:val="center"/>
            <w:hideMark/>
          </w:tcPr>
          <w:p w14:paraId="3A8D924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432996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348AF8"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EC4118D" w14:textId="77777777" w:rsidR="00000000" w:rsidRDefault="00EB4933">
            <w:pPr>
              <w:jc w:val="right"/>
              <w:rPr>
                <w:rFonts w:eastAsia="Times New Roman"/>
                <w:sz w:val="20"/>
                <w:szCs w:val="20"/>
              </w:rPr>
            </w:pPr>
            <w:r>
              <w:rPr>
                <w:rFonts w:eastAsia="Times New Roman"/>
                <w:sz w:val="20"/>
                <w:szCs w:val="20"/>
              </w:rPr>
              <w:t>426,161</w:t>
            </w:r>
          </w:p>
        </w:tc>
        <w:tc>
          <w:tcPr>
            <w:tcW w:w="50" w:type="pct"/>
            <w:shd w:val="clear" w:color="auto" w:fill="CCEEFF"/>
            <w:noWrap/>
            <w:vAlign w:val="center"/>
            <w:hideMark/>
          </w:tcPr>
          <w:p w14:paraId="72E236A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58466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9239EF"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8C54F2D" w14:textId="77777777" w:rsidR="00000000" w:rsidRDefault="00EB4933">
            <w:pPr>
              <w:jc w:val="right"/>
              <w:rPr>
                <w:rFonts w:eastAsia="Times New Roman"/>
                <w:sz w:val="20"/>
                <w:szCs w:val="20"/>
              </w:rPr>
            </w:pPr>
            <w:r>
              <w:rPr>
                <w:rFonts w:eastAsia="Times New Roman"/>
                <w:sz w:val="20"/>
                <w:szCs w:val="20"/>
              </w:rPr>
              <w:t>61,214</w:t>
            </w:r>
          </w:p>
        </w:tc>
        <w:tc>
          <w:tcPr>
            <w:tcW w:w="50" w:type="pct"/>
            <w:shd w:val="clear" w:color="auto" w:fill="CCEEFF"/>
            <w:noWrap/>
            <w:vAlign w:val="center"/>
            <w:hideMark/>
          </w:tcPr>
          <w:p w14:paraId="747B6AE1" w14:textId="77777777" w:rsidR="00000000" w:rsidRDefault="00EB4933">
            <w:pPr>
              <w:pStyle w:val="NormalWeb"/>
              <w:spacing w:before="0" w:beforeAutospacing="0" w:after="0" w:afterAutospacing="0"/>
              <w:rPr>
                <w:sz w:val="20"/>
                <w:szCs w:val="20"/>
              </w:rPr>
            </w:pPr>
            <w:r>
              <w:rPr>
                <w:sz w:val="20"/>
                <w:szCs w:val="20"/>
              </w:rPr>
              <w:t> </w:t>
            </w:r>
          </w:p>
        </w:tc>
      </w:tr>
    </w:tbl>
    <w:p w14:paraId="104DFD64" w14:textId="77777777" w:rsidR="00000000" w:rsidRDefault="00EB4933">
      <w:pPr>
        <w:pStyle w:val="NormalWeb"/>
        <w:spacing w:before="0" w:beforeAutospacing="0" w:after="0" w:afterAutospacing="0"/>
        <w:jc w:val="both"/>
        <w:divId w:val="98525094"/>
        <w:rPr>
          <w:sz w:val="20"/>
          <w:szCs w:val="20"/>
        </w:rPr>
      </w:pPr>
      <w:r>
        <w:rPr>
          <w:sz w:val="20"/>
          <w:szCs w:val="20"/>
        </w:rPr>
        <w:t>____________</w:t>
      </w:r>
    </w:p>
    <w:p w14:paraId="1AFE992E" w14:textId="77777777" w:rsidR="00000000" w:rsidRDefault="00EB4933">
      <w:pPr>
        <w:pStyle w:val="NormalWeb"/>
        <w:spacing w:before="0" w:beforeAutospacing="0" w:after="0" w:afterAutospacing="0"/>
        <w:jc w:val="both"/>
        <w:divId w:val="98525094"/>
        <w:rPr>
          <w:sz w:val="20"/>
          <w:szCs w:val="20"/>
        </w:rPr>
      </w:pPr>
      <w:r>
        <w:rPr>
          <w:sz w:val="20"/>
          <w:szCs w:val="20"/>
        </w:rPr>
        <w:t>(1)</w:t>
      </w:r>
      <w:r>
        <w:rPr>
          <w:sz w:val="14"/>
          <w:szCs w:val="14"/>
        </w:rPr>
        <w:t xml:space="preserve"> </w:t>
      </w:r>
      <w:r>
        <w:rPr>
          <w:sz w:val="14"/>
          <w:szCs w:val="14"/>
        </w:rPr>
        <w:t xml:space="preserve">Information has been restated in order to correct certain accounting errors. See Note 30 of Notes to Consolidated Financial Statements. </w:t>
      </w:r>
    </w:p>
    <w:p w14:paraId="344747D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D9CAE12" w14:textId="77777777" w:rsidR="00000000" w:rsidRDefault="00EB4933">
      <w:pPr>
        <w:pStyle w:val="NormalWeb"/>
        <w:spacing w:before="0" w:beforeAutospacing="0" w:after="0" w:afterAutospacing="0"/>
        <w:jc w:val="both"/>
        <w:divId w:val="98525094"/>
        <w:rPr>
          <w:sz w:val="20"/>
          <w:szCs w:val="20"/>
        </w:rPr>
      </w:pPr>
      <w:r>
        <w:rPr>
          <w:rStyle w:val="Strong"/>
          <w:sz w:val="20"/>
          <w:szCs w:val="20"/>
        </w:rPr>
        <w:t>B. Capitalization and Indebtedness</w:t>
      </w:r>
    </w:p>
    <w:p w14:paraId="6ECEB8A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B8E25BA" w14:textId="77777777" w:rsidR="00000000" w:rsidRDefault="00EB4933">
      <w:pPr>
        <w:pStyle w:val="NormalWeb"/>
        <w:spacing w:before="0" w:beforeAutospacing="0" w:after="0" w:afterAutospacing="0"/>
        <w:ind w:firstLine="675"/>
        <w:jc w:val="both"/>
        <w:divId w:val="98525094"/>
        <w:rPr>
          <w:sz w:val="20"/>
          <w:szCs w:val="20"/>
        </w:rPr>
      </w:pPr>
      <w:r>
        <w:rPr>
          <w:sz w:val="20"/>
          <w:szCs w:val="20"/>
        </w:rPr>
        <w:t>Not applicable.</w:t>
      </w:r>
    </w:p>
    <w:p w14:paraId="674A023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D451523" w14:textId="77777777" w:rsidR="00000000" w:rsidRDefault="00EB4933">
      <w:pPr>
        <w:pStyle w:val="NormalWeb"/>
        <w:spacing w:before="0" w:beforeAutospacing="0" w:after="0" w:afterAutospacing="0"/>
        <w:jc w:val="both"/>
        <w:divId w:val="98525094"/>
        <w:rPr>
          <w:sz w:val="20"/>
          <w:szCs w:val="20"/>
        </w:rPr>
      </w:pPr>
      <w:r>
        <w:rPr>
          <w:rStyle w:val="Strong"/>
          <w:sz w:val="20"/>
          <w:szCs w:val="20"/>
        </w:rPr>
        <w:t>C. Reasons for the Offer and Use of Proceeds</w:t>
      </w:r>
    </w:p>
    <w:p w14:paraId="7E48A8E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4852AF8" w14:textId="77777777" w:rsidR="00000000" w:rsidRDefault="00EB4933">
      <w:pPr>
        <w:pStyle w:val="NormalWeb"/>
        <w:spacing w:before="0" w:beforeAutospacing="0" w:after="0" w:afterAutospacing="0"/>
        <w:ind w:firstLine="675"/>
        <w:jc w:val="both"/>
        <w:divId w:val="98525094"/>
        <w:rPr>
          <w:sz w:val="20"/>
          <w:szCs w:val="20"/>
        </w:rPr>
      </w:pPr>
      <w:r>
        <w:rPr>
          <w:sz w:val="20"/>
          <w:szCs w:val="20"/>
        </w:rPr>
        <w:t>Not applicabl</w:t>
      </w:r>
      <w:r>
        <w:rPr>
          <w:sz w:val="20"/>
          <w:szCs w:val="20"/>
        </w:rPr>
        <w:t>e.</w:t>
      </w:r>
    </w:p>
    <w:p w14:paraId="43CE3FA4" w14:textId="77777777" w:rsidR="00000000" w:rsidRDefault="00EB4933">
      <w:pPr>
        <w:pStyle w:val="NormalWeb"/>
        <w:spacing w:before="0" w:beforeAutospacing="0" w:after="0" w:afterAutospacing="0"/>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5A129B7" w14:textId="77777777">
        <w:trPr>
          <w:divId w:val="98525094"/>
          <w:trHeight w:val="225"/>
          <w:tblCellSpacing w:w="15" w:type="dxa"/>
        </w:trPr>
        <w:tc>
          <w:tcPr>
            <w:tcW w:w="0" w:type="auto"/>
            <w:vAlign w:val="center"/>
            <w:hideMark/>
          </w:tcPr>
          <w:p w14:paraId="5A6C3E5C" w14:textId="77777777" w:rsidR="00000000" w:rsidRDefault="00EB4933">
            <w:pPr>
              <w:rPr>
                <w:rFonts w:eastAsia="Times New Roman"/>
                <w:sz w:val="20"/>
                <w:szCs w:val="20"/>
              </w:rPr>
            </w:pPr>
            <w:r>
              <w:rPr>
                <w:rFonts w:eastAsia="Times New Roman"/>
                <w:sz w:val="20"/>
                <w:szCs w:val="20"/>
              </w:rPr>
              <w:t> </w:t>
            </w:r>
          </w:p>
        </w:tc>
      </w:tr>
      <w:tr w:rsidR="00000000" w14:paraId="6A77E4D2" w14:textId="77777777">
        <w:trPr>
          <w:divId w:val="98525094"/>
          <w:trHeight w:val="225"/>
          <w:tblCellSpacing w:w="15" w:type="dxa"/>
        </w:trPr>
        <w:tc>
          <w:tcPr>
            <w:tcW w:w="0" w:type="auto"/>
            <w:tcBorders>
              <w:bottom w:val="single" w:sz="6" w:space="0" w:color="000000"/>
            </w:tcBorders>
            <w:vAlign w:val="center"/>
            <w:hideMark/>
          </w:tcPr>
          <w:p w14:paraId="12CA003D" w14:textId="77777777" w:rsidR="00000000" w:rsidRDefault="00EB4933">
            <w:pPr>
              <w:jc w:val="center"/>
              <w:rPr>
                <w:rFonts w:eastAsia="Times New Roman"/>
                <w:sz w:val="20"/>
                <w:szCs w:val="20"/>
              </w:rPr>
            </w:pPr>
            <w:r>
              <w:rPr>
                <w:rFonts w:eastAsia="Times New Roman"/>
                <w:sz w:val="20"/>
                <w:szCs w:val="20"/>
              </w:rPr>
              <w:t>10</w:t>
            </w:r>
          </w:p>
        </w:tc>
      </w:tr>
      <w:tr w:rsidR="00000000" w14:paraId="4A25FF9C" w14:textId="77777777">
        <w:trPr>
          <w:divId w:val="98525094"/>
          <w:trHeight w:val="225"/>
          <w:tblCellSpacing w:w="15" w:type="dxa"/>
        </w:trPr>
        <w:tc>
          <w:tcPr>
            <w:tcW w:w="0" w:type="auto"/>
            <w:vAlign w:val="center"/>
            <w:hideMark/>
          </w:tcPr>
          <w:p w14:paraId="14924321" w14:textId="77777777" w:rsidR="00000000" w:rsidRDefault="00EB4933">
            <w:pPr>
              <w:rPr>
                <w:rFonts w:eastAsia="Times New Roman"/>
                <w:sz w:val="20"/>
                <w:szCs w:val="20"/>
              </w:rPr>
            </w:pPr>
          </w:p>
        </w:tc>
      </w:tr>
      <w:tr w:rsidR="00000000" w14:paraId="606200B7" w14:textId="77777777">
        <w:trPr>
          <w:divId w:val="98525094"/>
          <w:trHeight w:val="225"/>
          <w:tblCellSpacing w:w="15" w:type="dxa"/>
        </w:trPr>
        <w:tc>
          <w:tcPr>
            <w:tcW w:w="0" w:type="auto"/>
            <w:vAlign w:val="center"/>
            <w:hideMark/>
          </w:tcPr>
          <w:p w14:paraId="2ECBED79" w14:textId="77777777" w:rsidR="00000000" w:rsidRDefault="00EB4933">
            <w:pPr>
              <w:rPr>
                <w:rFonts w:eastAsia="Times New Roman"/>
                <w:sz w:val="20"/>
                <w:szCs w:val="20"/>
              </w:rPr>
            </w:pPr>
            <w:hyperlink r:id="rId70" w:anchor="toc" w:history="1">
              <w:r>
                <w:rPr>
                  <w:rStyle w:val="Hyperlink"/>
                  <w:rFonts w:eastAsia="Times New Roman"/>
                  <w:i/>
                  <w:iCs/>
                  <w:sz w:val="20"/>
                  <w:szCs w:val="20"/>
                </w:rPr>
                <w:t>Table of Contents</w:t>
              </w:r>
            </w:hyperlink>
          </w:p>
        </w:tc>
      </w:tr>
    </w:tbl>
    <w:p w14:paraId="2AC24A7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AAEA258" w14:textId="77777777" w:rsidR="00000000" w:rsidRDefault="00EB4933">
      <w:pPr>
        <w:pStyle w:val="NormalWeb"/>
        <w:spacing w:before="0" w:beforeAutospacing="0" w:after="0" w:afterAutospacing="0"/>
        <w:jc w:val="both"/>
        <w:divId w:val="98525094"/>
        <w:rPr>
          <w:sz w:val="20"/>
          <w:szCs w:val="20"/>
        </w:rPr>
      </w:pPr>
      <w:r>
        <w:rPr>
          <w:rStyle w:val="Strong"/>
          <w:sz w:val="20"/>
          <w:szCs w:val="20"/>
        </w:rPr>
        <w:t>D. Risk Factors</w:t>
      </w:r>
    </w:p>
    <w:p w14:paraId="18970D3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5E3E65A" w14:textId="77777777" w:rsidR="00000000" w:rsidRDefault="00EB4933">
      <w:pPr>
        <w:pStyle w:val="NormalWeb"/>
        <w:spacing w:before="0" w:beforeAutospacing="0" w:after="0" w:afterAutospacing="0"/>
        <w:jc w:val="both"/>
        <w:divId w:val="98525094"/>
        <w:rPr>
          <w:sz w:val="20"/>
          <w:szCs w:val="20"/>
        </w:rPr>
      </w:pPr>
      <w:r>
        <w:rPr>
          <w:sz w:val="20"/>
          <w:szCs w:val="20"/>
        </w:rPr>
        <w:t>There are many risks and uncertainties that may affect our operations, performance, development and results. Many of these risks are beyond our control. The following is a description of the important risk factors that may affect our business. If any of th</w:t>
      </w:r>
      <w:r>
        <w:rPr>
          <w:sz w:val="20"/>
          <w:szCs w:val="20"/>
        </w:rPr>
        <w:t>ese risks were to actually occur, our business, financial condition or results of operations could be materially adversely affected. Additional risks and uncertainties not currently known to us or that we currently consider to be immaterial may also materi</w:t>
      </w:r>
      <w:r>
        <w:rPr>
          <w:sz w:val="20"/>
          <w:szCs w:val="20"/>
        </w:rPr>
        <w:t>ally adversely affect our business, financial condition or results of operations.</w:t>
      </w:r>
    </w:p>
    <w:p w14:paraId="4308FAF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A8FA6EC" w14:textId="77777777" w:rsidR="00000000" w:rsidRDefault="00EB4933">
      <w:pPr>
        <w:pStyle w:val="NormalWeb"/>
        <w:spacing w:before="0" w:beforeAutospacing="0" w:after="0" w:afterAutospacing="0"/>
        <w:jc w:val="both"/>
        <w:divId w:val="98525094"/>
        <w:rPr>
          <w:sz w:val="20"/>
          <w:szCs w:val="20"/>
        </w:rPr>
      </w:pPr>
      <w:r>
        <w:rPr>
          <w:rStyle w:val="Strong"/>
          <w:sz w:val="20"/>
          <w:szCs w:val="20"/>
        </w:rPr>
        <w:t>Risk Factors Relating to Our Business</w:t>
      </w:r>
    </w:p>
    <w:p w14:paraId="04038E7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77E3AB0"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Our limited operating history makes it difficult to evaluate our business and prospects.</w:t>
      </w:r>
    </w:p>
    <w:p w14:paraId="609E2D47"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F3BF79A"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commenced operations in early 20</w:t>
      </w:r>
      <w:r>
        <w:rPr>
          <w:sz w:val="20"/>
          <w:szCs w:val="20"/>
        </w:rPr>
        <w:t>13 and have a limited operating history. Our interest income on loans was RMB119.6 million, RMB141.9 million and RMB118.4 million ($17.0 million) in 2017, 2018 and 2019, respectively. Our growth rate since 2016 may not be indicative of our future performan</w:t>
      </w:r>
      <w:r>
        <w:rPr>
          <w:sz w:val="20"/>
          <w:szCs w:val="20"/>
        </w:rPr>
        <w:t>ce. We may not be able to achieve similar results or grow at the same rate as we did in the past. It is also difficult to evaluate our prospects, as we may not have sufficient experience in addressing the risks to which companies operating in new and rapid</w:t>
      </w:r>
      <w:r>
        <w:rPr>
          <w:sz w:val="20"/>
          <w:szCs w:val="20"/>
        </w:rPr>
        <w:t>ly evolving markets such as the microfinance industry may be exposed. We will continue to encounter risks and difficulties that companies at a similar stage of development frequently experience, including the potential failure to:</w:t>
      </w:r>
    </w:p>
    <w:p w14:paraId="2A969D9F"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545"/>
        <w:gridCol w:w="530"/>
        <w:gridCol w:w="8285"/>
      </w:tblGrid>
      <w:tr w:rsidR="00000000" w14:paraId="7D3F9FD0" w14:textId="77777777">
        <w:trPr>
          <w:divId w:val="98525094"/>
          <w:trHeight w:val="225"/>
          <w:tblCellSpacing w:w="15" w:type="dxa"/>
        </w:trPr>
        <w:tc>
          <w:tcPr>
            <w:tcW w:w="200" w:type="pct"/>
            <w:vAlign w:val="center"/>
            <w:hideMark/>
          </w:tcPr>
          <w:p w14:paraId="6F29ABF5"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2CB6D5FC" w14:textId="77777777" w:rsidR="00000000" w:rsidRDefault="00EB4933">
            <w:pPr>
              <w:pStyle w:val="NormalWeb"/>
              <w:spacing w:before="0" w:beforeAutospacing="0" w:after="0" w:afterAutospacing="0"/>
              <w:jc w:val="both"/>
              <w:rPr>
                <w:sz w:val="20"/>
                <w:szCs w:val="20"/>
              </w:rPr>
            </w:pPr>
            <w:r>
              <w:rPr>
                <w:sz w:val="20"/>
                <w:szCs w:val="20"/>
              </w:rPr>
              <w:t>-</w:t>
            </w:r>
          </w:p>
        </w:tc>
        <w:tc>
          <w:tcPr>
            <w:tcW w:w="0" w:type="auto"/>
            <w:hideMark/>
          </w:tcPr>
          <w:p w14:paraId="7D3BE14F" w14:textId="77777777" w:rsidR="00000000" w:rsidRDefault="00EB4933">
            <w:pPr>
              <w:jc w:val="both"/>
              <w:rPr>
                <w:rFonts w:eastAsia="Times New Roman"/>
                <w:sz w:val="20"/>
                <w:szCs w:val="20"/>
              </w:rPr>
            </w:pPr>
            <w:r>
              <w:rPr>
                <w:rFonts w:eastAsia="Times New Roman"/>
                <w:sz w:val="20"/>
                <w:szCs w:val="20"/>
              </w:rPr>
              <w:t>obtain sufficient working capital and increase our registered and paid-up capital to support expansion of our loan portfolio;</w:t>
            </w:r>
          </w:p>
        </w:tc>
      </w:tr>
      <w:tr w:rsidR="00000000" w14:paraId="20E2CD68" w14:textId="77777777">
        <w:trPr>
          <w:divId w:val="98525094"/>
          <w:trHeight w:val="225"/>
          <w:tblCellSpacing w:w="15" w:type="dxa"/>
        </w:trPr>
        <w:tc>
          <w:tcPr>
            <w:tcW w:w="0" w:type="auto"/>
            <w:vAlign w:val="center"/>
            <w:hideMark/>
          </w:tcPr>
          <w:p w14:paraId="0CE2E22E"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770BBCAC"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18521B02"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7C49334B" w14:textId="77777777">
        <w:trPr>
          <w:divId w:val="98525094"/>
          <w:trHeight w:val="225"/>
          <w:tblCellSpacing w:w="15" w:type="dxa"/>
        </w:trPr>
        <w:tc>
          <w:tcPr>
            <w:tcW w:w="0" w:type="auto"/>
            <w:vAlign w:val="center"/>
            <w:hideMark/>
          </w:tcPr>
          <w:p w14:paraId="37EED2AB"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6014B353" w14:textId="77777777" w:rsidR="00000000" w:rsidRDefault="00EB4933">
            <w:pPr>
              <w:pStyle w:val="NormalWeb"/>
              <w:spacing w:before="0" w:beforeAutospacing="0" w:after="0" w:afterAutospacing="0"/>
              <w:jc w:val="both"/>
              <w:rPr>
                <w:sz w:val="20"/>
                <w:szCs w:val="20"/>
              </w:rPr>
            </w:pPr>
            <w:r>
              <w:rPr>
                <w:sz w:val="20"/>
                <w:szCs w:val="20"/>
              </w:rPr>
              <w:t>-</w:t>
            </w:r>
          </w:p>
        </w:tc>
        <w:tc>
          <w:tcPr>
            <w:tcW w:w="0" w:type="auto"/>
            <w:hideMark/>
          </w:tcPr>
          <w:p w14:paraId="153062C1" w14:textId="77777777" w:rsidR="00000000" w:rsidRDefault="00EB4933">
            <w:pPr>
              <w:jc w:val="both"/>
              <w:rPr>
                <w:rFonts w:eastAsia="Times New Roman"/>
                <w:sz w:val="20"/>
                <w:szCs w:val="20"/>
              </w:rPr>
            </w:pPr>
            <w:r>
              <w:rPr>
                <w:rFonts w:eastAsia="Times New Roman"/>
                <w:sz w:val="20"/>
                <w:szCs w:val="20"/>
              </w:rPr>
              <w:t>comply with any changes in the laws and regulations of the PRC or local province that may affect our lending operation</w:t>
            </w:r>
            <w:r>
              <w:rPr>
                <w:rFonts w:eastAsia="Times New Roman"/>
                <w:sz w:val="20"/>
                <w:szCs w:val="20"/>
              </w:rPr>
              <w:t>s;</w:t>
            </w:r>
          </w:p>
        </w:tc>
      </w:tr>
      <w:tr w:rsidR="00000000" w14:paraId="646E3CC2" w14:textId="77777777">
        <w:trPr>
          <w:divId w:val="98525094"/>
          <w:trHeight w:val="225"/>
          <w:tblCellSpacing w:w="15" w:type="dxa"/>
        </w:trPr>
        <w:tc>
          <w:tcPr>
            <w:tcW w:w="0" w:type="auto"/>
            <w:vAlign w:val="center"/>
            <w:hideMark/>
          </w:tcPr>
          <w:p w14:paraId="1F41B265"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66580C4"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F09C241"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2A28CDE3" w14:textId="77777777">
        <w:trPr>
          <w:divId w:val="98525094"/>
          <w:trHeight w:val="225"/>
          <w:tblCellSpacing w:w="15" w:type="dxa"/>
        </w:trPr>
        <w:tc>
          <w:tcPr>
            <w:tcW w:w="0" w:type="auto"/>
            <w:vAlign w:val="center"/>
            <w:hideMark/>
          </w:tcPr>
          <w:p w14:paraId="741DD622"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37ACD9A0" w14:textId="77777777" w:rsidR="00000000" w:rsidRDefault="00EB4933">
            <w:pPr>
              <w:pStyle w:val="NormalWeb"/>
              <w:spacing w:before="0" w:beforeAutospacing="0" w:after="0" w:afterAutospacing="0"/>
              <w:jc w:val="both"/>
              <w:rPr>
                <w:sz w:val="20"/>
                <w:szCs w:val="20"/>
              </w:rPr>
            </w:pPr>
            <w:r>
              <w:rPr>
                <w:sz w:val="20"/>
                <w:szCs w:val="20"/>
              </w:rPr>
              <w:t>-</w:t>
            </w:r>
          </w:p>
        </w:tc>
        <w:tc>
          <w:tcPr>
            <w:tcW w:w="0" w:type="auto"/>
            <w:hideMark/>
          </w:tcPr>
          <w:p w14:paraId="7D25B1F4" w14:textId="77777777" w:rsidR="00000000" w:rsidRDefault="00EB4933">
            <w:pPr>
              <w:jc w:val="both"/>
              <w:rPr>
                <w:rFonts w:eastAsia="Times New Roman"/>
                <w:sz w:val="20"/>
                <w:szCs w:val="20"/>
              </w:rPr>
            </w:pPr>
            <w:r>
              <w:rPr>
                <w:rFonts w:eastAsia="Times New Roman"/>
                <w:sz w:val="20"/>
                <w:szCs w:val="20"/>
              </w:rPr>
              <w:t>expand our borrowers base;</w:t>
            </w:r>
          </w:p>
        </w:tc>
      </w:tr>
      <w:tr w:rsidR="00000000" w14:paraId="66BE8297" w14:textId="77777777">
        <w:trPr>
          <w:divId w:val="98525094"/>
          <w:trHeight w:val="225"/>
          <w:tblCellSpacing w:w="15" w:type="dxa"/>
        </w:trPr>
        <w:tc>
          <w:tcPr>
            <w:tcW w:w="0" w:type="auto"/>
            <w:vAlign w:val="center"/>
            <w:hideMark/>
          </w:tcPr>
          <w:p w14:paraId="7A6F34D5"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174AD880"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2D606990"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16A535FE" w14:textId="77777777">
        <w:trPr>
          <w:divId w:val="98525094"/>
          <w:trHeight w:val="225"/>
          <w:tblCellSpacing w:w="15" w:type="dxa"/>
        </w:trPr>
        <w:tc>
          <w:tcPr>
            <w:tcW w:w="0" w:type="auto"/>
            <w:vAlign w:val="center"/>
            <w:hideMark/>
          </w:tcPr>
          <w:p w14:paraId="35A4CD6C" w14:textId="77777777" w:rsidR="00000000" w:rsidRDefault="00EB4933">
            <w:pPr>
              <w:pStyle w:val="NormalWeb"/>
              <w:spacing w:before="0" w:beforeAutospacing="0" w:after="0" w:afterAutospacing="0"/>
              <w:jc w:val="both"/>
              <w:rPr>
                <w:sz w:val="20"/>
                <w:szCs w:val="20"/>
              </w:rPr>
            </w:pPr>
            <w:r>
              <w:rPr>
                <w:sz w:val="20"/>
                <w:szCs w:val="20"/>
              </w:rPr>
              <w:lastRenderedPageBreak/>
              <w:t> </w:t>
            </w:r>
          </w:p>
        </w:tc>
        <w:tc>
          <w:tcPr>
            <w:tcW w:w="0" w:type="auto"/>
            <w:hideMark/>
          </w:tcPr>
          <w:p w14:paraId="0E6977A9" w14:textId="77777777" w:rsidR="00000000" w:rsidRDefault="00EB4933">
            <w:pPr>
              <w:pStyle w:val="NormalWeb"/>
              <w:spacing w:before="0" w:beforeAutospacing="0" w:after="0" w:afterAutospacing="0"/>
              <w:jc w:val="both"/>
              <w:rPr>
                <w:sz w:val="20"/>
                <w:szCs w:val="20"/>
              </w:rPr>
            </w:pPr>
            <w:r>
              <w:rPr>
                <w:sz w:val="20"/>
                <w:szCs w:val="20"/>
              </w:rPr>
              <w:t>-</w:t>
            </w:r>
          </w:p>
        </w:tc>
        <w:tc>
          <w:tcPr>
            <w:tcW w:w="0" w:type="auto"/>
            <w:hideMark/>
          </w:tcPr>
          <w:p w14:paraId="7F20568C" w14:textId="77777777" w:rsidR="00000000" w:rsidRDefault="00EB4933">
            <w:pPr>
              <w:jc w:val="both"/>
              <w:rPr>
                <w:rFonts w:eastAsia="Times New Roman"/>
                <w:sz w:val="20"/>
                <w:szCs w:val="20"/>
              </w:rPr>
            </w:pPr>
            <w:r>
              <w:rPr>
                <w:rFonts w:eastAsia="Times New Roman"/>
                <w:sz w:val="20"/>
                <w:szCs w:val="20"/>
              </w:rPr>
              <w:t>maintain adequate control of default risks and expenses allowing us to realize anticipated revenue growth;</w:t>
            </w:r>
          </w:p>
        </w:tc>
      </w:tr>
      <w:tr w:rsidR="00000000" w14:paraId="3803770A" w14:textId="77777777">
        <w:trPr>
          <w:divId w:val="98525094"/>
          <w:trHeight w:val="225"/>
          <w:tblCellSpacing w:w="15" w:type="dxa"/>
        </w:trPr>
        <w:tc>
          <w:tcPr>
            <w:tcW w:w="0" w:type="auto"/>
            <w:vAlign w:val="center"/>
            <w:hideMark/>
          </w:tcPr>
          <w:p w14:paraId="5B1511EF"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525DF4A9"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797FD461"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9ED735E" w14:textId="77777777">
        <w:trPr>
          <w:divId w:val="98525094"/>
          <w:trHeight w:val="225"/>
          <w:tblCellSpacing w:w="15" w:type="dxa"/>
        </w:trPr>
        <w:tc>
          <w:tcPr>
            <w:tcW w:w="0" w:type="auto"/>
            <w:vAlign w:val="center"/>
            <w:hideMark/>
          </w:tcPr>
          <w:p w14:paraId="77FA806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601C5A49" w14:textId="77777777" w:rsidR="00000000" w:rsidRDefault="00EB4933">
            <w:pPr>
              <w:pStyle w:val="NormalWeb"/>
              <w:spacing w:before="0" w:beforeAutospacing="0" w:after="0" w:afterAutospacing="0"/>
              <w:jc w:val="both"/>
              <w:rPr>
                <w:sz w:val="20"/>
                <w:szCs w:val="20"/>
              </w:rPr>
            </w:pPr>
            <w:r>
              <w:rPr>
                <w:sz w:val="20"/>
                <w:szCs w:val="20"/>
              </w:rPr>
              <w:t>-</w:t>
            </w:r>
          </w:p>
        </w:tc>
        <w:tc>
          <w:tcPr>
            <w:tcW w:w="0" w:type="auto"/>
            <w:hideMark/>
          </w:tcPr>
          <w:p w14:paraId="3AC09A55" w14:textId="77777777" w:rsidR="00000000" w:rsidRDefault="00EB4933">
            <w:pPr>
              <w:jc w:val="both"/>
              <w:rPr>
                <w:rFonts w:eastAsia="Times New Roman"/>
                <w:sz w:val="20"/>
                <w:szCs w:val="20"/>
              </w:rPr>
            </w:pPr>
            <w:r>
              <w:rPr>
                <w:rFonts w:eastAsia="Times New Roman"/>
                <w:sz w:val="20"/>
                <w:szCs w:val="20"/>
              </w:rPr>
              <w:t>implement our customer development, risk management and acquisition strategies and adapt and modify them as needed;</w:t>
            </w:r>
          </w:p>
        </w:tc>
      </w:tr>
      <w:tr w:rsidR="00000000" w14:paraId="1F3330C1" w14:textId="77777777">
        <w:trPr>
          <w:divId w:val="98525094"/>
          <w:trHeight w:val="225"/>
          <w:tblCellSpacing w:w="15" w:type="dxa"/>
        </w:trPr>
        <w:tc>
          <w:tcPr>
            <w:tcW w:w="0" w:type="auto"/>
            <w:vAlign w:val="center"/>
            <w:hideMark/>
          </w:tcPr>
          <w:p w14:paraId="756F915F"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5428DA81"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E535D68"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8552BC3" w14:textId="77777777">
        <w:trPr>
          <w:divId w:val="98525094"/>
          <w:trHeight w:val="225"/>
          <w:tblCellSpacing w:w="15" w:type="dxa"/>
        </w:trPr>
        <w:tc>
          <w:tcPr>
            <w:tcW w:w="0" w:type="auto"/>
            <w:vAlign w:val="center"/>
            <w:hideMark/>
          </w:tcPr>
          <w:p w14:paraId="09E22B04"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4498F632" w14:textId="77777777" w:rsidR="00000000" w:rsidRDefault="00EB4933">
            <w:pPr>
              <w:pStyle w:val="NormalWeb"/>
              <w:spacing w:before="0" w:beforeAutospacing="0" w:after="0" w:afterAutospacing="0"/>
              <w:jc w:val="both"/>
              <w:rPr>
                <w:sz w:val="20"/>
                <w:szCs w:val="20"/>
              </w:rPr>
            </w:pPr>
            <w:r>
              <w:rPr>
                <w:sz w:val="20"/>
                <w:szCs w:val="20"/>
              </w:rPr>
              <w:t>-</w:t>
            </w:r>
          </w:p>
        </w:tc>
        <w:tc>
          <w:tcPr>
            <w:tcW w:w="0" w:type="auto"/>
            <w:hideMark/>
          </w:tcPr>
          <w:p w14:paraId="3B29A96A" w14:textId="77777777" w:rsidR="00000000" w:rsidRDefault="00EB4933">
            <w:pPr>
              <w:jc w:val="both"/>
              <w:rPr>
                <w:rFonts w:eastAsia="Times New Roman"/>
                <w:sz w:val="20"/>
                <w:szCs w:val="20"/>
              </w:rPr>
            </w:pPr>
            <w:r>
              <w:rPr>
                <w:rFonts w:eastAsia="Times New Roman"/>
                <w:sz w:val="20"/>
                <w:szCs w:val="20"/>
              </w:rPr>
              <w:t>integrate any future acquisitions; and</w:t>
            </w:r>
          </w:p>
        </w:tc>
      </w:tr>
      <w:tr w:rsidR="00000000" w14:paraId="373447B9" w14:textId="77777777">
        <w:trPr>
          <w:divId w:val="98525094"/>
          <w:trHeight w:val="225"/>
          <w:tblCellSpacing w:w="15" w:type="dxa"/>
        </w:trPr>
        <w:tc>
          <w:tcPr>
            <w:tcW w:w="0" w:type="auto"/>
            <w:vAlign w:val="center"/>
            <w:hideMark/>
          </w:tcPr>
          <w:p w14:paraId="067CB308"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78ECEF8D"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4AEF686"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5FBD5288" w14:textId="77777777">
        <w:trPr>
          <w:divId w:val="98525094"/>
          <w:trHeight w:val="225"/>
          <w:tblCellSpacing w:w="15" w:type="dxa"/>
        </w:trPr>
        <w:tc>
          <w:tcPr>
            <w:tcW w:w="0" w:type="auto"/>
            <w:vAlign w:val="center"/>
            <w:hideMark/>
          </w:tcPr>
          <w:p w14:paraId="6BB0644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6903594C" w14:textId="77777777" w:rsidR="00000000" w:rsidRDefault="00EB4933">
            <w:pPr>
              <w:pStyle w:val="NormalWeb"/>
              <w:spacing w:before="0" w:beforeAutospacing="0" w:after="0" w:afterAutospacing="0"/>
              <w:jc w:val="both"/>
              <w:rPr>
                <w:sz w:val="20"/>
                <w:szCs w:val="20"/>
              </w:rPr>
            </w:pPr>
            <w:r>
              <w:rPr>
                <w:sz w:val="20"/>
                <w:szCs w:val="20"/>
              </w:rPr>
              <w:t>-</w:t>
            </w:r>
          </w:p>
        </w:tc>
        <w:tc>
          <w:tcPr>
            <w:tcW w:w="0" w:type="auto"/>
            <w:hideMark/>
          </w:tcPr>
          <w:p w14:paraId="4085954C" w14:textId="77777777" w:rsidR="00000000" w:rsidRDefault="00EB4933">
            <w:pPr>
              <w:jc w:val="both"/>
              <w:rPr>
                <w:rFonts w:eastAsia="Times New Roman"/>
                <w:sz w:val="20"/>
                <w:szCs w:val="20"/>
              </w:rPr>
            </w:pPr>
            <w:r>
              <w:rPr>
                <w:rFonts w:eastAsia="Times New Roman"/>
                <w:sz w:val="20"/>
                <w:szCs w:val="20"/>
              </w:rPr>
              <w:t>anticipate and adapt to changing conditions in the Chinese lending industry resulting from changes in government regulations, mergers and acquisitions involving our competitors, and other significant compe</w:t>
            </w:r>
            <w:r>
              <w:rPr>
                <w:rFonts w:eastAsia="Times New Roman"/>
                <w:sz w:val="20"/>
                <w:szCs w:val="20"/>
              </w:rPr>
              <w:t>titive and market dynamics.</w:t>
            </w:r>
          </w:p>
        </w:tc>
      </w:tr>
    </w:tbl>
    <w:p w14:paraId="7D14280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94FD78E"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Company’s headquarters, borrowers and operations are located in Wuhan, China, the epicenter for the COVID-19 pandemic. As a result of the COVID-19 outbreak which was reported on December 31, 2019 in Wuhan, China,</w:t>
      </w:r>
      <w:r>
        <w:rPr>
          <w:sz w:val="20"/>
          <w:szCs w:val="20"/>
        </w:rPr>
        <w:t xml:space="preserve"> the Chinese government imposed a lockdown on the entire Hubei province, travel restrictions and quarantine, the Company’s borrowers and operations have been significantly adversely disrupted. All of our customers are located in Wuhan, China, as a result o</w:t>
      </w:r>
      <w:r>
        <w:rPr>
          <w:sz w:val="20"/>
          <w:szCs w:val="20"/>
        </w:rPr>
        <w:t>f the COVID-19 outbreak, government lockdown, travel restrictions, reduced economic activity and quarantines imposed by the Chinese government, our customers’ business operations, financial conditions and cash flows were materially adversely affected, whic</w:t>
      </w:r>
      <w:r>
        <w:rPr>
          <w:sz w:val="20"/>
          <w:szCs w:val="20"/>
        </w:rPr>
        <w:t>h, in turn, materially adversely affected our collection of interest and principal on our loans to customers.</w:t>
      </w:r>
    </w:p>
    <w:p w14:paraId="570D1BC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CEEABA8" w14:textId="77777777" w:rsidR="00000000" w:rsidRDefault="00EB4933">
      <w:pPr>
        <w:pStyle w:val="NormalWeb"/>
        <w:spacing w:before="0" w:beforeAutospacing="0" w:after="0" w:afterAutospacing="0"/>
        <w:ind w:firstLine="675"/>
        <w:jc w:val="both"/>
        <w:divId w:val="98525094"/>
        <w:rPr>
          <w:sz w:val="20"/>
          <w:szCs w:val="20"/>
        </w:rPr>
      </w:pPr>
      <w:r>
        <w:rPr>
          <w:sz w:val="20"/>
          <w:szCs w:val="20"/>
        </w:rPr>
        <w:t>If we are unable to address any or all of the foregoing risks, our business and results of operations may be materially and adversely affected.</w:t>
      </w:r>
    </w:p>
    <w:p w14:paraId="5B3C1F20"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7A3B1CE" w14:textId="77777777">
        <w:trPr>
          <w:divId w:val="98525094"/>
          <w:trHeight w:val="225"/>
          <w:tblCellSpacing w:w="15" w:type="dxa"/>
        </w:trPr>
        <w:tc>
          <w:tcPr>
            <w:tcW w:w="0" w:type="auto"/>
            <w:vAlign w:val="center"/>
            <w:hideMark/>
          </w:tcPr>
          <w:p w14:paraId="2C82F953" w14:textId="77777777" w:rsidR="00000000" w:rsidRDefault="00EB4933">
            <w:pPr>
              <w:rPr>
                <w:rFonts w:eastAsia="Times New Roman"/>
                <w:sz w:val="20"/>
                <w:szCs w:val="20"/>
              </w:rPr>
            </w:pPr>
            <w:r>
              <w:rPr>
                <w:rFonts w:eastAsia="Times New Roman"/>
                <w:sz w:val="20"/>
                <w:szCs w:val="20"/>
              </w:rPr>
              <w:t> </w:t>
            </w:r>
          </w:p>
        </w:tc>
      </w:tr>
      <w:tr w:rsidR="00000000" w14:paraId="0E803B8D" w14:textId="77777777">
        <w:trPr>
          <w:divId w:val="98525094"/>
          <w:trHeight w:val="225"/>
          <w:tblCellSpacing w:w="15" w:type="dxa"/>
        </w:trPr>
        <w:tc>
          <w:tcPr>
            <w:tcW w:w="0" w:type="auto"/>
            <w:tcBorders>
              <w:bottom w:val="single" w:sz="6" w:space="0" w:color="000000"/>
            </w:tcBorders>
            <w:vAlign w:val="center"/>
            <w:hideMark/>
          </w:tcPr>
          <w:p w14:paraId="1DE8FEB6" w14:textId="77777777" w:rsidR="00000000" w:rsidRDefault="00EB4933">
            <w:pPr>
              <w:jc w:val="center"/>
              <w:rPr>
                <w:rFonts w:eastAsia="Times New Roman"/>
                <w:sz w:val="20"/>
                <w:szCs w:val="20"/>
              </w:rPr>
            </w:pPr>
            <w:r>
              <w:rPr>
                <w:rFonts w:eastAsia="Times New Roman"/>
                <w:sz w:val="20"/>
                <w:szCs w:val="20"/>
              </w:rPr>
              <w:t>11</w:t>
            </w:r>
          </w:p>
        </w:tc>
      </w:tr>
      <w:tr w:rsidR="00000000" w14:paraId="0F075D20" w14:textId="77777777">
        <w:trPr>
          <w:divId w:val="98525094"/>
          <w:trHeight w:val="225"/>
          <w:tblCellSpacing w:w="15" w:type="dxa"/>
        </w:trPr>
        <w:tc>
          <w:tcPr>
            <w:tcW w:w="0" w:type="auto"/>
            <w:vAlign w:val="center"/>
            <w:hideMark/>
          </w:tcPr>
          <w:p w14:paraId="687942DF" w14:textId="77777777" w:rsidR="00000000" w:rsidRDefault="00EB4933">
            <w:pPr>
              <w:rPr>
                <w:rFonts w:eastAsia="Times New Roman"/>
                <w:sz w:val="20"/>
                <w:szCs w:val="20"/>
              </w:rPr>
            </w:pPr>
          </w:p>
        </w:tc>
      </w:tr>
      <w:tr w:rsidR="00000000" w14:paraId="29B0F3DE" w14:textId="77777777">
        <w:trPr>
          <w:divId w:val="98525094"/>
          <w:trHeight w:val="225"/>
          <w:tblCellSpacing w:w="15" w:type="dxa"/>
        </w:trPr>
        <w:tc>
          <w:tcPr>
            <w:tcW w:w="0" w:type="auto"/>
            <w:vAlign w:val="center"/>
            <w:hideMark/>
          </w:tcPr>
          <w:p w14:paraId="288C4E9F" w14:textId="77777777" w:rsidR="00000000" w:rsidRDefault="00EB4933">
            <w:pPr>
              <w:rPr>
                <w:rFonts w:eastAsia="Times New Roman"/>
                <w:sz w:val="20"/>
                <w:szCs w:val="20"/>
              </w:rPr>
            </w:pPr>
            <w:hyperlink r:id="rId71" w:anchor="toc" w:history="1">
              <w:r>
                <w:rPr>
                  <w:rStyle w:val="Hyperlink"/>
                  <w:rFonts w:eastAsia="Times New Roman"/>
                  <w:i/>
                  <w:iCs/>
                  <w:sz w:val="20"/>
                  <w:szCs w:val="20"/>
                </w:rPr>
                <w:t>Table of Contents</w:t>
              </w:r>
            </w:hyperlink>
          </w:p>
        </w:tc>
      </w:tr>
    </w:tbl>
    <w:p w14:paraId="048857C8"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7D9C35BF"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We have restated prior consolidated financial statements, which may lead to additional risks and uncertainties, including loss of investor confidence and negative impacts on our share price.</w:t>
      </w:r>
    </w:p>
    <w:p w14:paraId="6CC6D306"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229A8A16" w14:textId="77777777" w:rsidR="00000000" w:rsidRDefault="00EB4933">
      <w:pPr>
        <w:pStyle w:val="NormalWeb"/>
        <w:spacing w:before="0" w:beforeAutospacing="0" w:after="0" w:afterAutospacing="0"/>
        <w:jc w:val="both"/>
        <w:divId w:val="98525094"/>
        <w:rPr>
          <w:sz w:val="20"/>
          <w:szCs w:val="20"/>
        </w:rPr>
      </w:pPr>
      <w:r>
        <w:rPr>
          <w:sz w:val="20"/>
          <w:szCs w:val="20"/>
        </w:rPr>
        <w:t>We ha</w:t>
      </w:r>
      <w:r>
        <w:rPr>
          <w:sz w:val="20"/>
          <w:szCs w:val="20"/>
        </w:rPr>
        <w:t>ve restated our consolidated financial statements as of and for the years ended December 31, 2016 and 2017 in order to correct certain accounting errors. For discussion of the accounting errors identified and the restatement adjustments, see Note 30 of Not</w:t>
      </w:r>
      <w:r>
        <w:rPr>
          <w:sz w:val="20"/>
          <w:szCs w:val="20"/>
        </w:rPr>
        <w:t>es to Consolidated Financial Statements. For a description of the material weaknesses in our internal control over financial reporting identified by management and management’s plan to remediate those material weaknesses, see Item 15 — Controls and Procedu</w:t>
      </w:r>
      <w:r>
        <w:rPr>
          <w:sz w:val="20"/>
          <w:szCs w:val="20"/>
        </w:rPr>
        <w:t>res.</w:t>
      </w:r>
    </w:p>
    <w:p w14:paraId="1DB0400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D959581" w14:textId="77777777" w:rsidR="00000000" w:rsidRDefault="00EB4933">
      <w:pPr>
        <w:pStyle w:val="NormalWeb"/>
        <w:spacing w:before="0" w:beforeAutospacing="0" w:after="0" w:afterAutospacing="0"/>
        <w:jc w:val="both"/>
        <w:divId w:val="98525094"/>
        <w:rPr>
          <w:sz w:val="20"/>
          <w:szCs w:val="20"/>
        </w:rPr>
      </w:pPr>
      <w:r>
        <w:rPr>
          <w:sz w:val="20"/>
          <w:szCs w:val="20"/>
        </w:rPr>
        <w:t xml:space="preserve">As a result of the restatement of our consolidated financial statements, restatement may lead to a loss of investor confidence and have negative impacts on the trading price of our shares. </w:t>
      </w:r>
    </w:p>
    <w:p w14:paraId="3E952F7C"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7C4B75AB"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If we fail to maintain an effective system of internal</w:t>
      </w:r>
      <w:r>
        <w:rPr>
          <w:rStyle w:val="Emphasis"/>
          <w:b/>
          <w:bCs/>
          <w:sz w:val="20"/>
          <w:szCs w:val="20"/>
        </w:rPr>
        <w:t xml:space="preserve"> control over financial reporting, we may not be able to accurately report our financial results or prevent fraud, and investor confidence and the market price of our ADSs may be adversely impacted.</w:t>
      </w:r>
    </w:p>
    <w:p w14:paraId="75EE2837"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C89B300"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We are subject to reporting obligations under the U.S. </w:t>
      </w:r>
      <w:r>
        <w:rPr>
          <w:sz w:val="20"/>
          <w:szCs w:val="20"/>
        </w:rPr>
        <w:t>securities laws. The Securities and Exchange Commission, or the SEC, as required by Section 404 of the Sarbanes-Oxley Act of 2002, or the Sarbanes-Oxley Act, adopted rules requiring every public company to include a management report on such company’s inte</w:t>
      </w:r>
      <w:r>
        <w:rPr>
          <w:sz w:val="20"/>
          <w:szCs w:val="20"/>
        </w:rPr>
        <w:t xml:space="preserve">rnal control over financial reporting in its annual report, which contains management’s assessment of the effectiveness of the company’s internal control over financial reporting. In addition, an independent registered public accounting firm may audit and </w:t>
      </w:r>
      <w:r>
        <w:rPr>
          <w:sz w:val="20"/>
          <w:szCs w:val="20"/>
        </w:rPr>
        <w:t>report on the effectiveness of a public company’s internal control over financial reporting except where the public company is a non-accelerated filer. We are currently a non-accelerated filer.</w:t>
      </w:r>
    </w:p>
    <w:p w14:paraId="59A4EBE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6FBD6A4"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Our management has concluded that our internal control over financial reporting was effective as of December 31, 2019. See “Item 15. Control and Procedures.” Such management report was not subject to attestation by our independent registered public account</w:t>
      </w:r>
      <w:r>
        <w:rPr>
          <w:sz w:val="20"/>
          <w:szCs w:val="20"/>
        </w:rPr>
        <w:t>ing firm, as we are a non-accelerated filer. We may fail to maintain effective internal control over financial reporting and our management and our independent registered public accounting firm may not be able to conclude that we have effective internal co</w:t>
      </w:r>
      <w:r>
        <w:rPr>
          <w:sz w:val="20"/>
          <w:szCs w:val="20"/>
        </w:rPr>
        <w:t>ntrol over financial reporting at a reasonable assurance level in the future. This could in turn result in the loss of investor confidence in the reliability of our financial statements and negatively impact the trading price of our ADSs. Furthermore, we h</w:t>
      </w:r>
      <w:r>
        <w:rPr>
          <w:sz w:val="20"/>
          <w:szCs w:val="20"/>
        </w:rPr>
        <w:t>ave incurred and anticipate that we will continue to incur considerable costs and use significant management time and other resources in an effort to comply with Section 404 and other requirements of the Sarbanes-Oxley Act.</w:t>
      </w:r>
    </w:p>
    <w:p w14:paraId="26660881"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9C2E1D7" w14:textId="77777777">
        <w:trPr>
          <w:divId w:val="98525094"/>
          <w:trHeight w:val="225"/>
          <w:tblCellSpacing w:w="15" w:type="dxa"/>
        </w:trPr>
        <w:tc>
          <w:tcPr>
            <w:tcW w:w="0" w:type="auto"/>
            <w:vAlign w:val="center"/>
            <w:hideMark/>
          </w:tcPr>
          <w:p w14:paraId="3360F5CF" w14:textId="77777777" w:rsidR="00000000" w:rsidRDefault="00EB4933">
            <w:pPr>
              <w:rPr>
                <w:rFonts w:eastAsia="Times New Roman"/>
                <w:sz w:val="20"/>
                <w:szCs w:val="20"/>
              </w:rPr>
            </w:pPr>
            <w:r>
              <w:rPr>
                <w:rFonts w:eastAsia="Times New Roman"/>
                <w:sz w:val="20"/>
                <w:szCs w:val="20"/>
              </w:rPr>
              <w:t> </w:t>
            </w:r>
          </w:p>
        </w:tc>
      </w:tr>
      <w:tr w:rsidR="00000000" w14:paraId="2F4DC41A" w14:textId="77777777">
        <w:trPr>
          <w:divId w:val="98525094"/>
          <w:trHeight w:val="225"/>
          <w:tblCellSpacing w:w="15" w:type="dxa"/>
        </w:trPr>
        <w:tc>
          <w:tcPr>
            <w:tcW w:w="0" w:type="auto"/>
            <w:tcBorders>
              <w:bottom w:val="single" w:sz="6" w:space="0" w:color="000000"/>
            </w:tcBorders>
            <w:vAlign w:val="center"/>
            <w:hideMark/>
          </w:tcPr>
          <w:p w14:paraId="345EAE34" w14:textId="77777777" w:rsidR="00000000" w:rsidRDefault="00EB4933">
            <w:pPr>
              <w:jc w:val="center"/>
              <w:rPr>
                <w:rFonts w:eastAsia="Times New Roman"/>
                <w:sz w:val="20"/>
                <w:szCs w:val="20"/>
              </w:rPr>
            </w:pPr>
            <w:r>
              <w:rPr>
                <w:rFonts w:eastAsia="Times New Roman"/>
                <w:sz w:val="20"/>
                <w:szCs w:val="20"/>
              </w:rPr>
              <w:t>12</w:t>
            </w:r>
          </w:p>
        </w:tc>
      </w:tr>
      <w:tr w:rsidR="00000000" w14:paraId="35E56DB8" w14:textId="77777777">
        <w:trPr>
          <w:divId w:val="98525094"/>
          <w:trHeight w:val="225"/>
          <w:tblCellSpacing w:w="15" w:type="dxa"/>
        </w:trPr>
        <w:tc>
          <w:tcPr>
            <w:tcW w:w="0" w:type="auto"/>
            <w:vAlign w:val="center"/>
            <w:hideMark/>
          </w:tcPr>
          <w:p w14:paraId="5568F0A9" w14:textId="77777777" w:rsidR="00000000" w:rsidRDefault="00EB4933">
            <w:pPr>
              <w:rPr>
                <w:rFonts w:eastAsia="Times New Roman"/>
                <w:sz w:val="20"/>
                <w:szCs w:val="20"/>
              </w:rPr>
            </w:pPr>
          </w:p>
        </w:tc>
      </w:tr>
      <w:tr w:rsidR="00000000" w14:paraId="7D070CED" w14:textId="77777777">
        <w:trPr>
          <w:divId w:val="98525094"/>
          <w:trHeight w:val="225"/>
          <w:tblCellSpacing w:w="15" w:type="dxa"/>
        </w:trPr>
        <w:tc>
          <w:tcPr>
            <w:tcW w:w="0" w:type="auto"/>
            <w:vAlign w:val="center"/>
            <w:hideMark/>
          </w:tcPr>
          <w:p w14:paraId="3DAEFC04" w14:textId="77777777" w:rsidR="00000000" w:rsidRDefault="00EB4933">
            <w:pPr>
              <w:rPr>
                <w:rFonts w:eastAsia="Times New Roman"/>
                <w:sz w:val="20"/>
                <w:szCs w:val="20"/>
              </w:rPr>
            </w:pPr>
            <w:hyperlink r:id="rId72" w:anchor="toc" w:history="1">
              <w:r>
                <w:rPr>
                  <w:rStyle w:val="Hyperlink"/>
                  <w:rFonts w:eastAsia="Times New Roman"/>
                  <w:i/>
                  <w:iCs/>
                  <w:sz w:val="20"/>
                  <w:szCs w:val="20"/>
                </w:rPr>
                <w:t>Table of Contents</w:t>
              </w:r>
            </w:hyperlink>
          </w:p>
        </w:tc>
      </w:tr>
    </w:tbl>
    <w:p w14:paraId="1287DA62"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00D1A5DE"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xml:space="preserve">We have previously identified material weaknesses in our internal control over financial reporting that, if not remediated, could result in additional material misstatements in our financial statements. </w:t>
      </w:r>
    </w:p>
    <w:p w14:paraId="05D4D4F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0FB0516"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describ</w:t>
      </w:r>
      <w:r>
        <w:rPr>
          <w:sz w:val="20"/>
          <w:szCs w:val="20"/>
        </w:rPr>
        <w:t>ed in Item 15 — Controls and Procedures, management has identified and evaluated the control deficiencies that gave rise to the accounting errors, and has concluded that those deficiencies, collectively, represent material weaknesses in our internal contro</w:t>
      </w:r>
      <w:r>
        <w:rPr>
          <w:sz w:val="20"/>
          <w:szCs w:val="20"/>
        </w:rPr>
        <w:t xml:space="preserve">l over financial reporting as of December 31, 2018. We did not identify those material weaknesses as of December 31, 2019. A material weakness is a deficiency, or a combination of deficiencies, in internal control over financial reporting, such that there </w:t>
      </w:r>
      <w:r>
        <w:rPr>
          <w:sz w:val="20"/>
          <w:szCs w:val="20"/>
        </w:rPr>
        <w:t>is a reasonable possibility that a material misstatement of our annual or interim financial statements will not be prevented or detected on a timely basis. We cannot assure you that those material weaknesses identified in 2018 will not be recurring in futu</w:t>
      </w:r>
      <w:r>
        <w:rPr>
          <w:sz w:val="20"/>
          <w:szCs w:val="20"/>
        </w:rPr>
        <w:t>re.</w:t>
      </w:r>
    </w:p>
    <w:p w14:paraId="48FEFDE8"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95F90DC" w14:textId="77777777" w:rsidR="00000000" w:rsidRDefault="00EB4933">
      <w:pPr>
        <w:pStyle w:val="NormalWeb"/>
        <w:spacing w:before="0" w:beforeAutospacing="0" w:after="0" w:afterAutospacing="0"/>
        <w:ind w:firstLine="675"/>
        <w:jc w:val="both"/>
        <w:divId w:val="98525094"/>
        <w:rPr>
          <w:sz w:val="20"/>
          <w:szCs w:val="20"/>
        </w:rPr>
      </w:pPr>
      <w:r>
        <w:rPr>
          <w:sz w:val="20"/>
          <w:szCs w:val="20"/>
        </w:rPr>
        <w:t>If additional material weaknesses in our internal control over financial reporting are discovered or occur in the future, our consolidated financial statements may contain material misstatements and we could be required to restate our financial resul</w:t>
      </w:r>
      <w:r>
        <w:rPr>
          <w:sz w:val="20"/>
          <w:szCs w:val="20"/>
        </w:rPr>
        <w:t>ts, which could materially and adversely affect our business, results of operations and financial condition, restrict our ability to access the capital markets, require us to expend significant resources to correct the material weakness, subject us to fine</w:t>
      </w:r>
      <w:r>
        <w:rPr>
          <w:sz w:val="20"/>
          <w:szCs w:val="20"/>
        </w:rPr>
        <w:t>s, penalties or judgments, harm our reputation or otherwise cause a decline in investor confidence.</w:t>
      </w:r>
    </w:p>
    <w:p w14:paraId="6245311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37A4D01"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Our independent auditors have expressed substantial doubt about our ability to continue as a going concern.</w:t>
      </w:r>
    </w:p>
    <w:p w14:paraId="55E8D190"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w:t>
      </w:r>
    </w:p>
    <w:p w14:paraId="5FBC75F9"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their audit report issued in connection with our financial statements as of and for the years ended December 31, 2019 and December 31, 2020, ou</w:t>
      </w:r>
      <w:r>
        <w:rPr>
          <w:sz w:val="20"/>
          <w:szCs w:val="20"/>
        </w:rPr>
        <w:t>r independent registered public accounting firm included a going concern explanatory paragraph which stated there was substantial doubt about our ability to continue as a going concern. The Company had negative cash flows for the years ended December 31, 2</w:t>
      </w:r>
      <w:r>
        <w:rPr>
          <w:sz w:val="20"/>
          <w:szCs w:val="20"/>
        </w:rPr>
        <w:t xml:space="preserve">019, 2018 and 2017, the net cash decreased during the year were RMB3.5 million, RMB17.9 million and RMB75.1 million for the years ended December 31, 2019, 2018 and 2017, respectively. In addition to the uncertain adverse impact of COVID-19 outbreak on the </w:t>
      </w:r>
      <w:r>
        <w:rPr>
          <w:sz w:val="20"/>
          <w:szCs w:val="20"/>
        </w:rPr>
        <w:t>operations of the Company, there is uncertainty related to the outcome of the lawsuits filed against the Company. We have prepared our financial statements on a going concern basis that contemplates the realization of assets and the satisfaction of liabili</w:t>
      </w:r>
      <w:r>
        <w:rPr>
          <w:sz w:val="20"/>
          <w:szCs w:val="20"/>
        </w:rPr>
        <w:t>ties in the normal course of business for the foreseeable future. Our financial statements do not include any adjustments that would be necessary should we be unable to continue as a going concern and, therefore, be required to liquidate our assets and dis</w:t>
      </w:r>
      <w:r>
        <w:rPr>
          <w:sz w:val="20"/>
          <w:szCs w:val="20"/>
        </w:rPr>
        <w:t xml:space="preserve">charge our liabilities in other than the normal course of business and at amounts different from those reflected in our financial statements. If we are unable to continue as a going concern, our stockholders may lose all or a substantial portion or all of </w:t>
      </w:r>
      <w:r>
        <w:rPr>
          <w:sz w:val="20"/>
          <w:szCs w:val="20"/>
        </w:rPr>
        <w:t>their investment.</w:t>
      </w:r>
    </w:p>
    <w:p w14:paraId="5C06CA8A"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B94FE5B"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Current ongoing litigation and future litigation, administrative proceedings or legal proceedings resulting from our lending business and liquidity issues could have a material adverse effect on our lending business, financial condition</w:t>
      </w:r>
      <w:r>
        <w:rPr>
          <w:rStyle w:val="Emphasis"/>
          <w:b/>
          <w:bCs/>
          <w:sz w:val="20"/>
          <w:szCs w:val="20"/>
        </w:rPr>
        <w:t>s and operating results.</w:t>
      </w:r>
    </w:p>
    <w:p w14:paraId="6DEEA3F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71498A3"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We have been, and continue to be, involved in legal proceedings, administrative proceedings, claims and other litigation that arise in the ordinary course of business. We may choose to litigate against individuals and companies f</w:t>
      </w:r>
      <w:r>
        <w:rPr>
          <w:sz w:val="20"/>
          <w:szCs w:val="20"/>
        </w:rPr>
        <w:t>or unpaid loans that are incidental to our lending business. In addition, our lenders and service providers may choose to litigate against us for loans, unpaid fees and other payment obligations that we accrue during the course of our lending business. Sin</w:t>
      </w:r>
      <w:r>
        <w:rPr>
          <w:sz w:val="20"/>
          <w:szCs w:val="20"/>
        </w:rPr>
        <w:t>ce 2019, we have been subject to multiple actions, claims and orders as a result of overdue payments and loan payables to our lenders and service providers. As of December 31, 2019, the aggregate amount of claims was RMB98.1 million ($14.1 million). During</w:t>
      </w:r>
      <w:r>
        <w:rPr>
          <w:sz w:val="20"/>
          <w:szCs w:val="20"/>
        </w:rPr>
        <w:t xml:space="preserve"> the course of ongoing legal proceedings, deposits in our bank accounts and other physical properties may be frozen or seized during pre-litigation by court order. Such orders would have a material adverse effect on our business, financial conditions and t</w:t>
      </w:r>
      <w:r>
        <w:rPr>
          <w:sz w:val="20"/>
          <w:szCs w:val="20"/>
        </w:rPr>
        <w:t>herefore further affect our liquidity, which may lead to additional legal proceedings against us. Our failure to pay judgments could result in seizure of property, freezing of bank deposits and issuances of restrictive court orders which would have a mater</w:t>
      </w:r>
      <w:r>
        <w:rPr>
          <w:sz w:val="20"/>
          <w:szCs w:val="20"/>
        </w:rPr>
        <w:t>ial adverse effect on our business and our operations. In addition, judgments ordering the payment of our obligations or accrual of interest for unpaid payments during current or future litigations would further adversely affect our financial conditions an</w:t>
      </w:r>
      <w:r>
        <w:rPr>
          <w:sz w:val="20"/>
          <w:szCs w:val="20"/>
        </w:rPr>
        <w:t xml:space="preserve">d operating results. </w:t>
      </w:r>
    </w:p>
    <w:p w14:paraId="6C308CB0"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D39CCEA" w14:textId="77777777">
        <w:trPr>
          <w:divId w:val="98525094"/>
          <w:trHeight w:val="225"/>
          <w:tblCellSpacing w:w="15" w:type="dxa"/>
        </w:trPr>
        <w:tc>
          <w:tcPr>
            <w:tcW w:w="0" w:type="auto"/>
            <w:vAlign w:val="center"/>
            <w:hideMark/>
          </w:tcPr>
          <w:p w14:paraId="1D92364C" w14:textId="77777777" w:rsidR="00000000" w:rsidRDefault="00EB4933">
            <w:pPr>
              <w:rPr>
                <w:rFonts w:eastAsia="Times New Roman"/>
                <w:sz w:val="20"/>
                <w:szCs w:val="20"/>
              </w:rPr>
            </w:pPr>
            <w:r>
              <w:rPr>
                <w:rFonts w:eastAsia="Times New Roman"/>
                <w:sz w:val="20"/>
                <w:szCs w:val="20"/>
              </w:rPr>
              <w:t> </w:t>
            </w:r>
          </w:p>
        </w:tc>
      </w:tr>
      <w:tr w:rsidR="00000000" w14:paraId="57B68261" w14:textId="77777777">
        <w:trPr>
          <w:divId w:val="98525094"/>
          <w:trHeight w:val="225"/>
          <w:tblCellSpacing w:w="15" w:type="dxa"/>
        </w:trPr>
        <w:tc>
          <w:tcPr>
            <w:tcW w:w="0" w:type="auto"/>
            <w:tcBorders>
              <w:bottom w:val="single" w:sz="6" w:space="0" w:color="000000"/>
            </w:tcBorders>
            <w:vAlign w:val="center"/>
            <w:hideMark/>
          </w:tcPr>
          <w:p w14:paraId="7D76F589" w14:textId="77777777" w:rsidR="00000000" w:rsidRDefault="00EB4933">
            <w:pPr>
              <w:jc w:val="center"/>
              <w:rPr>
                <w:rFonts w:eastAsia="Times New Roman"/>
                <w:sz w:val="20"/>
                <w:szCs w:val="20"/>
              </w:rPr>
            </w:pPr>
            <w:r>
              <w:rPr>
                <w:rFonts w:eastAsia="Times New Roman"/>
                <w:sz w:val="20"/>
                <w:szCs w:val="20"/>
              </w:rPr>
              <w:t>13</w:t>
            </w:r>
          </w:p>
        </w:tc>
      </w:tr>
      <w:tr w:rsidR="00000000" w14:paraId="1DDB66DF" w14:textId="77777777">
        <w:trPr>
          <w:divId w:val="98525094"/>
          <w:trHeight w:val="225"/>
          <w:tblCellSpacing w:w="15" w:type="dxa"/>
        </w:trPr>
        <w:tc>
          <w:tcPr>
            <w:tcW w:w="0" w:type="auto"/>
            <w:vAlign w:val="center"/>
            <w:hideMark/>
          </w:tcPr>
          <w:p w14:paraId="0FB49596" w14:textId="77777777" w:rsidR="00000000" w:rsidRDefault="00EB4933">
            <w:pPr>
              <w:rPr>
                <w:rFonts w:eastAsia="Times New Roman"/>
                <w:sz w:val="20"/>
                <w:szCs w:val="20"/>
              </w:rPr>
            </w:pPr>
          </w:p>
        </w:tc>
      </w:tr>
      <w:tr w:rsidR="00000000" w14:paraId="5D1898B6" w14:textId="77777777">
        <w:trPr>
          <w:divId w:val="98525094"/>
          <w:trHeight w:val="225"/>
          <w:tblCellSpacing w:w="15" w:type="dxa"/>
        </w:trPr>
        <w:tc>
          <w:tcPr>
            <w:tcW w:w="0" w:type="auto"/>
            <w:vAlign w:val="center"/>
            <w:hideMark/>
          </w:tcPr>
          <w:p w14:paraId="05064884" w14:textId="77777777" w:rsidR="00000000" w:rsidRDefault="00EB4933">
            <w:pPr>
              <w:rPr>
                <w:rFonts w:eastAsia="Times New Roman"/>
                <w:sz w:val="20"/>
                <w:szCs w:val="20"/>
              </w:rPr>
            </w:pPr>
            <w:hyperlink r:id="rId73" w:anchor="toc" w:history="1">
              <w:r>
                <w:rPr>
                  <w:rStyle w:val="Hyperlink"/>
                  <w:rFonts w:eastAsia="Times New Roman"/>
                  <w:i/>
                  <w:iCs/>
                  <w:sz w:val="20"/>
                  <w:szCs w:val="20"/>
                </w:rPr>
                <w:t>Table of Contents</w:t>
              </w:r>
            </w:hyperlink>
          </w:p>
        </w:tc>
      </w:tr>
    </w:tbl>
    <w:p w14:paraId="13A7772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A91EDE1"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Our Chairman and CEO is currently named in other litigations and legal proceedings, which could affect his involvement in our lending business, and also our business and operations</w:t>
      </w:r>
    </w:p>
    <w:p w14:paraId="6B5F8FC0"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  </w:t>
      </w:r>
    </w:p>
    <w:p w14:paraId="4C1AAFBC"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Chairman and CEO, Mr. Ricky Qizhi Wei, has been, and may continue to</w:t>
      </w:r>
      <w:r>
        <w:rPr>
          <w:sz w:val="20"/>
          <w:szCs w:val="20"/>
        </w:rPr>
        <w:t xml:space="preserve"> be, involved in litigation and legal proceedings involving his other companies and Chutian. Mr. Wei and Hubei Daily Media Group, a 20% shareholder of our variable interest entity Chutian, are also involved in multiple litigations and proceedings. In 2019,</w:t>
      </w:r>
      <w:r>
        <w:rPr>
          <w:sz w:val="20"/>
          <w:szCs w:val="20"/>
        </w:rPr>
        <w:t xml:space="preserve"> during the course of such proceedings, various bank accounts and properties owned by Mr. Wei has been frozen or seized during pre-litigation by court order. As a result of his involvement in other litigations and legal proceedings, Mr. Wei’s ability to fo</w:t>
      </w:r>
      <w:r>
        <w:rPr>
          <w:sz w:val="20"/>
          <w:szCs w:val="20"/>
        </w:rPr>
        <w:t xml:space="preserve">cus his attention towards our business could be severely impacted. In addition, ongoing and future legal proceedings could also harm our reputation within the lending market, which could adversely affect our business and operations. </w:t>
      </w:r>
    </w:p>
    <w:p w14:paraId="36D4AA38"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79307E7"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xml:space="preserve">Potential dispute </w:t>
      </w:r>
      <w:r>
        <w:rPr>
          <w:rStyle w:val="Emphasis"/>
          <w:b/>
          <w:bCs/>
          <w:sz w:val="20"/>
          <w:szCs w:val="20"/>
        </w:rPr>
        <w:t>over ownership of Chutian may adversely affect our business</w:t>
      </w:r>
    </w:p>
    <w:p w14:paraId="7EA2EF6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BC7FF84"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April 2018, Chutian and Hubei Daily Media Group signed a share transfer agreement which would allow Hubei Daily Media Group to exit from its ownership of Chutian. The agreement was for Hube</w:t>
      </w:r>
      <w:r>
        <w:rPr>
          <w:sz w:val="20"/>
          <w:szCs w:val="20"/>
        </w:rPr>
        <w:t>i Daily to sell their interest to Hubei New Nature Investment Co. Ltd, which is a company that is 80% owned by Chairman Wei. However, as the share transfer did not obtain the approval from the relevant authorities and the consideration was not paid in full</w:t>
      </w:r>
      <w:r>
        <w:rPr>
          <w:sz w:val="20"/>
          <w:szCs w:val="20"/>
        </w:rPr>
        <w:t>, the transaction was not completed and inconclusive. As such, Hubei Daily Media Group is still a shareholder of Chutian but Hubei Daily Media Group may continue to seek to liquidate its position in Chutian, which could adversely affect our business and op</w:t>
      </w:r>
      <w:r>
        <w:rPr>
          <w:sz w:val="20"/>
          <w:szCs w:val="20"/>
        </w:rPr>
        <w:t>erations.</w:t>
      </w:r>
    </w:p>
    <w:p w14:paraId="52A23967"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4810514"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We have limited cash and we may need additional capital which, if obtained, could result in dilution or significant debt service obligations. We may not be able to obtain additional capital on commercially reasonable terms, which could advers</w:t>
      </w:r>
      <w:r>
        <w:rPr>
          <w:rStyle w:val="Emphasis"/>
          <w:b/>
          <w:bCs/>
          <w:sz w:val="20"/>
          <w:szCs w:val="20"/>
        </w:rPr>
        <w:t>ely affect our liquidity and financial position.</w:t>
      </w:r>
    </w:p>
    <w:p w14:paraId="54AC8FE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B188CBE"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of December 31, 2019, we had cash balances totaled RMB132,000, compared to RMB3,188,000 as of December 1, 2018.</w:t>
      </w:r>
    </w:p>
    <w:p w14:paraId="77DC4556"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585CFF3C"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have historically met our cash needs through a combination of cash flows from operati</w:t>
      </w:r>
      <w:r>
        <w:rPr>
          <w:sz w:val="20"/>
          <w:szCs w:val="20"/>
        </w:rPr>
        <w:t>ng activities, loans payable from third parties raised through various securities exchanges, loans from shareholders and loans from related parties. The cash requirements are generally for operating activities and repayments of loans from third parties, re</w:t>
      </w:r>
      <w:r>
        <w:rPr>
          <w:sz w:val="20"/>
          <w:szCs w:val="20"/>
        </w:rPr>
        <w:t xml:space="preserve">lated parties and shareholders. Ever since, securities exchanges have ceased offering any form of financing to us through their platforms and our loan receivables were credit-impaired, the Company ran into severe liquidity issue. In the beginning of 2019, </w:t>
      </w:r>
      <w:r>
        <w:rPr>
          <w:sz w:val="20"/>
          <w:szCs w:val="20"/>
        </w:rPr>
        <w:t xml:space="preserve">the Company began to default in certain loans payable, even though certain loans payable were </w:t>
      </w:r>
      <w:r>
        <w:rPr>
          <w:sz w:val="20"/>
          <w:szCs w:val="20"/>
        </w:rPr>
        <w:lastRenderedPageBreak/>
        <w:t>negotiated for revised repayment terms. With loans receivables continued to be further credit-impaired, all obligations of loans payable were defaulted. The liqui</w:t>
      </w:r>
      <w:r>
        <w:rPr>
          <w:sz w:val="20"/>
          <w:szCs w:val="20"/>
        </w:rPr>
        <w:t>dity issue of the Company has further severely affected its ability to pay its taxes, service providers, employees and others. Due to non-payment of its obligations when due, multiple significant legal proceedings were initiated by its shareholders, servic</w:t>
      </w:r>
      <w:r>
        <w:rPr>
          <w:sz w:val="20"/>
          <w:szCs w:val="20"/>
        </w:rPr>
        <w:t>e providers and others against the Company (see Note 28 of the Consolidated Financial Statements – Legal proceedings for detailed disclosure). As a result, we require additional cash resources due to changed business conditions or other future developments</w:t>
      </w:r>
      <w:r>
        <w:rPr>
          <w:sz w:val="20"/>
          <w:szCs w:val="20"/>
        </w:rPr>
        <w:t xml:space="preserve">. If our current resources are insufficient to satisfy our cash requirements, we may seek to sell additional equity or debt securities or obtain a credit facility. The incurrence of indebtedness would result in increased debt service obligations and could </w:t>
      </w:r>
      <w:r>
        <w:rPr>
          <w:sz w:val="20"/>
          <w:szCs w:val="20"/>
        </w:rPr>
        <w:t>result in operating and financing covenants that would restrict our operations and liquidity.</w:t>
      </w:r>
    </w:p>
    <w:p w14:paraId="02B8788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9F51481"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addition, our ability to obtain additional capital on acceptable terms is subject to a variety of uncertainties, including conditions of the market, our fut</w:t>
      </w:r>
      <w:r>
        <w:rPr>
          <w:sz w:val="20"/>
          <w:szCs w:val="20"/>
        </w:rPr>
        <w:t>ure results of operations, financial condition and cash flows, and PRC governmental regulation of foreign investment in microfinance service companies in China.</w:t>
      </w:r>
    </w:p>
    <w:p w14:paraId="4A2098E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F974A1C" w14:textId="77777777" w:rsidR="00000000" w:rsidRDefault="00EB4933">
      <w:pPr>
        <w:pStyle w:val="NormalWeb"/>
        <w:spacing w:before="0" w:beforeAutospacing="0" w:after="0" w:afterAutospacing="0"/>
        <w:jc w:val="both"/>
        <w:divId w:val="98525094"/>
        <w:rPr>
          <w:sz w:val="20"/>
          <w:szCs w:val="20"/>
        </w:rPr>
      </w:pPr>
      <w:r>
        <w:rPr>
          <w:sz w:val="20"/>
          <w:szCs w:val="20"/>
        </w:rPr>
        <w:t xml:space="preserve">We cannot assure you that financing will be available in amounts or on terms acceptable to </w:t>
      </w:r>
      <w:r>
        <w:rPr>
          <w:sz w:val="20"/>
          <w:szCs w:val="20"/>
        </w:rPr>
        <w:t>us, if at all. Any failure to raise additional funds on favorable terms could have a material adverse effect on our liquidity and financial condition.</w:t>
      </w:r>
    </w:p>
    <w:p w14:paraId="4A02ECBD"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r>
        <w:rPr>
          <w:rStyle w:val="Emphasis"/>
          <w:b/>
          <w:bCs/>
          <w:sz w:val="20"/>
          <w:szCs w:val="20"/>
        </w:rPr>
        <w:t> </w:t>
      </w:r>
    </w:p>
    <w:p w14:paraId="6D40DCF5"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xml:space="preserve">We rely heavily on loans to our customers in Wuhan City. Failure to maintain or increase our lending </w:t>
      </w:r>
      <w:r>
        <w:rPr>
          <w:rStyle w:val="Emphasis"/>
          <w:b/>
          <w:bCs/>
          <w:sz w:val="20"/>
          <w:szCs w:val="20"/>
        </w:rPr>
        <w:t>to our customers may adversely affect our results of operations.</w:t>
      </w:r>
    </w:p>
    <w:p w14:paraId="6C699C16"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A95E637"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We generate substantially all of our interest income from loans to customers in Wuhan City, Hubei Province. If we are unsuccessful in maintaining or increasing our lending to our customers </w:t>
      </w:r>
      <w:r>
        <w:rPr>
          <w:sz w:val="20"/>
          <w:szCs w:val="20"/>
        </w:rPr>
        <w:t>in Wuhan City, Hubei Province, our business, results of operations and prospects may be materially adversely affected. Further, all of our customers are located in Wuhan, China, as a result of the COVID-19 outbreak, government lockdown, travel restrictions</w:t>
      </w:r>
      <w:r>
        <w:rPr>
          <w:sz w:val="20"/>
          <w:szCs w:val="20"/>
        </w:rPr>
        <w:t xml:space="preserve"> and quarantines imposed by the Chinese government, our customers’ business operations, financial conditions and cash flows were materially adversely affected, which, in turn, materially adversely affected our collection of interest and principal on our lo</w:t>
      </w:r>
      <w:r>
        <w:rPr>
          <w:sz w:val="20"/>
          <w:szCs w:val="20"/>
        </w:rPr>
        <w:t xml:space="preserve">ans to customers. </w:t>
      </w:r>
    </w:p>
    <w:p w14:paraId="53AD86F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31EF03E"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conducting our business, we face many risks that may interfere with our business objectives. Some of these risks could materially and adversely affect our business, financial condition and results of operations. In particular, we ar</w:t>
      </w:r>
      <w:r>
        <w:rPr>
          <w:sz w:val="20"/>
          <w:szCs w:val="20"/>
        </w:rPr>
        <w:t xml:space="preserve">e subject to various risks resulting from changing economic, political, industry, business and financial conditions. The risks and uncertainties described below are not the only ones we face. Additional risks and uncertainties not currently known to us or </w:t>
      </w:r>
      <w:r>
        <w:rPr>
          <w:sz w:val="20"/>
          <w:szCs w:val="20"/>
        </w:rPr>
        <w:t>that we currently deem to be immaterial may also materially adversely affect our business operations.</w:t>
      </w:r>
    </w:p>
    <w:p w14:paraId="14F35DCE"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735911D" w14:textId="77777777">
        <w:trPr>
          <w:divId w:val="98525094"/>
          <w:trHeight w:val="225"/>
          <w:tblCellSpacing w:w="15" w:type="dxa"/>
        </w:trPr>
        <w:tc>
          <w:tcPr>
            <w:tcW w:w="0" w:type="auto"/>
            <w:vAlign w:val="center"/>
            <w:hideMark/>
          </w:tcPr>
          <w:p w14:paraId="57627529" w14:textId="77777777" w:rsidR="00000000" w:rsidRDefault="00EB4933">
            <w:pPr>
              <w:rPr>
                <w:rFonts w:eastAsia="Times New Roman"/>
                <w:sz w:val="20"/>
                <w:szCs w:val="20"/>
              </w:rPr>
            </w:pPr>
            <w:r>
              <w:rPr>
                <w:rFonts w:eastAsia="Times New Roman"/>
                <w:sz w:val="20"/>
                <w:szCs w:val="20"/>
              </w:rPr>
              <w:t xml:space="preserve">  </w:t>
            </w:r>
          </w:p>
        </w:tc>
      </w:tr>
      <w:tr w:rsidR="00000000" w14:paraId="57379A44" w14:textId="77777777">
        <w:trPr>
          <w:divId w:val="98525094"/>
          <w:trHeight w:val="225"/>
          <w:tblCellSpacing w:w="15" w:type="dxa"/>
        </w:trPr>
        <w:tc>
          <w:tcPr>
            <w:tcW w:w="0" w:type="auto"/>
            <w:tcBorders>
              <w:bottom w:val="single" w:sz="6" w:space="0" w:color="000000"/>
            </w:tcBorders>
            <w:vAlign w:val="center"/>
            <w:hideMark/>
          </w:tcPr>
          <w:p w14:paraId="5D0D02F7" w14:textId="77777777" w:rsidR="00000000" w:rsidRDefault="00EB4933">
            <w:pPr>
              <w:jc w:val="center"/>
              <w:rPr>
                <w:rFonts w:eastAsia="Times New Roman"/>
                <w:sz w:val="20"/>
                <w:szCs w:val="20"/>
              </w:rPr>
            </w:pPr>
            <w:r>
              <w:rPr>
                <w:rFonts w:eastAsia="Times New Roman"/>
                <w:sz w:val="20"/>
                <w:szCs w:val="20"/>
              </w:rPr>
              <w:t>14</w:t>
            </w:r>
          </w:p>
        </w:tc>
      </w:tr>
      <w:tr w:rsidR="00000000" w14:paraId="4D363C92" w14:textId="77777777">
        <w:trPr>
          <w:divId w:val="98525094"/>
          <w:trHeight w:val="225"/>
          <w:tblCellSpacing w:w="15" w:type="dxa"/>
        </w:trPr>
        <w:tc>
          <w:tcPr>
            <w:tcW w:w="0" w:type="auto"/>
            <w:vAlign w:val="center"/>
            <w:hideMark/>
          </w:tcPr>
          <w:p w14:paraId="0B26090F" w14:textId="77777777" w:rsidR="00000000" w:rsidRDefault="00EB4933">
            <w:pPr>
              <w:rPr>
                <w:rFonts w:eastAsia="Times New Roman"/>
                <w:sz w:val="20"/>
                <w:szCs w:val="20"/>
              </w:rPr>
            </w:pPr>
          </w:p>
        </w:tc>
      </w:tr>
      <w:tr w:rsidR="00000000" w14:paraId="0C91142E" w14:textId="77777777">
        <w:trPr>
          <w:divId w:val="98525094"/>
          <w:trHeight w:val="225"/>
          <w:tblCellSpacing w:w="15" w:type="dxa"/>
        </w:trPr>
        <w:tc>
          <w:tcPr>
            <w:tcW w:w="0" w:type="auto"/>
            <w:vAlign w:val="center"/>
            <w:hideMark/>
          </w:tcPr>
          <w:p w14:paraId="34BE88C1" w14:textId="77777777" w:rsidR="00000000" w:rsidRDefault="00EB4933">
            <w:pPr>
              <w:rPr>
                <w:rFonts w:eastAsia="Times New Roman"/>
                <w:sz w:val="20"/>
                <w:szCs w:val="20"/>
              </w:rPr>
            </w:pPr>
            <w:hyperlink r:id="rId74" w:anchor="toc" w:history="1">
              <w:r>
                <w:rPr>
                  <w:rStyle w:val="Hyperlink"/>
                  <w:rFonts w:eastAsia="Times New Roman"/>
                  <w:i/>
                  <w:iCs/>
                  <w:sz w:val="20"/>
                  <w:szCs w:val="20"/>
                </w:rPr>
                <w:t>Table of Contents</w:t>
              </w:r>
            </w:hyperlink>
          </w:p>
        </w:tc>
      </w:tr>
    </w:tbl>
    <w:p w14:paraId="34BFE7C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12C7B10"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Credit loss allowances may not be sufficient to absorb future losses or prevent a material adverse affect on our business, financial condition, or results of operations.</w:t>
      </w:r>
    </w:p>
    <w:p w14:paraId="6279FB9D" w14:textId="77777777" w:rsidR="00000000" w:rsidRDefault="00EB4933">
      <w:pPr>
        <w:pStyle w:val="NormalWeb"/>
        <w:spacing w:before="0" w:beforeAutospacing="0" w:after="0" w:afterAutospacing="0"/>
        <w:ind w:firstLine="675"/>
        <w:jc w:val="both"/>
        <w:divId w:val="98525094"/>
        <w:rPr>
          <w:sz w:val="20"/>
          <w:szCs w:val="20"/>
        </w:rPr>
      </w:pPr>
      <w:r>
        <w:rPr>
          <w:rStyle w:val="Strong"/>
          <w:sz w:val="20"/>
          <w:szCs w:val="20"/>
        </w:rPr>
        <w:t> </w:t>
      </w:r>
    </w:p>
    <w:p w14:paraId="7CB697F7"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We determine credit loss allowances in accordance with IFRS 9 as follows: </w:t>
      </w:r>
    </w:p>
    <w:p w14:paraId="03F0C815"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545"/>
        <w:gridCol w:w="8815"/>
      </w:tblGrid>
      <w:tr w:rsidR="00000000" w14:paraId="79AA9434" w14:textId="77777777">
        <w:trPr>
          <w:divId w:val="98525094"/>
          <w:trHeight w:val="225"/>
          <w:tblCellSpacing w:w="15" w:type="dxa"/>
        </w:trPr>
        <w:tc>
          <w:tcPr>
            <w:tcW w:w="200" w:type="pct"/>
            <w:hideMark/>
          </w:tcPr>
          <w:p w14:paraId="47389017"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5FFCA09D" w14:textId="77777777" w:rsidR="00000000" w:rsidRDefault="00EB4933">
            <w:pPr>
              <w:jc w:val="both"/>
              <w:rPr>
                <w:rFonts w:eastAsia="Times New Roman"/>
                <w:sz w:val="20"/>
                <w:szCs w:val="20"/>
              </w:rPr>
            </w:pPr>
            <w:r>
              <w:rPr>
                <w:rFonts w:eastAsia="Times New Roman"/>
                <w:sz w:val="20"/>
                <w:szCs w:val="20"/>
              </w:rPr>
              <w:t>Stag</w:t>
            </w:r>
            <w:r>
              <w:rPr>
                <w:rFonts w:eastAsia="Times New Roman"/>
                <w:sz w:val="20"/>
                <w:szCs w:val="20"/>
              </w:rPr>
              <w:t>e 1: Expected credit losses are recognized at the time of initial recognition of a financial instrument and represent the lifetime cash shortfalls arising from possible default events for the life of loan from the balance sheet date. Expected credit losses</w:t>
            </w:r>
            <w:r>
              <w:rPr>
                <w:rFonts w:eastAsia="Times New Roman"/>
                <w:sz w:val="20"/>
                <w:szCs w:val="20"/>
              </w:rPr>
              <w:t xml:space="preserve"> continue to be determined on this basis until there is either a significant increase in the credit risk of an instrument or the instrument becomes credit-impaired.</w:t>
            </w:r>
          </w:p>
        </w:tc>
      </w:tr>
      <w:tr w:rsidR="00000000" w14:paraId="76B99449" w14:textId="77777777">
        <w:trPr>
          <w:divId w:val="98525094"/>
          <w:trHeight w:val="225"/>
          <w:tblCellSpacing w:w="15" w:type="dxa"/>
        </w:trPr>
        <w:tc>
          <w:tcPr>
            <w:tcW w:w="0" w:type="auto"/>
            <w:vAlign w:val="center"/>
            <w:hideMark/>
          </w:tcPr>
          <w:p w14:paraId="200481AF"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7EFD48A"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157C25D8" w14:textId="77777777">
        <w:trPr>
          <w:divId w:val="98525094"/>
          <w:trHeight w:val="225"/>
          <w:tblCellSpacing w:w="15" w:type="dxa"/>
        </w:trPr>
        <w:tc>
          <w:tcPr>
            <w:tcW w:w="0" w:type="auto"/>
            <w:hideMark/>
          </w:tcPr>
          <w:p w14:paraId="487AB2C6"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26293251" w14:textId="77777777" w:rsidR="00000000" w:rsidRDefault="00EB4933">
            <w:pPr>
              <w:jc w:val="both"/>
              <w:rPr>
                <w:rFonts w:eastAsia="Times New Roman"/>
                <w:sz w:val="20"/>
                <w:szCs w:val="20"/>
              </w:rPr>
            </w:pPr>
            <w:r>
              <w:rPr>
                <w:rFonts w:eastAsia="Times New Roman"/>
                <w:sz w:val="20"/>
                <w:szCs w:val="20"/>
              </w:rPr>
              <w:t>Stage 2: If a financial asset experiences a significant increase in credit risk since initial recognition, an expected credit loss provision is recognized for default events that may occur over the lifetime of the asset. Significant increase in credit risk</w:t>
            </w:r>
            <w:r>
              <w:rPr>
                <w:rFonts w:eastAsia="Times New Roman"/>
                <w:sz w:val="20"/>
                <w:szCs w:val="20"/>
              </w:rPr>
              <w:t xml:space="preserve"> is assessed by comparing the risk of default of an exposure at the reporting date to the risk of default at origination (after taking into account the passage of time). Significant does not mean statistically significant nor is it assessed in the context </w:t>
            </w:r>
            <w:r>
              <w:rPr>
                <w:rFonts w:eastAsia="Times New Roman"/>
                <w:sz w:val="20"/>
                <w:szCs w:val="20"/>
              </w:rPr>
              <w:t xml:space="preserve">of changes in expected credit loss. Whether a change in </w:t>
            </w:r>
            <w:r>
              <w:rPr>
                <w:rFonts w:eastAsia="Times New Roman"/>
                <w:sz w:val="20"/>
                <w:szCs w:val="20"/>
              </w:rPr>
              <w:lastRenderedPageBreak/>
              <w:t>the risk of default is significant or not is assessed using a number of quantitative and qualitative factors, the weight of which depends on the type of product and counterparty. Financial assets that</w:t>
            </w:r>
            <w:r>
              <w:rPr>
                <w:rFonts w:eastAsia="Times New Roman"/>
                <w:sz w:val="20"/>
                <w:szCs w:val="20"/>
              </w:rPr>
              <w:t xml:space="preserve"> are 30 or more days past due and not credit-impaired will always be considered to have experienced a significant increase in credit risk. </w:t>
            </w:r>
          </w:p>
        </w:tc>
      </w:tr>
      <w:tr w:rsidR="00000000" w14:paraId="0EA92C14" w14:textId="77777777">
        <w:trPr>
          <w:divId w:val="98525094"/>
          <w:trHeight w:val="225"/>
          <w:tblCellSpacing w:w="15" w:type="dxa"/>
        </w:trPr>
        <w:tc>
          <w:tcPr>
            <w:tcW w:w="0" w:type="auto"/>
            <w:vAlign w:val="center"/>
            <w:hideMark/>
          </w:tcPr>
          <w:p w14:paraId="56C48FD5" w14:textId="77777777" w:rsidR="00000000" w:rsidRDefault="00EB4933">
            <w:pPr>
              <w:pStyle w:val="NormalWeb"/>
              <w:spacing w:before="0" w:beforeAutospacing="0" w:after="0" w:afterAutospacing="0"/>
              <w:ind w:firstLine="450"/>
              <w:jc w:val="both"/>
              <w:rPr>
                <w:sz w:val="20"/>
                <w:szCs w:val="20"/>
              </w:rPr>
            </w:pPr>
            <w:r>
              <w:rPr>
                <w:sz w:val="20"/>
                <w:szCs w:val="20"/>
              </w:rPr>
              <w:lastRenderedPageBreak/>
              <w:t> </w:t>
            </w:r>
          </w:p>
        </w:tc>
        <w:tc>
          <w:tcPr>
            <w:tcW w:w="0" w:type="auto"/>
            <w:vAlign w:val="center"/>
            <w:hideMark/>
          </w:tcPr>
          <w:p w14:paraId="4DCEB957"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18A3DAF4" w14:textId="77777777">
        <w:trPr>
          <w:divId w:val="98525094"/>
          <w:trHeight w:val="225"/>
          <w:tblCellSpacing w:w="15" w:type="dxa"/>
        </w:trPr>
        <w:tc>
          <w:tcPr>
            <w:tcW w:w="0" w:type="auto"/>
            <w:hideMark/>
          </w:tcPr>
          <w:p w14:paraId="0B0CBD35"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02C347BD" w14:textId="77777777" w:rsidR="00000000" w:rsidRDefault="00EB4933">
            <w:pPr>
              <w:jc w:val="both"/>
              <w:rPr>
                <w:rFonts w:eastAsia="Times New Roman"/>
                <w:sz w:val="20"/>
                <w:szCs w:val="20"/>
              </w:rPr>
            </w:pPr>
            <w:r>
              <w:rPr>
                <w:rFonts w:eastAsia="Times New Roman"/>
                <w:sz w:val="20"/>
                <w:szCs w:val="20"/>
              </w:rPr>
              <w:t>Stage 3: Financial assets that are credit-impaired (or in default) represent those that are past due more th</w:t>
            </w:r>
            <w:r>
              <w:rPr>
                <w:rFonts w:eastAsia="Times New Roman"/>
                <w:sz w:val="20"/>
                <w:szCs w:val="20"/>
              </w:rPr>
              <w:t>an the historical average collection period for past due loans, but not to exceed the original contractual loan terms. Financial assets are also considered to be credit-impaired where the obligors are unlikely to pay on the occurrence of one or more observ</w:t>
            </w:r>
            <w:r>
              <w:rPr>
                <w:rFonts w:eastAsia="Times New Roman"/>
                <w:sz w:val="20"/>
                <w:szCs w:val="20"/>
              </w:rPr>
              <w:t>able events that have a detrimental impact on the estimated future cash flows of the financial asset. It may not be possible to identify a single discrete event but instead the combined effect of several events may cause financial assets to become credit-i</w:t>
            </w:r>
            <w:r>
              <w:rPr>
                <w:rFonts w:eastAsia="Times New Roman"/>
                <w:sz w:val="20"/>
                <w:szCs w:val="20"/>
              </w:rPr>
              <w:t>mpaired.</w:t>
            </w:r>
          </w:p>
        </w:tc>
      </w:tr>
      <w:tr w:rsidR="00000000" w14:paraId="041C2C26" w14:textId="77777777">
        <w:trPr>
          <w:divId w:val="98525094"/>
          <w:trHeight w:val="225"/>
          <w:tblCellSpacing w:w="15" w:type="dxa"/>
        </w:trPr>
        <w:tc>
          <w:tcPr>
            <w:tcW w:w="0" w:type="auto"/>
            <w:vAlign w:val="center"/>
            <w:hideMark/>
          </w:tcPr>
          <w:p w14:paraId="61138C72"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45FFDF09"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276E7F2E" w14:textId="77777777">
        <w:trPr>
          <w:divId w:val="98525094"/>
          <w:trHeight w:val="225"/>
          <w:tblCellSpacing w:w="15" w:type="dxa"/>
        </w:trPr>
        <w:tc>
          <w:tcPr>
            <w:tcW w:w="0" w:type="auto"/>
            <w:hideMark/>
          </w:tcPr>
          <w:p w14:paraId="47D6530B"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043CB167" w14:textId="77777777" w:rsidR="00000000" w:rsidRDefault="00EB4933">
            <w:pPr>
              <w:jc w:val="both"/>
              <w:rPr>
                <w:rFonts w:eastAsia="Times New Roman"/>
                <w:sz w:val="20"/>
                <w:szCs w:val="20"/>
              </w:rPr>
            </w:pPr>
            <w:r>
              <w:rPr>
                <w:rFonts w:eastAsia="Times New Roman"/>
                <w:sz w:val="20"/>
                <w:szCs w:val="20"/>
              </w:rPr>
              <w:t>Loss provisions against credit-impaired financial assets are determined based on an assessment of the recoverable cash flows under a range of scenarios, including the realization of any collateral held where appropriate. The loss provision</w:t>
            </w:r>
            <w:r>
              <w:rPr>
                <w:rFonts w:eastAsia="Times New Roman"/>
                <w:sz w:val="20"/>
                <w:szCs w:val="20"/>
              </w:rPr>
              <w:t>s held represent the difference between the present value of the cash flows expected to be recovered, discounted at the instrument’s original effective interest rate, and the gross carrying value of the instrument prior to any credit impairment.</w:t>
            </w:r>
          </w:p>
        </w:tc>
      </w:tr>
    </w:tbl>
    <w:p w14:paraId="5511DB7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91DDA5F" w14:textId="77777777" w:rsidR="00000000" w:rsidRDefault="00EB4933">
      <w:pPr>
        <w:pStyle w:val="NormalWeb"/>
        <w:spacing w:before="0" w:beforeAutospacing="0" w:after="0" w:afterAutospacing="0"/>
        <w:ind w:firstLine="675"/>
        <w:jc w:val="both"/>
        <w:divId w:val="98525094"/>
        <w:rPr>
          <w:sz w:val="20"/>
          <w:szCs w:val="20"/>
        </w:rPr>
      </w:pPr>
      <w:r>
        <w:rPr>
          <w:sz w:val="20"/>
          <w:szCs w:val="20"/>
        </w:rPr>
        <w:t>Howev</w:t>
      </w:r>
      <w:r>
        <w:rPr>
          <w:sz w:val="20"/>
          <w:szCs w:val="20"/>
        </w:rPr>
        <w:t>er, our credit loss allowance may not be sufficient to absorb future loan losses or prevent a material adverse effect on the business, financial condition and results of operations. Further, borrowers are located in Wuhan, China, due to the government lock</w:t>
      </w:r>
      <w:r>
        <w:rPr>
          <w:sz w:val="20"/>
          <w:szCs w:val="20"/>
        </w:rPr>
        <w:t>down, travel restrictions and quarantines imposed by the Chinese government in Wuhan, China, the business operations, financial conditions and cash flows of our borrowers were materially adversely affected, the impact of COVID-19 may have exacerbated the c</w:t>
      </w:r>
      <w:r>
        <w:rPr>
          <w:sz w:val="20"/>
          <w:szCs w:val="20"/>
        </w:rPr>
        <w:t>onditions of our credit-impaired loans and hence increase the insufficiency of our credit loss allowance.</w:t>
      </w:r>
    </w:p>
    <w:p w14:paraId="794F3C6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FCE6AE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While they do not directly impact our IFRS financial statements, we are also subject to regulatory accounting requirements. Pursuant to </w:t>
      </w:r>
      <w:r>
        <w:rPr>
          <w:rStyle w:val="Emphasis"/>
          <w:sz w:val="20"/>
          <w:szCs w:val="20"/>
        </w:rPr>
        <w:t>Measures for Administration of Pilot Scheme on Microfinance Companies in Hubei Province</w:t>
      </w:r>
      <w:r>
        <w:rPr>
          <w:sz w:val="20"/>
          <w:szCs w:val="20"/>
        </w:rPr>
        <w:t xml:space="preserve"> jointly issued by the Financial </w:t>
      </w:r>
      <w:r>
        <w:rPr>
          <w:sz w:val="20"/>
          <w:szCs w:val="20"/>
        </w:rPr>
        <w:t xml:space="preserve">Affairs Office of the Hubei Province People’s Government Hubei Province Administration for Industry and Commerce, Hubei Bureaus of the CBRC, Hubei Branch of the PBOC and the Public Security of Hubei Province on May 13, 2009, </w:t>
      </w:r>
      <w:r>
        <w:rPr>
          <w:rFonts w:ascii="MS Mincho" w:eastAsia="MS Mincho" w:hAnsi="MS Mincho" w:cs="MS Mincho" w:hint="eastAsia"/>
          <w:sz w:val="20"/>
          <w:szCs w:val="20"/>
        </w:rPr>
        <w:t>（湖北省小</w:t>
      </w:r>
      <w:r>
        <w:rPr>
          <w:rFonts w:ascii="SimSun" w:eastAsia="SimSun" w:hAnsi="SimSun" w:cs="SimSun" w:hint="eastAsia"/>
          <w:sz w:val="20"/>
          <w:szCs w:val="20"/>
        </w:rPr>
        <w:t>额贷款公司试点暂行管理办法（鄂金办发</w:t>
      </w:r>
      <w:r>
        <w:rPr>
          <w:sz w:val="20"/>
          <w:szCs w:val="20"/>
        </w:rPr>
        <w:t>[2009]18</w:t>
      </w:r>
      <w:r>
        <w:rPr>
          <w:rFonts w:ascii="MS Mincho" w:eastAsia="MS Mincho" w:hAnsi="MS Mincho" w:cs="MS Mincho" w:hint="eastAsia"/>
          <w:sz w:val="20"/>
          <w:szCs w:val="20"/>
        </w:rPr>
        <w:t>号）），</w:t>
      </w:r>
      <w:r>
        <w:rPr>
          <w:sz w:val="20"/>
          <w:szCs w:val="20"/>
        </w:rPr>
        <w:t xml:space="preserve"> we should make sufficient credit loss allowances. As of December 31, 2017, 2018 and 2019, credit loss allowance of RMB331.0 million (after application of IFRS 9), RMB397.3 million and RMB423.8 million ($60.9 million) were provided, respectively, which</w:t>
      </w:r>
      <w:r>
        <w:rPr>
          <w:sz w:val="20"/>
          <w:szCs w:val="20"/>
        </w:rPr>
        <w:t xml:space="preserve"> represented 35.8% (after application of IFRS 9), 40.7% and 40.8% of our outstanding loans, respectively. As of December 31, 2017, 2018 and 2019, delinquent loans that were subject to 100% loan loss allowance, were RMB47.5 million (after application of IFR</w:t>
      </w:r>
      <w:r>
        <w:rPr>
          <w:sz w:val="20"/>
          <w:szCs w:val="20"/>
        </w:rPr>
        <w:t xml:space="preserve">S 9), RMB46.3 million and RMB47.4 million ($6.8 million), respectively. As of December 31, 2017, 2018 and 2019, loans that written off were nil, RMB1.2 million and nil, respectively. </w:t>
      </w:r>
    </w:p>
    <w:p w14:paraId="5CE908F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30B0510" w14:textId="77777777" w:rsidR="00000000" w:rsidRDefault="00EB4933">
      <w:pPr>
        <w:pStyle w:val="NormalWeb"/>
        <w:spacing w:before="0" w:beforeAutospacing="0" w:after="0" w:afterAutospacing="0"/>
        <w:ind w:firstLine="675"/>
        <w:jc w:val="both"/>
        <w:divId w:val="98525094"/>
        <w:rPr>
          <w:sz w:val="20"/>
          <w:szCs w:val="20"/>
        </w:rPr>
      </w:pPr>
      <w:r>
        <w:rPr>
          <w:sz w:val="20"/>
          <w:szCs w:val="20"/>
        </w:rPr>
        <w:t>While we believe that our management uses the best information availab</w:t>
      </w:r>
      <w:r>
        <w:rPr>
          <w:sz w:val="20"/>
          <w:szCs w:val="20"/>
        </w:rPr>
        <w:t>le to make credit loss allowance evaluations, adjustments to the allowance may be necessary based on changes in economic and other conditions or change in accounting guidance, which could negatively affect our results of operations and financial conditions</w:t>
      </w:r>
      <w:r>
        <w:rPr>
          <w:sz w:val="20"/>
          <w:szCs w:val="20"/>
        </w:rPr>
        <w:t>.</w:t>
      </w:r>
    </w:p>
    <w:p w14:paraId="08CE1C45"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62BC7CA" w14:textId="77777777">
        <w:trPr>
          <w:divId w:val="98525094"/>
          <w:trHeight w:val="225"/>
          <w:tblCellSpacing w:w="15" w:type="dxa"/>
        </w:trPr>
        <w:tc>
          <w:tcPr>
            <w:tcW w:w="0" w:type="auto"/>
            <w:vAlign w:val="center"/>
            <w:hideMark/>
          </w:tcPr>
          <w:p w14:paraId="661F3471" w14:textId="77777777" w:rsidR="00000000" w:rsidRDefault="00EB4933">
            <w:pPr>
              <w:rPr>
                <w:rFonts w:eastAsia="Times New Roman"/>
                <w:sz w:val="20"/>
                <w:szCs w:val="20"/>
              </w:rPr>
            </w:pPr>
            <w:r>
              <w:rPr>
                <w:rFonts w:eastAsia="Times New Roman"/>
                <w:sz w:val="20"/>
                <w:szCs w:val="20"/>
              </w:rPr>
              <w:t> </w:t>
            </w:r>
          </w:p>
        </w:tc>
      </w:tr>
      <w:tr w:rsidR="00000000" w14:paraId="539E1EA3" w14:textId="77777777">
        <w:trPr>
          <w:divId w:val="98525094"/>
          <w:trHeight w:val="225"/>
          <w:tblCellSpacing w:w="15" w:type="dxa"/>
        </w:trPr>
        <w:tc>
          <w:tcPr>
            <w:tcW w:w="0" w:type="auto"/>
            <w:tcBorders>
              <w:bottom w:val="single" w:sz="6" w:space="0" w:color="000000"/>
            </w:tcBorders>
            <w:vAlign w:val="center"/>
            <w:hideMark/>
          </w:tcPr>
          <w:p w14:paraId="689C6A12" w14:textId="77777777" w:rsidR="00000000" w:rsidRDefault="00EB4933">
            <w:pPr>
              <w:jc w:val="center"/>
              <w:rPr>
                <w:rFonts w:eastAsia="Times New Roman"/>
                <w:sz w:val="20"/>
                <w:szCs w:val="20"/>
              </w:rPr>
            </w:pPr>
            <w:r>
              <w:rPr>
                <w:rFonts w:eastAsia="Times New Roman"/>
                <w:sz w:val="20"/>
                <w:szCs w:val="20"/>
              </w:rPr>
              <w:t>15</w:t>
            </w:r>
          </w:p>
        </w:tc>
      </w:tr>
      <w:tr w:rsidR="00000000" w14:paraId="469A364F" w14:textId="77777777">
        <w:trPr>
          <w:divId w:val="98525094"/>
          <w:trHeight w:val="225"/>
          <w:tblCellSpacing w:w="15" w:type="dxa"/>
        </w:trPr>
        <w:tc>
          <w:tcPr>
            <w:tcW w:w="0" w:type="auto"/>
            <w:vAlign w:val="center"/>
            <w:hideMark/>
          </w:tcPr>
          <w:p w14:paraId="740A34D8" w14:textId="77777777" w:rsidR="00000000" w:rsidRDefault="00EB4933">
            <w:pPr>
              <w:rPr>
                <w:rFonts w:eastAsia="Times New Roman"/>
                <w:sz w:val="20"/>
                <w:szCs w:val="20"/>
              </w:rPr>
            </w:pPr>
          </w:p>
        </w:tc>
      </w:tr>
      <w:tr w:rsidR="00000000" w14:paraId="2F2361B4" w14:textId="77777777">
        <w:trPr>
          <w:divId w:val="98525094"/>
          <w:trHeight w:val="225"/>
          <w:tblCellSpacing w:w="15" w:type="dxa"/>
        </w:trPr>
        <w:tc>
          <w:tcPr>
            <w:tcW w:w="0" w:type="auto"/>
            <w:vAlign w:val="center"/>
            <w:hideMark/>
          </w:tcPr>
          <w:p w14:paraId="252247A6" w14:textId="77777777" w:rsidR="00000000" w:rsidRDefault="00EB4933">
            <w:pPr>
              <w:rPr>
                <w:rFonts w:eastAsia="Times New Roman"/>
                <w:sz w:val="20"/>
                <w:szCs w:val="20"/>
              </w:rPr>
            </w:pPr>
            <w:hyperlink r:id="rId75" w:anchor="toc" w:history="1">
              <w:r>
                <w:rPr>
                  <w:rStyle w:val="Hyperlink"/>
                  <w:rFonts w:eastAsia="Times New Roman"/>
                  <w:i/>
                  <w:iCs/>
                  <w:sz w:val="20"/>
                  <w:szCs w:val="20"/>
                </w:rPr>
                <w:t>Table of Contents</w:t>
              </w:r>
            </w:hyperlink>
          </w:p>
        </w:tc>
      </w:tr>
    </w:tbl>
    <w:p w14:paraId="7B680B48"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6185C1A4"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xml:space="preserve">We rely heavily in obtaining our funding from creditors through various securities exchanges in China. Failure to maintain our relationship with these securities exchanges or creditors may materially and adversely affected our liquidity and our results of </w:t>
      </w:r>
      <w:r>
        <w:rPr>
          <w:rStyle w:val="Emphasis"/>
          <w:b/>
          <w:bCs/>
          <w:sz w:val="20"/>
          <w:szCs w:val="20"/>
        </w:rPr>
        <w:t>operations.</w:t>
      </w:r>
    </w:p>
    <w:p w14:paraId="63628D6A"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w:t>
      </w:r>
    </w:p>
    <w:p w14:paraId="56D7F75E" w14:textId="77777777" w:rsidR="00000000" w:rsidRDefault="00EB4933">
      <w:pPr>
        <w:pStyle w:val="NormalWeb"/>
        <w:spacing w:before="0" w:beforeAutospacing="0" w:after="0" w:afterAutospacing="0"/>
        <w:ind w:firstLine="675"/>
        <w:jc w:val="both"/>
        <w:divId w:val="98525094"/>
        <w:rPr>
          <w:sz w:val="20"/>
          <w:szCs w:val="20"/>
        </w:rPr>
      </w:pPr>
      <w:r>
        <w:rPr>
          <w:sz w:val="20"/>
          <w:szCs w:val="20"/>
        </w:rPr>
        <w:t>According to Article 2 and 4 of Provisional Administrative Working Guidance for Utilization of Capital Market by Microfinance Companies in Wuhan (</w:t>
      </w:r>
      <w:r>
        <w:rPr>
          <w:rFonts w:ascii="MS Mincho" w:eastAsia="MS Mincho" w:hAnsi="MS Mincho" w:cs="MS Mincho" w:hint="eastAsia"/>
          <w:sz w:val="20"/>
          <w:szCs w:val="20"/>
        </w:rPr>
        <w:t>《武</w:t>
      </w:r>
      <w:r>
        <w:rPr>
          <w:rFonts w:ascii="SimSun" w:eastAsia="SimSun" w:hAnsi="SimSun" w:cs="SimSun" w:hint="eastAsia"/>
          <w:sz w:val="20"/>
          <w:szCs w:val="20"/>
        </w:rPr>
        <w:t>汉市小额贷款公司利用资本市场融资管理工作指引（暂行）》</w:t>
      </w:r>
      <w:r>
        <w:rPr>
          <w:sz w:val="20"/>
          <w:szCs w:val="20"/>
        </w:rPr>
        <w:t>)</w:t>
      </w:r>
      <w:r>
        <w:rPr>
          <w:rFonts w:ascii="MS Mincho" w:eastAsia="MS Mincho" w:hAnsi="MS Mincho" w:cs="MS Mincho" w:hint="eastAsia"/>
          <w:sz w:val="20"/>
          <w:szCs w:val="20"/>
        </w:rPr>
        <w:t>，</w:t>
      </w:r>
      <w:r>
        <w:rPr>
          <w:sz w:val="20"/>
          <w:szCs w:val="20"/>
        </w:rPr>
        <w:t>promulgated on October 13, 2015, debt financing instruments refer</w:t>
      </w:r>
      <w:r>
        <w:rPr>
          <w:sz w:val="20"/>
          <w:szCs w:val="20"/>
        </w:rPr>
        <w:t xml:space="preserve">red to issuance of debt financing </w:t>
      </w:r>
      <w:r>
        <w:rPr>
          <w:sz w:val="20"/>
          <w:szCs w:val="20"/>
        </w:rPr>
        <w:lastRenderedPageBreak/>
        <w:t>instruments including private placing bonds, by microfinance companies at legally established open exchange markets, including but not limited to Beijing Securities Exchange and Wuhan Securities Exchange. Total financing (</w:t>
      </w:r>
      <w:r>
        <w:rPr>
          <w:sz w:val="20"/>
          <w:szCs w:val="20"/>
        </w:rPr>
        <w:t>excludes financing provided from shareholders) of the microfinance company acquired from bonds, funds from banking financial institutions and buy-back, shall not exceed 150% of its net capital. Total financing provided by legal person shareholders shall no</w:t>
      </w:r>
      <w:r>
        <w:rPr>
          <w:sz w:val="20"/>
          <w:szCs w:val="20"/>
        </w:rPr>
        <w:t xml:space="preserve">t exceed 50% of its net capital. </w:t>
      </w:r>
    </w:p>
    <w:p w14:paraId="3639C58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15B0FCD"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obtain substantially all of our funding from creditors through various securities exchanges in China. If we are unsuccessful in maintaining our relationship with these securities exchanges or creditors through these securities exchanges or we are unable</w:t>
      </w:r>
      <w:r>
        <w:rPr>
          <w:sz w:val="20"/>
          <w:szCs w:val="20"/>
        </w:rPr>
        <w:t xml:space="preserve"> to obtain sufficient funding at reasonable interest rates, our business and results of operations may be materially and adversely affected.</w:t>
      </w:r>
    </w:p>
    <w:p w14:paraId="7D7A03C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CF12252" w14:textId="77777777" w:rsidR="00000000" w:rsidRDefault="00EB4933">
      <w:pPr>
        <w:pStyle w:val="NormalWeb"/>
        <w:spacing w:before="0" w:beforeAutospacing="0" w:after="0" w:afterAutospacing="0"/>
        <w:ind w:firstLine="675"/>
        <w:jc w:val="both"/>
        <w:divId w:val="98525094"/>
        <w:rPr>
          <w:sz w:val="20"/>
          <w:szCs w:val="20"/>
        </w:rPr>
      </w:pPr>
      <w:r>
        <w:rPr>
          <w:sz w:val="20"/>
          <w:szCs w:val="20"/>
        </w:rPr>
        <w:t>Further, we defaulted on repayment of our loans payable to our creditors since 2019 and, as a result, these secur</w:t>
      </w:r>
      <w:r>
        <w:rPr>
          <w:sz w:val="20"/>
          <w:szCs w:val="20"/>
        </w:rPr>
        <w:t>ities exchanges have since ceased offering any form of financing to us through their platforms. Our ability in obtaining funding from creditors through these securities exchanges is no longer viable, our business and results of operations are materially an</w:t>
      </w:r>
      <w:r>
        <w:rPr>
          <w:sz w:val="20"/>
          <w:szCs w:val="20"/>
        </w:rPr>
        <w:t xml:space="preserve">d adversely affected. </w:t>
      </w:r>
    </w:p>
    <w:p w14:paraId="59BE8306"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w:t>
      </w:r>
    </w:p>
    <w:p w14:paraId="7CB551D8"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There are no nationwide laws or regulations that govern our industry.</w:t>
      </w:r>
    </w:p>
    <w:p w14:paraId="5311D569"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w:t>
      </w:r>
    </w:p>
    <w:p w14:paraId="6E35066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As of December 2019, there is no administrative regulatory authority for the microfinance industry at the national level. According to the </w:t>
      </w:r>
      <w:r>
        <w:rPr>
          <w:rStyle w:val="Emphasis"/>
          <w:sz w:val="20"/>
          <w:szCs w:val="20"/>
        </w:rPr>
        <w:t xml:space="preserve">Guiding Opinions on </w:t>
      </w:r>
      <w:r>
        <w:rPr>
          <w:rStyle w:val="Emphasis"/>
          <w:sz w:val="20"/>
          <w:szCs w:val="20"/>
        </w:rPr>
        <w:t>the Pilot Operation of Microfinance Companies</w:t>
      </w:r>
      <w:r>
        <w:rPr>
          <w:sz w:val="20"/>
          <w:szCs w:val="20"/>
        </w:rPr>
        <w:t>, jointly issued by the CBRC and the PBOC on May 4, 2008, (Yin Jian Fa No. [2008] 23) (</w:t>
      </w:r>
      <w:r>
        <w:rPr>
          <w:rFonts w:ascii="MS Gothic" w:eastAsia="MS Gothic" w:hAnsi="MS Gothic" w:cs="MS Gothic" w:hint="eastAsia"/>
          <w:sz w:val="20"/>
          <w:szCs w:val="20"/>
        </w:rPr>
        <w:t>关于小</w:t>
      </w:r>
      <w:r>
        <w:rPr>
          <w:rFonts w:ascii="SimSun" w:eastAsia="SimSun" w:hAnsi="SimSun" w:cs="SimSun" w:hint="eastAsia"/>
          <w:sz w:val="20"/>
          <w:szCs w:val="20"/>
        </w:rPr>
        <w:t>额贷款公司试点的指导意见银监发〔</w:t>
      </w:r>
      <w:r>
        <w:rPr>
          <w:sz w:val="20"/>
          <w:szCs w:val="20"/>
        </w:rPr>
        <w:t>2008</w:t>
      </w:r>
      <w:r>
        <w:rPr>
          <w:rFonts w:ascii="Cambria Math" w:eastAsia="Cambria Math" w:hAnsi="Cambria Math" w:cs="Cambria Math" w:hint="eastAsia"/>
          <w:sz w:val="20"/>
          <w:szCs w:val="20"/>
        </w:rPr>
        <w:t>〕</w:t>
      </w:r>
      <w:r>
        <w:rPr>
          <w:sz w:val="20"/>
          <w:szCs w:val="20"/>
        </w:rPr>
        <w:t>23</w:t>
      </w:r>
      <w:r>
        <w:rPr>
          <w:rFonts w:ascii="MS Mincho" w:eastAsia="MS Mincho" w:hAnsi="MS Mincho" w:cs="MS Mincho" w:hint="eastAsia"/>
          <w:sz w:val="20"/>
          <w:szCs w:val="20"/>
        </w:rPr>
        <w:t>号</w:t>
      </w:r>
      <w:r>
        <w:rPr>
          <w:sz w:val="20"/>
          <w:szCs w:val="20"/>
        </w:rPr>
        <w:t>), any provincial government that is able to assign a department, financial office or other simil</w:t>
      </w:r>
      <w:r>
        <w:rPr>
          <w:sz w:val="20"/>
          <w:szCs w:val="20"/>
        </w:rPr>
        <w:t xml:space="preserve">ar authority to take charge of the supervision and administration of microfinance companies and is willing to assume the responsibility of risk management of microfinance companies may formulate pilot rules and measures in relation to the incorporation of </w:t>
      </w:r>
      <w:r>
        <w:rPr>
          <w:sz w:val="20"/>
          <w:szCs w:val="20"/>
        </w:rPr>
        <w:t xml:space="preserve">such companies within the province, autonomous region or municipalities directly under the PRC government. </w:t>
      </w:r>
    </w:p>
    <w:p w14:paraId="03441895"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66FBA35"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Therefore, the microfinance industry in the PRC is primarily regulated by the financial offices and other similar authorities of the provincial go</w:t>
      </w:r>
      <w:r>
        <w:rPr>
          <w:sz w:val="20"/>
          <w:szCs w:val="20"/>
        </w:rPr>
        <w:t xml:space="preserve">vernments of the relevant provinces. On February 6, 2013, we were issued an Official Reply (E Jin Ban Fa No. [2013]14) by the Financial Office of People’s Government of Hubei, which approved us under the pilot program as a microfinance lender, as proposed </w:t>
      </w:r>
      <w:r>
        <w:rPr>
          <w:sz w:val="20"/>
          <w:szCs w:val="20"/>
        </w:rPr>
        <w:t>by the Wuchang People’s Government. As such, we are not required to obtain any other operation approvals or qualification for conducting our business after receiving the approval of establishment. However, any changes at the national or provincial level re</w:t>
      </w:r>
      <w:r>
        <w:rPr>
          <w:sz w:val="20"/>
          <w:szCs w:val="20"/>
        </w:rPr>
        <w:t>lating to the regulation of the microfinance industry may adversely affect our business and results of operations.</w:t>
      </w:r>
    </w:p>
    <w:p w14:paraId="6747784B"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AC9FB53" w14:textId="77777777">
        <w:trPr>
          <w:divId w:val="98525094"/>
          <w:trHeight w:val="225"/>
          <w:tblCellSpacing w:w="15" w:type="dxa"/>
        </w:trPr>
        <w:tc>
          <w:tcPr>
            <w:tcW w:w="0" w:type="auto"/>
            <w:vAlign w:val="center"/>
            <w:hideMark/>
          </w:tcPr>
          <w:p w14:paraId="3BDEBB73" w14:textId="77777777" w:rsidR="00000000" w:rsidRDefault="00EB4933">
            <w:pPr>
              <w:rPr>
                <w:rFonts w:eastAsia="Times New Roman"/>
                <w:sz w:val="20"/>
                <w:szCs w:val="20"/>
              </w:rPr>
            </w:pPr>
            <w:r>
              <w:rPr>
                <w:rFonts w:eastAsia="Times New Roman"/>
                <w:sz w:val="20"/>
                <w:szCs w:val="20"/>
              </w:rPr>
              <w:t> </w:t>
            </w:r>
          </w:p>
        </w:tc>
      </w:tr>
      <w:tr w:rsidR="00000000" w14:paraId="71A188A2" w14:textId="77777777">
        <w:trPr>
          <w:divId w:val="98525094"/>
          <w:trHeight w:val="225"/>
          <w:tblCellSpacing w:w="15" w:type="dxa"/>
        </w:trPr>
        <w:tc>
          <w:tcPr>
            <w:tcW w:w="0" w:type="auto"/>
            <w:tcBorders>
              <w:bottom w:val="single" w:sz="6" w:space="0" w:color="000000"/>
            </w:tcBorders>
            <w:vAlign w:val="center"/>
            <w:hideMark/>
          </w:tcPr>
          <w:p w14:paraId="61BB831B" w14:textId="77777777" w:rsidR="00000000" w:rsidRDefault="00EB4933">
            <w:pPr>
              <w:jc w:val="center"/>
              <w:rPr>
                <w:rFonts w:eastAsia="Times New Roman"/>
                <w:sz w:val="20"/>
                <w:szCs w:val="20"/>
              </w:rPr>
            </w:pPr>
            <w:r>
              <w:rPr>
                <w:rFonts w:eastAsia="Times New Roman"/>
                <w:sz w:val="20"/>
                <w:szCs w:val="20"/>
              </w:rPr>
              <w:t>16</w:t>
            </w:r>
          </w:p>
        </w:tc>
      </w:tr>
      <w:tr w:rsidR="00000000" w14:paraId="708227DD" w14:textId="77777777">
        <w:trPr>
          <w:divId w:val="98525094"/>
          <w:trHeight w:val="225"/>
          <w:tblCellSpacing w:w="15" w:type="dxa"/>
        </w:trPr>
        <w:tc>
          <w:tcPr>
            <w:tcW w:w="0" w:type="auto"/>
            <w:vAlign w:val="center"/>
            <w:hideMark/>
          </w:tcPr>
          <w:p w14:paraId="5D03A948" w14:textId="77777777" w:rsidR="00000000" w:rsidRDefault="00EB4933">
            <w:pPr>
              <w:rPr>
                <w:rFonts w:eastAsia="Times New Roman"/>
                <w:sz w:val="20"/>
                <w:szCs w:val="20"/>
              </w:rPr>
            </w:pPr>
          </w:p>
        </w:tc>
      </w:tr>
      <w:tr w:rsidR="00000000" w14:paraId="57254B31" w14:textId="77777777">
        <w:trPr>
          <w:divId w:val="98525094"/>
          <w:trHeight w:val="225"/>
          <w:tblCellSpacing w:w="15" w:type="dxa"/>
        </w:trPr>
        <w:tc>
          <w:tcPr>
            <w:tcW w:w="0" w:type="auto"/>
            <w:vAlign w:val="center"/>
            <w:hideMark/>
          </w:tcPr>
          <w:p w14:paraId="4C403B07" w14:textId="77777777" w:rsidR="00000000" w:rsidRDefault="00EB4933">
            <w:pPr>
              <w:rPr>
                <w:rFonts w:eastAsia="Times New Roman"/>
                <w:sz w:val="20"/>
                <w:szCs w:val="20"/>
              </w:rPr>
            </w:pPr>
            <w:hyperlink r:id="rId76" w:anchor="toc" w:history="1">
              <w:r>
                <w:rPr>
                  <w:rStyle w:val="Hyperlink"/>
                  <w:rFonts w:eastAsia="Times New Roman"/>
                  <w:i/>
                  <w:iCs/>
                  <w:sz w:val="20"/>
                  <w:szCs w:val="20"/>
                </w:rPr>
                <w:t>Table of Contents</w:t>
              </w:r>
            </w:hyperlink>
          </w:p>
        </w:tc>
      </w:tr>
    </w:tbl>
    <w:p w14:paraId="4CC273DC"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5AE3AFB0"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We do not strictly adhere to one of the principles under Measures for Administration of Pilot Scheme on Microfinance Companies in Hubei Province, and may be deemed not be in compliance with the provincial local regulatory policies.</w:t>
      </w:r>
    </w:p>
    <w:p w14:paraId="6BD7DAF0"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52F70785"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One of the provisions </w:t>
      </w:r>
      <w:r>
        <w:rPr>
          <w:sz w:val="20"/>
          <w:szCs w:val="20"/>
        </w:rPr>
        <w:t xml:space="preserve">of the </w:t>
      </w:r>
      <w:r>
        <w:rPr>
          <w:rStyle w:val="Emphasis"/>
          <w:sz w:val="20"/>
          <w:szCs w:val="20"/>
        </w:rPr>
        <w:t>Measures for Administration of Pilot Scheme on Microfinance Companies in Hubei Province</w:t>
      </w:r>
      <w:r>
        <w:rPr>
          <w:rFonts w:ascii="MS Mincho" w:eastAsia="MS Mincho" w:hAnsi="MS Mincho" w:cs="MS Mincho" w:hint="eastAsia"/>
          <w:sz w:val="20"/>
          <w:szCs w:val="20"/>
        </w:rPr>
        <w:t>（</w:t>
      </w:r>
      <w:r>
        <w:rPr>
          <w:rStyle w:val="Emphasis"/>
          <w:rFonts w:ascii="MS Mincho" w:eastAsia="MS Mincho" w:hAnsi="MS Mincho" w:cs="MS Mincho" w:hint="eastAsia"/>
          <w:sz w:val="20"/>
          <w:szCs w:val="20"/>
        </w:rPr>
        <w:t>《湖北省小</w:t>
      </w:r>
      <w:r>
        <w:rPr>
          <w:rStyle w:val="Emphasis"/>
          <w:rFonts w:ascii="SimSun" w:eastAsia="SimSun" w:hAnsi="SimSun" w:cs="SimSun" w:hint="eastAsia"/>
          <w:sz w:val="20"/>
          <w:szCs w:val="20"/>
        </w:rPr>
        <w:t>额贷款公司试点暂行管理办法》（鄂金办发</w:t>
      </w:r>
      <w:r>
        <w:rPr>
          <w:rStyle w:val="Emphasis"/>
          <w:sz w:val="20"/>
          <w:szCs w:val="20"/>
        </w:rPr>
        <w:t>[2009]18</w:t>
      </w:r>
      <w:r>
        <w:rPr>
          <w:rStyle w:val="Emphasis"/>
          <w:rFonts w:ascii="MS Mincho" w:eastAsia="MS Mincho" w:hAnsi="MS Mincho" w:cs="MS Mincho" w:hint="eastAsia"/>
          <w:sz w:val="20"/>
          <w:szCs w:val="20"/>
        </w:rPr>
        <w:t>号）</w:t>
      </w:r>
      <w:r>
        <w:rPr>
          <w:sz w:val="20"/>
          <w:szCs w:val="20"/>
        </w:rPr>
        <w:t>) provides that “when granting loans, microfinance companies shall adhere to the principle of “small sum and decentralization”.</w:t>
      </w:r>
      <w:r>
        <w:rPr>
          <w:sz w:val="20"/>
          <w:szCs w:val="20"/>
        </w:rPr>
        <w:t xml:space="preserve"> Microfinance companies are encouraged to provide credit services for farmers and mini-size enterprises and make more efforts in increasing their number of clients and enlarging the coverage of services. 70% of the outstanding loan balance of the microfina</w:t>
      </w:r>
      <w:r>
        <w:rPr>
          <w:sz w:val="20"/>
          <w:szCs w:val="20"/>
        </w:rPr>
        <w:t xml:space="preserve">nce company shall be applied to borrowers of a single account whose balance of the loan is no more than RMB0.5 million, while the rest may be applied to other borrowers, provided that loans to any of such borrowers shall not exceed 5% of the net capital”. </w:t>
      </w:r>
      <w:r>
        <w:rPr>
          <w:sz w:val="20"/>
          <w:szCs w:val="20"/>
        </w:rPr>
        <w:t>Currently, we do not strictly adhere to this principle of “small sum and decentralization” since some of our loans balance to borrowers of a single account is more than RMB0.5 million. As a result, the provincial local regulatory authorities may have the d</w:t>
      </w:r>
      <w:r>
        <w:rPr>
          <w:sz w:val="20"/>
          <w:szCs w:val="20"/>
        </w:rPr>
        <w:t xml:space="preserve">iscretion to determine that we are not in compliance with the provincial local regulatory policies. Although we have not received any notices, warnings or </w:t>
      </w:r>
      <w:r>
        <w:rPr>
          <w:sz w:val="20"/>
          <w:szCs w:val="20"/>
        </w:rPr>
        <w:lastRenderedPageBreak/>
        <w:t>inquiries from provincial local regulatory authorities, there is no assurance that we will not be sub</w:t>
      </w:r>
      <w:r>
        <w:rPr>
          <w:sz w:val="20"/>
          <w:szCs w:val="20"/>
        </w:rPr>
        <w:t>ject to fines, penalties, rectification by the provincial local regulatory authorities, or have our business suspended or license revoked if we do not rectify its deficiencies after receiving notice from such authorities. Any of these occurrences would adv</w:t>
      </w:r>
      <w:r>
        <w:rPr>
          <w:sz w:val="20"/>
          <w:szCs w:val="20"/>
        </w:rPr>
        <w:t>ersely affect our business and results of operations.</w:t>
      </w:r>
    </w:p>
    <w:p w14:paraId="69E86D87"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4BEC9AF"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Our current operations in China are territorially limited to the Hubei Province.</w:t>
      </w:r>
    </w:p>
    <w:p w14:paraId="764BF8CA"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5B9462C1"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accordance with the PRC state and provincial laws and regulations relating to microfinance companies, we are not a</w:t>
      </w:r>
      <w:r>
        <w:rPr>
          <w:sz w:val="20"/>
          <w:szCs w:val="20"/>
        </w:rPr>
        <w:t>llowed to make loans to businesses and individuals located outside of Hubei Province. Our business and future growth opportunities depend on the growth and stability of the economy in Hubei Province. A downturn in the local economy or the implementation of</w:t>
      </w:r>
      <w:r>
        <w:rPr>
          <w:sz w:val="20"/>
          <w:szCs w:val="20"/>
        </w:rPr>
        <w:t xml:space="preserve"> local policies unfavorable to SMEs will cause a decrease in the demand for our loan and will negatively affect borrowers’ ability to repay their loans on a timely basis, both of which will have a negative impact on our profitability and business.</w:t>
      </w:r>
    </w:p>
    <w:p w14:paraId="669D6C3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04E501A"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Co</w:t>
      </w:r>
      <w:r>
        <w:rPr>
          <w:sz w:val="20"/>
          <w:szCs w:val="20"/>
        </w:rPr>
        <w:t>mpany’s headquarters, borrowers and operations are located in Wuhan, China, the epicenter for the COVID-19 pandemic. Wuhan City is located within Hubei Province. As a result of the COVID-19 outbreak which was first reported on December 31, 2019 in Wuhan, C</w:t>
      </w:r>
      <w:r>
        <w:rPr>
          <w:sz w:val="20"/>
          <w:szCs w:val="20"/>
        </w:rPr>
        <w:t>hina, the Chinese government imposed a lockdown on the entire Hubei province, travel restrictions and quarantine, the Company’s borrowers and operations have been significantly disrupted. The lockdown has a significant negative impact on our cashflow, fina</w:t>
      </w:r>
      <w:r>
        <w:rPr>
          <w:sz w:val="20"/>
          <w:szCs w:val="20"/>
        </w:rPr>
        <w:t>ncial conditions and business operations.</w:t>
      </w:r>
    </w:p>
    <w:p w14:paraId="1763DD86"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D361C9E"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Changes in the interest rates and spread could have a negative impact on our revenues and results of operations.</w:t>
      </w:r>
    </w:p>
    <w:p w14:paraId="4FF4C96A"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CDFD6A0"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revenues and financial condition are dependent on net interest income, which is the differenc</w:t>
      </w:r>
      <w:r>
        <w:rPr>
          <w:sz w:val="20"/>
          <w:szCs w:val="20"/>
        </w:rPr>
        <w:t>e between interest earned from loans we provide and interest paid to the borrowings we obtain from various individuals and companies through securities exchanges. The narrowing interest rate spread could adversely affect our earnings and financial conditio</w:t>
      </w:r>
      <w:r>
        <w:rPr>
          <w:sz w:val="20"/>
          <w:szCs w:val="20"/>
        </w:rPr>
        <w:t>ns. If we are not able to control our funding costs or adjust our lending interest rate in a timely manner, our interest margin will decline.</w:t>
      </w:r>
    </w:p>
    <w:p w14:paraId="3239A047"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6A343AA" w14:textId="77777777">
        <w:trPr>
          <w:divId w:val="98525094"/>
          <w:trHeight w:val="225"/>
          <w:tblCellSpacing w:w="15" w:type="dxa"/>
        </w:trPr>
        <w:tc>
          <w:tcPr>
            <w:tcW w:w="0" w:type="auto"/>
            <w:vAlign w:val="center"/>
            <w:hideMark/>
          </w:tcPr>
          <w:p w14:paraId="67C689D9" w14:textId="77777777" w:rsidR="00000000" w:rsidRDefault="00EB4933">
            <w:pPr>
              <w:rPr>
                <w:rFonts w:eastAsia="Times New Roman"/>
                <w:sz w:val="20"/>
                <w:szCs w:val="20"/>
              </w:rPr>
            </w:pPr>
            <w:r>
              <w:rPr>
                <w:rFonts w:eastAsia="Times New Roman"/>
                <w:sz w:val="20"/>
                <w:szCs w:val="20"/>
              </w:rPr>
              <w:t> </w:t>
            </w:r>
          </w:p>
        </w:tc>
      </w:tr>
      <w:tr w:rsidR="00000000" w14:paraId="26082A3C" w14:textId="77777777">
        <w:trPr>
          <w:divId w:val="98525094"/>
          <w:trHeight w:val="225"/>
          <w:tblCellSpacing w:w="15" w:type="dxa"/>
        </w:trPr>
        <w:tc>
          <w:tcPr>
            <w:tcW w:w="0" w:type="auto"/>
            <w:tcBorders>
              <w:bottom w:val="single" w:sz="6" w:space="0" w:color="000000"/>
            </w:tcBorders>
            <w:vAlign w:val="center"/>
            <w:hideMark/>
          </w:tcPr>
          <w:p w14:paraId="0067B7F0" w14:textId="77777777" w:rsidR="00000000" w:rsidRDefault="00EB4933">
            <w:pPr>
              <w:jc w:val="center"/>
              <w:rPr>
                <w:rFonts w:eastAsia="Times New Roman"/>
                <w:sz w:val="20"/>
                <w:szCs w:val="20"/>
              </w:rPr>
            </w:pPr>
            <w:r>
              <w:rPr>
                <w:rFonts w:eastAsia="Times New Roman"/>
                <w:sz w:val="20"/>
                <w:szCs w:val="20"/>
              </w:rPr>
              <w:t>17</w:t>
            </w:r>
          </w:p>
        </w:tc>
      </w:tr>
      <w:tr w:rsidR="00000000" w14:paraId="68A5EB11" w14:textId="77777777">
        <w:trPr>
          <w:divId w:val="98525094"/>
          <w:trHeight w:val="225"/>
          <w:tblCellSpacing w:w="15" w:type="dxa"/>
        </w:trPr>
        <w:tc>
          <w:tcPr>
            <w:tcW w:w="0" w:type="auto"/>
            <w:vAlign w:val="center"/>
            <w:hideMark/>
          </w:tcPr>
          <w:p w14:paraId="2249148B" w14:textId="77777777" w:rsidR="00000000" w:rsidRDefault="00EB4933">
            <w:pPr>
              <w:rPr>
                <w:rFonts w:eastAsia="Times New Roman"/>
                <w:sz w:val="20"/>
                <w:szCs w:val="20"/>
              </w:rPr>
            </w:pPr>
          </w:p>
        </w:tc>
      </w:tr>
      <w:tr w:rsidR="00000000" w14:paraId="37853101" w14:textId="77777777">
        <w:trPr>
          <w:divId w:val="98525094"/>
          <w:trHeight w:val="225"/>
          <w:tblCellSpacing w:w="15" w:type="dxa"/>
        </w:trPr>
        <w:tc>
          <w:tcPr>
            <w:tcW w:w="0" w:type="auto"/>
            <w:vAlign w:val="center"/>
            <w:hideMark/>
          </w:tcPr>
          <w:p w14:paraId="4037CB75" w14:textId="77777777" w:rsidR="00000000" w:rsidRDefault="00EB4933">
            <w:pPr>
              <w:rPr>
                <w:rFonts w:eastAsia="Times New Roman"/>
                <w:sz w:val="20"/>
                <w:szCs w:val="20"/>
              </w:rPr>
            </w:pPr>
            <w:hyperlink r:id="rId77" w:anchor="toc" w:history="1">
              <w:r>
                <w:rPr>
                  <w:rStyle w:val="Hyperlink"/>
                  <w:rFonts w:eastAsia="Times New Roman"/>
                  <w:i/>
                  <w:iCs/>
                  <w:sz w:val="20"/>
                  <w:szCs w:val="20"/>
                </w:rPr>
                <w:t>Table of Contents</w:t>
              </w:r>
            </w:hyperlink>
          </w:p>
        </w:tc>
      </w:tr>
    </w:tbl>
    <w:p w14:paraId="0BB5C39D"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571E261D"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The business is subject to greater credit risks than larger lenders, which could adversely affect our results of operations.</w:t>
      </w:r>
    </w:p>
    <w:p w14:paraId="3AA91CB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4BEC3AA"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There are inherent risks associated with lending activities, including credit risk, which is the risk that borrowers may not repa</w:t>
      </w:r>
      <w:r>
        <w:rPr>
          <w:sz w:val="20"/>
          <w:szCs w:val="20"/>
        </w:rPr>
        <w:t>y the outstanding loans in our direct loan business. As a microfinance company, we extend credit to small and medium-sized enterprises, farmers and individuals. These borrowers generally have fewer financial resources in terms of capital or borrowing capac</w:t>
      </w:r>
      <w:r>
        <w:rPr>
          <w:sz w:val="20"/>
          <w:szCs w:val="20"/>
        </w:rPr>
        <w:t>ity than larger entities and may have fewer financial resources to weather a downturn in the economy. Such borrowers may expose us to greater credit risks than lenders lending to larger, better-capitalized state-owned businesses with longer operating histo</w:t>
      </w:r>
      <w:r>
        <w:rPr>
          <w:sz w:val="20"/>
          <w:szCs w:val="20"/>
        </w:rPr>
        <w:t xml:space="preserve">ries. Conditions such as inflation, economic downturn, local policy change, adjustment of industrial structure and other factors beyond our control may increase our credit risk more than such events would affect larger lenders. </w:t>
      </w:r>
    </w:p>
    <w:p w14:paraId="256512E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193AA1F"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addition, approximatel</w:t>
      </w:r>
      <w:r>
        <w:rPr>
          <w:sz w:val="20"/>
          <w:szCs w:val="20"/>
        </w:rPr>
        <w:t>y 96% to 99% of our revenue comes from Wuhan City, with the remaining 1% to 4% coming from the rest of the Hubei Province. Therefore, our ability to diversify our economic risks is limited by the local markets and economies. Also, decreases in local real e</w:t>
      </w:r>
      <w:r>
        <w:rPr>
          <w:sz w:val="20"/>
          <w:szCs w:val="20"/>
        </w:rPr>
        <w:t>state value could adversely affect the value of the real property used as collateral in our direct loan business. Such adverse changes in the local economy may have a negative impact on the ability of borrowers to repay their loans and our results of opera</w:t>
      </w:r>
      <w:r>
        <w:rPr>
          <w:sz w:val="20"/>
          <w:szCs w:val="20"/>
        </w:rPr>
        <w:t>tions and financial condition may be adversely affected.</w:t>
      </w:r>
    </w:p>
    <w:p w14:paraId="08F23E8F"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w:t>
      </w:r>
    </w:p>
    <w:p w14:paraId="50569883"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lastRenderedPageBreak/>
        <w:t>We lack product and business diversification. Accordingly, our future revenues and earnings are more susceptible to fluctuations than a more diversified company.</w:t>
      </w:r>
    </w:p>
    <w:p w14:paraId="2525CC02"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w:t>
      </w:r>
    </w:p>
    <w:p w14:paraId="36102A37"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primary business activities i</w:t>
      </w:r>
      <w:r>
        <w:rPr>
          <w:sz w:val="20"/>
          <w:szCs w:val="20"/>
        </w:rPr>
        <w:t>nclude offering direct loans to our customers. If we are unable to maintain and grow the operating revenues from our business, our future revenues and earnings are not likely to grow and could decline. Our lack of product and business diversification could</w:t>
      </w:r>
      <w:r>
        <w:rPr>
          <w:sz w:val="20"/>
          <w:szCs w:val="20"/>
        </w:rPr>
        <w:t xml:space="preserve"> inhibit the opportunities for growth of our business, revenues and profits.</w:t>
      </w:r>
    </w:p>
    <w:p w14:paraId="2530506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9886F41"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Competition in the microfinance industry is growing and could cause us to lose market share and revenues in the future.</w:t>
      </w:r>
    </w:p>
    <w:p w14:paraId="1220FE8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6D19328"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We believe that the microfinance industry is an emerging market in China. On January 25, 2018 and 2019 and October 25, 2019, the PBOC </w:t>
      </w:r>
      <w:r>
        <w:rPr>
          <w:sz w:val="20"/>
          <w:szCs w:val="20"/>
        </w:rPr>
        <w:t>published statistics, dated December 31, 2017 and 2018 and September 30, 2019, that a total of 283, 278 and 275 microfinance lending companies were registered in Hubei Province and with the combined total registered and paid-up capital of RMB30.6 billion (</w:t>
      </w:r>
      <w:r>
        <w:rPr>
          <w:sz w:val="20"/>
          <w:szCs w:val="20"/>
        </w:rPr>
        <w:t>$4.5 billion), RMB30.7 billion ($4.5 billion) and RMB30.6 billion ($4.5 billion) among these microfinance lending companies, respectively. The average registered and paid-up capital of these microfinance lending companies was RMB108.1 million ($15.7 millio</w:t>
      </w:r>
      <w:r>
        <w:rPr>
          <w:sz w:val="20"/>
          <w:szCs w:val="20"/>
        </w:rPr>
        <w:t>n), RMB110.4 million ($16.1 million) and RMB111.3 million ($16.2 million), respectively, whereas our registered and paid-up capital was RMB450 million ($65.6 million). The average outstanding loan portfolio for these microfinance lending companies was RMB1</w:t>
      </w:r>
      <w:r>
        <w:rPr>
          <w:sz w:val="20"/>
          <w:szCs w:val="20"/>
        </w:rPr>
        <w:t>09.8 million ($16.0 million), RMB111.2 million ($16.2 million) and RMB107.7 million ($15.5 million), whereas our outstanding loan portfolio was RMB615.2 million ($88.4 million) as of December 31, 2019.</w:t>
      </w:r>
    </w:p>
    <w:p w14:paraId="010720A7"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97C6636"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We may face growing competition in the microfinance </w:t>
      </w:r>
      <w:r>
        <w:rPr>
          <w:sz w:val="20"/>
          <w:szCs w:val="20"/>
        </w:rPr>
        <w:t>industry and we believe that the microfinance market is becoming more competitive as this industry matures and begins to consolidate. We currently compete with traditional financial institutions, other microfinance companies, and some cash-rich state-owned</w:t>
      </w:r>
      <w:r>
        <w:rPr>
          <w:sz w:val="20"/>
          <w:szCs w:val="20"/>
        </w:rPr>
        <w:t xml:space="preserve"> companies or individuals that lend to SMEs. Some of our competitors have larger and more established borrower bases and substantially greater financial, marketing and other resources than us. As a result, we could lose market share and our revenues could </w:t>
      </w:r>
      <w:r>
        <w:rPr>
          <w:sz w:val="20"/>
          <w:szCs w:val="20"/>
        </w:rPr>
        <w:t>decline, thereby affecting our earnings and potential for growth.</w:t>
      </w:r>
    </w:p>
    <w:p w14:paraId="0469DA4C"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93E931E" w14:textId="77777777">
        <w:trPr>
          <w:divId w:val="98525094"/>
          <w:trHeight w:val="225"/>
          <w:tblCellSpacing w:w="15" w:type="dxa"/>
        </w:trPr>
        <w:tc>
          <w:tcPr>
            <w:tcW w:w="0" w:type="auto"/>
            <w:vAlign w:val="center"/>
            <w:hideMark/>
          </w:tcPr>
          <w:p w14:paraId="6BE848D2" w14:textId="77777777" w:rsidR="00000000" w:rsidRDefault="00EB4933">
            <w:pPr>
              <w:rPr>
                <w:rFonts w:eastAsia="Times New Roman"/>
                <w:sz w:val="20"/>
                <w:szCs w:val="20"/>
              </w:rPr>
            </w:pPr>
            <w:r>
              <w:rPr>
                <w:rFonts w:eastAsia="Times New Roman"/>
                <w:sz w:val="20"/>
                <w:szCs w:val="20"/>
              </w:rPr>
              <w:t> </w:t>
            </w:r>
          </w:p>
        </w:tc>
      </w:tr>
      <w:tr w:rsidR="00000000" w14:paraId="646B1020" w14:textId="77777777">
        <w:trPr>
          <w:divId w:val="98525094"/>
          <w:trHeight w:val="225"/>
          <w:tblCellSpacing w:w="15" w:type="dxa"/>
        </w:trPr>
        <w:tc>
          <w:tcPr>
            <w:tcW w:w="0" w:type="auto"/>
            <w:tcBorders>
              <w:bottom w:val="single" w:sz="6" w:space="0" w:color="000000"/>
            </w:tcBorders>
            <w:vAlign w:val="center"/>
            <w:hideMark/>
          </w:tcPr>
          <w:p w14:paraId="009EBAA6" w14:textId="77777777" w:rsidR="00000000" w:rsidRDefault="00EB4933">
            <w:pPr>
              <w:jc w:val="center"/>
              <w:rPr>
                <w:rFonts w:eastAsia="Times New Roman"/>
                <w:sz w:val="20"/>
                <w:szCs w:val="20"/>
              </w:rPr>
            </w:pPr>
            <w:r>
              <w:rPr>
                <w:rFonts w:eastAsia="Times New Roman"/>
                <w:sz w:val="20"/>
                <w:szCs w:val="20"/>
              </w:rPr>
              <w:t>18</w:t>
            </w:r>
          </w:p>
        </w:tc>
      </w:tr>
      <w:tr w:rsidR="00000000" w14:paraId="63945FF7" w14:textId="77777777">
        <w:trPr>
          <w:divId w:val="98525094"/>
          <w:trHeight w:val="225"/>
          <w:tblCellSpacing w:w="15" w:type="dxa"/>
        </w:trPr>
        <w:tc>
          <w:tcPr>
            <w:tcW w:w="0" w:type="auto"/>
            <w:vAlign w:val="center"/>
            <w:hideMark/>
          </w:tcPr>
          <w:p w14:paraId="7A5680B4" w14:textId="77777777" w:rsidR="00000000" w:rsidRDefault="00EB4933">
            <w:pPr>
              <w:rPr>
                <w:rFonts w:eastAsia="Times New Roman"/>
                <w:sz w:val="20"/>
                <w:szCs w:val="20"/>
              </w:rPr>
            </w:pPr>
          </w:p>
        </w:tc>
      </w:tr>
      <w:tr w:rsidR="00000000" w14:paraId="0186A67C" w14:textId="77777777">
        <w:trPr>
          <w:divId w:val="98525094"/>
          <w:trHeight w:val="225"/>
          <w:tblCellSpacing w:w="15" w:type="dxa"/>
        </w:trPr>
        <w:tc>
          <w:tcPr>
            <w:tcW w:w="0" w:type="auto"/>
            <w:vAlign w:val="center"/>
            <w:hideMark/>
          </w:tcPr>
          <w:p w14:paraId="4E327A32" w14:textId="77777777" w:rsidR="00000000" w:rsidRDefault="00EB4933">
            <w:pPr>
              <w:rPr>
                <w:rFonts w:eastAsia="Times New Roman"/>
                <w:sz w:val="20"/>
                <w:szCs w:val="20"/>
              </w:rPr>
            </w:pPr>
            <w:hyperlink r:id="rId78" w:anchor="toc" w:history="1">
              <w:r>
                <w:rPr>
                  <w:rStyle w:val="Hyperlink"/>
                  <w:rFonts w:eastAsia="Times New Roman"/>
                  <w:i/>
                  <w:iCs/>
                  <w:sz w:val="20"/>
                  <w:szCs w:val="20"/>
                </w:rPr>
                <w:t>Table of Contents</w:t>
              </w:r>
            </w:hyperlink>
          </w:p>
        </w:tc>
      </w:tr>
    </w:tbl>
    <w:p w14:paraId="25ADA01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0E453CD"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Our business depends on the continuing efforts of our management. If we lose their services, our business may be seve</w:t>
      </w:r>
      <w:r>
        <w:rPr>
          <w:rStyle w:val="Emphasis"/>
          <w:b/>
          <w:bCs/>
          <w:sz w:val="20"/>
          <w:szCs w:val="20"/>
        </w:rPr>
        <w:t>rely disrupted.</w:t>
      </w:r>
    </w:p>
    <w:p w14:paraId="226FA798"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07D3252"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Our business operations depend on the continuing efforts of our management, particularly the executive officers named in this document. If one or more of our management were unable or unwilling to continue their employment with us, we might not be able to </w:t>
      </w:r>
      <w:r>
        <w:rPr>
          <w:sz w:val="20"/>
          <w:szCs w:val="20"/>
        </w:rPr>
        <w:t>replace them in a timely manner, or at all. We may incur additional expenses to recruit and retain qualified replacements. Our business may be severely disrupted and our financial condition and results of operations may be materially and adversely affected</w:t>
      </w:r>
      <w:r>
        <w:rPr>
          <w:sz w:val="20"/>
          <w:szCs w:val="20"/>
        </w:rPr>
        <w:t>. In addition, our management may join a competitor or form a competing company. We may not be able to successfully enforce any contractual rights we have with our management team, in particular in China, where all of these individuals reside and where our</w:t>
      </w:r>
      <w:r>
        <w:rPr>
          <w:sz w:val="20"/>
          <w:szCs w:val="20"/>
        </w:rPr>
        <w:t xml:space="preserve"> business is operated through Chutian through a series of subsidiaries and the VIE Agreements. As a result, our business may be negatively affected due to the loss of one or more members of our management.</w:t>
      </w:r>
    </w:p>
    <w:p w14:paraId="4E00498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C124234"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xml:space="preserve">We require highly qualified personnel and if we </w:t>
      </w:r>
      <w:r>
        <w:rPr>
          <w:rStyle w:val="Emphasis"/>
          <w:b/>
          <w:bCs/>
          <w:sz w:val="20"/>
          <w:szCs w:val="20"/>
        </w:rPr>
        <w:t>are unable to hire or retain qualified personnel, we may not be able to grow effectively.</w:t>
      </w:r>
    </w:p>
    <w:p w14:paraId="6382D23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CC704E9"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future success also depends upon our ability to attract and retain highly qualified personnel. Expansion of our business and our management will require additio</w:t>
      </w:r>
      <w:r>
        <w:rPr>
          <w:sz w:val="20"/>
          <w:szCs w:val="20"/>
        </w:rPr>
        <w:t>nal managers and employees with industry experience, and our success will be highly dependent on our ability to attract and retain skilled management personnel and other employees. We may not be able to attract or retain highly qualified personnel. Competi</w:t>
      </w:r>
      <w:r>
        <w:rPr>
          <w:sz w:val="20"/>
          <w:szCs w:val="20"/>
        </w:rPr>
        <w:t xml:space="preserve">tion for skilled personnel is </w:t>
      </w:r>
      <w:r>
        <w:rPr>
          <w:sz w:val="20"/>
          <w:szCs w:val="20"/>
        </w:rPr>
        <w:lastRenderedPageBreak/>
        <w:t>significant in China. This competition may make it more difficult and expensive to attract, hire and retain qualified managers and employees.</w:t>
      </w:r>
    </w:p>
    <w:p w14:paraId="6A14275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2357C56"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Our controlling shareholder will have substantial influence over us and its intere</w:t>
      </w:r>
      <w:r>
        <w:rPr>
          <w:rStyle w:val="Emphasis"/>
          <w:b/>
          <w:bCs/>
          <w:sz w:val="20"/>
          <w:szCs w:val="20"/>
        </w:rPr>
        <w:t>sts may not be aligned with the interests of our other shareholders.</w:t>
      </w:r>
    </w:p>
    <w:p w14:paraId="78EFB945"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FA37797"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of December 31, 2019, we have 1,000,862,148 issued and outstanding ordinary shares. Honest Plus and Perfect Lead, which are controlled by Mr. Wei, our Chairman and Chief Executive Of</w:t>
      </w:r>
      <w:r>
        <w:rPr>
          <w:sz w:val="20"/>
          <w:szCs w:val="20"/>
        </w:rPr>
        <w:t xml:space="preserve">ficer, beneficially hold a significant percentage of our voting equity. Honest Plus beneficially owns approximately 86.4% of our outstanding ordinary shares, and Perfect Lead beneficially owns approximately 2.3% of our outstanding ordinary shares. Mr. Wei </w:t>
      </w:r>
      <w:r>
        <w:rPr>
          <w:sz w:val="20"/>
          <w:szCs w:val="20"/>
        </w:rPr>
        <w:t>is (i) the sole director of Honest Plus and Perfect Lead, (ii) the sole shareholder of Perfect Lead, and (iii) an indirect controlling shareholder of Honest Plus. As such, Mr. Wei, through Honest Plus, will have substantial influence over our business, inc</w:t>
      </w:r>
      <w:r>
        <w:rPr>
          <w:sz w:val="20"/>
          <w:szCs w:val="20"/>
        </w:rPr>
        <w:t>luding decisions regarding mergers, consolidations, the sale of all or substantially all of our assets, election of directors, declaration of dividends and other significant corporate actions. As the controlling shareholder, he may take actions that are no</w:t>
      </w:r>
      <w:r>
        <w:rPr>
          <w:sz w:val="20"/>
          <w:szCs w:val="20"/>
        </w:rPr>
        <w:t>t in the best interests of our other shareholders. These actions may be taken in many cases even if they are opposed by our other shareholders. In addition, this concentration of ownership may discourage, delay or prevent a change in control which could de</w:t>
      </w:r>
      <w:r>
        <w:rPr>
          <w:sz w:val="20"/>
          <w:szCs w:val="20"/>
        </w:rPr>
        <w:t>prive you of an opportunity to receive a premium for your ADSs as part of a sale of our company.</w:t>
      </w:r>
    </w:p>
    <w:p w14:paraId="5D2FA88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860561A"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addition, as a result of this concentration of control, we are deemed a “controlled company” for purposes of NYSE MKT rules and as such we are not subject</w:t>
      </w:r>
      <w:r>
        <w:rPr>
          <w:sz w:val="20"/>
          <w:szCs w:val="20"/>
        </w:rPr>
        <w:t xml:space="preserve"> to certain NYSE American Company Guide corporate governance rules including the requirement that a majority of the board of directors be independent, the requirement applicable to the nomination process of directors and the requirements applicable to the </w:t>
      </w:r>
      <w:r>
        <w:rPr>
          <w:sz w:val="20"/>
          <w:szCs w:val="20"/>
        </w:rPr>
        <w:t>determination or recommendation of executive compensation by a committee comprised of independent directors or by a majority of the independent directors. We follow the requirements of the Companies Law of Cayman Islands with respect to these issues.</w:t>
      </w:r>
    </w:p>
    <w:p w14:paraId="72D3D2D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34DB464"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xml:space="preserve">We </w:t>
      </w:r>
      <w:r>
        <w:rPr>
          <w:rStyle w:val="Emphasis"/>
          <w:b/>
          <w:bCs/>
          <w:sz w:val="20"/>
          <w:szCs w:val="20"/>
        </w:rPr>
        <w:t>may have difficulty in establishing adequate management and financial controls in China.</w:t>
      </w:r>
    </w:p>
    <w:p w14:paraId="170E321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6A3E343" w14:textId="77777777" w:rsidR="00000000" w:rsidRDefault="00EB4933">
      <w:pPr>
        <w:pStyle w:val="NormalWeb"/>
        <w:spacing w:before="0" w:beforeAutospacing="0" w:after="0" w:afterAutospacing="0"/>
        <w:ind w:firstLine="675"/>
        <w:jc w:val="both"/>
        <w:divId w:val="98525094"/>
        <w:rPr>
          <w:sz w:val="20"/>
          <w:szCs w:val="20"/>
        </w:rPr>
      </w:pPr>
      <w:r>
        <w:rPr>
          <w:sz w:val="20"/>
          <w:szCs w:val="20"/>
        </w:rPr>
        <w:t>China has only recently begun to adopt the management and financial reporting concepts and practices that investors in the United States are familiar with. We may ha</w:t>
      </w:r>
      <w:r>
        <w:rPr>
          <w:sz w:val="20"/>
          <w:szCs w:val="20"/>
        </w:rPr>
        <w:t>ve difficulty in hiring and retaining employees in China who have the experience necessary to implement the kind of management and financial controls that are required of a United States public company. If we cannot establish such controls, or if we are un</w:t>
      </w:r>
      <w:r>
        <w:rPr>
          <w:sz w:val="20"/>
          <w:szCs w:val="20"/>
        </w:rPr>
        <w:t>able to collect the financial data required for the preparation of our financial statements, or if we are unable to keep our books and accounts in accordance with IFRS for business, we may not be able to continue to file required reports with the SEC, whic</w:t>
      </w:r>
      <w:r>
        <w:rPr>
          <w:sz w:val="20"/>
          <w:szCs w:val="20"/>
        </w:rPr>
        <w:t>h would likely have a material adverse affect on the performance of our ordinary shares and ADS.</w:t>
      </w:r>
    </w:p>
    <w:p w14:paraId="28524B72"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35E3CF4" w14:textId="77777777">
        <w:trPr>
          <w:divId w:val="98525094"/>
          <w:trHeight w:val="225"/>
          <w:tblCellSpacing w:w="15" w:type="dxa"/>
        </w:trPr>
        <w:tc>
          <w:tcPr>
            <w:tcW w:w="0" w:type="auto"/>
            <w:vAlign w:val="center"/>
            <w:hideMark/>
          </w:tcPr>
          <w:p w14:paraId="7825208A" w14:textId="77777777" w:rsidR="00000000" w:rsidRDefault="00EB4933">
            <w:pPr>
              <w:rPr>
                <w:rFonts w:eastAsia="Times New Roman"/>
                <w:sz w:val="20"/>
                <w:szCs w:val="20"/>
              </w:rPr>
            </w:pPr>
            <w:r>
              <w:rPr>
                <w:rFonts w:eastAsia="Times New Roman"/>
                <w:sz w:val="20"/>
                <w:szCs w:val="20"/>
              </w:rPr>
              <w:t> </w:t>
            </w:r>
          </w:p>
        </w:tc>
      </w:tr>
      <w:tr w:rsidR="00000000" w14:paraId="0B1275A3" w14:textId="77777777">
        <w:trPr>
          <w:divId w:val="98525094"/>
          <w:trHeight w:val="225"/>
          <w:tblCellSpacing w:w="15" w:type="dxa"/>
        </w:trPr>
        <w:tc>
          <w:tcPr>
            <w:tcW w:w="0" w:type="auto"/>
            <w:tcBorders>
              <w:bottom w:val="single" w:sz="6" w:space="0" w:color="000000"/>
            </w:tcBorders>
            <w:vAlign w:val="center"/>
            <w:hideMark/>
          </w:tcPr>
          <w:p w14:paraId="115528FF" w14:textId="77777777" w:rsidR="00000000" w:rsidRDefault="00EB4933">
            <w:pPr>
              <w:jc w:val="center"/>
              <w:rPr>
                <w:rFonts w:eastAsia="Times New Roman"/>
                <w:sz w:val="20"/>
                <w:szCs w:val="20"/>
              </w:rPr>
            </w:pPr>
            <w:r>
              <w:rPr>
                <w:rFonts w:eastAsia="Times New Roman"/>
                <w:sz w:val="20"/>
                <w:szCs w:val="20"/>
              </w:rPr>
              <w:t>19</w:t>
            </w:r>
          </w:p>
        </w:tc>
      </w:tr>
      <w:tr w:rsidR="00000000" w14:paraId="191FFF82" w14:textId="77777777">
        <w:trPr>
          <w:divId w:val="98525094"/>
          <w:trHeight w:val="225"/>
          <w:tblCellSpacing w:w="15" w:type="dxa"/>
        </w:trPr>
        <w:tc>
          <w:tcPr>
            <w:tcW w:w="0" w:type="auto"/>
            <w:vAlign w:val="center"/>
            <w:hideMark/>
          </w:tcPr>
          <w:p w14:paraId="5E37AE21" w14:textId="77777777" w:rsidR="00000000" w:rsidRDefault="00EB4933">
            <w:pPr>
              <w:rPr>
                <w:rFonts w:eastAsia="Times New Roman"/>
                <w:sz w:val="20"/>
                <w:szCs w:val="20"/>
              </w:rPr>
            </w:pPr>
          </w:p>
        </w:tc>
      </w:tr>
      <w:tr w:rsidR="00000000" w14:paraId="57F4ADB7" w14:textId="77777777">
        <w:trPr>
          <w:divId w:val="98525094"/>
          <w:trHeight w:val="225"/>
          <w:tblCellSpacing w:w="15" w:type="dxa"/>
        </w:trPr>
        <w:tc>
          <w:tcPr>
            <w:tcW w:w="0" w:type="auto"/>
            <w:vAlign w:val="center"/>
            <w:hideMark/>
          </w:tcPr>
          <w:p w14:paraId="7B99D7B1" w14:textId="77777777" w:rsidR="00000000" w:rsidRDefault="00EB4933">
            <w:pPr>
              <w:rPr>
                <w:rFonts w:eastAsia="Times New Roman"/>
                <w:sz w:val="20"/>
                <w:szCs w:val="20"/>
              </w:rPr>
            </w:pPr>
            <w:hyperlink r:id="rId79" w:anchor="toc" w:history="1">
              <w:r>
                <w:rPr>
                  <w:rStyle w:val="Hyperlink"/>
                  <w:rFonts w:eastAsia="Times New Roman"/>
                  <w:i/>
                  <w:iCs/>
                  <w:sz w:val="20"/>
                  <w:szCs w:val="20"/>
                </w:rPr>
                <w:t>Table of Contents</w:t>
              </w:r>
            </w:hyperlink>
          </w:p>
        </w:tc>
      </w:tr>
    </w:tbl>
    <w:p w14:paraId="60B92E9A"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3B3DC414"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We do not foresee paying cash dividends in the foreseeable future and, as a result, our investors’ sole source of gain will depend on capital appreciation, if any.</w:t>
      </w:r>
    </w:p>
    <w:p w14:paraId="4B980FF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3A8D191"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do not plan to declare or pay any cash dividends on our shares of ordinary shares in th</w:t>
      </w:r>
      <w:r>
        <w:rPr>
          <w:sz w:val="20"/>
          <w:szCs w:val="20"/>
        </w:rPr>
        <w:t>e foreseeable future and currently intend to retain any future earnings for funding growth. As a result, investors should not rely on an investment in our securities if they require the investment to produce dividend income. Capital appreciation, if any, o</w:t>
      </w:r>
      <w:r>
        <w:rPr>
          <w:sz w:val="20"/>
          <w:szCs w:val="20"/>
        </w:rPr>
        <w:t>f our shares may be investors’ sole source of gain for the foreseeable future.</w:t>
      </w:r>
    </w:p>
    <w:p w14:paraId="1E7C7DE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8F77CD6"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Our bank accounts are not insured or protected against loss.</w:t>
      </w:r>
    </w:p>
    <w:p w14:paraId="397CD6C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547D973"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maintain our cash primarily with Agricultural Bank of China and China Merchants Bank, which both are top 6 co</w:t>
      </w:r>
      <w:r>
        <w:rPr>
          <w:sz w:val="20"/>
          <w:szCs w:val="20"/>
        </w:rPr>
        <w:t xml:space="preserve">mmercial banks in China according to the ranking by China Banking Association. Under </w:t>
      </w:r>
      <w:r>
        <w:rPr>
          <w:rStyle w:val="Emphasis"/>
          <w:sz w:val="20"/>
          <w:szCs w:val="20"/>
        </w:rPr>
        <w:t>Regulations on Deposit Insurance</w:t>
      </w:r>
      <w:r>
        <w:rPr>
          <w:sz w:val="20"/>
          <w:szCs w:val="20"/>
        </w:rPr>
        <w:t xml:space="preserve"> (Order No. 660 of the State Council of the People’s Republic of China) that were effective on May 1, 2015:</w:t>
      </w:r>
    </w:p>
    <w:p w14:paraId="306DC5C1"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xml:space="preserve">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191B6204" w14:textId="77777777">
        <w:trPr>
          <w:divId w:val="98525094"/>
          <w:trHeight w:val="225"/>
          <w:tblCellSpacing w:w="15" w:type="dxa"/>
        </w:trPr>
        <w:tc>
          <w:tcPr>
            <w:tcW w:w="200" w:type="pct"/>
            <w:vAlign w:val="center"/>
            <w:hideMark/>
          </w:tcPr>
          <w:p w14:paraId="7E4840B2"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34E6E6B9"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192E1D01" w14:textId="77777777" w:rsidR="00000000" w:rsidRDefault="00EB4933">
            <w:pPr>
              <w:jc w:val="both"/>
              <w:rPr>
                <w:rFonts w:eastAsia="Times New Roman"/>
                <w:sz w:val="20"/>
                <w:szCs w:val="20"/>
              </w:rPr>
            </w:pPr>
            <w:r>
              <w:rPr>
                <w:rFonts w:eastAsia="Times New Roman"/>
                <w:sz w:val="20"/>
                <w:szCs w:val="20"/>
              </w:rPr>
              <w:t>Commercial banks establi</w:t>
            </w:r>
            <w:r>
              <w:rPr>
                <w:rFonts w:eastAsia="Times New Roman"/>
                <w:sz w:val="20"/>
                <w:szCs w:val="20"/>
              </w:rPr>
              <w:t>shed in PRC are required to purchase deposit insurance;</w:t>
            </w:r>
          </w:p>
        </w:tc>
      </w:tr>
      <w:tr w:rsidR="00000000" w14:paraId="49EB403E" w14:textId="77777777">
        <w:trPr>
          <w:divId w:val="98525094"/>
          <w:trHeight w:val="225"/>
          <w:tblCellSpacing w:w="15" w:type="dxa"/>
        </w:trPr>
        <w:tc>
          <w:tcPr>
            <w:tcW w:w="0" w:type="auto"/>
            <w:vAlign w:val="center"/>
            <w:hideMark/>
          </w:tcPr>
          <w:p w14:paraId="4A8C053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78B055E2"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1FDBAF92"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40B4D3C" w14:textId="77777777">
        <w:trPr>
          <w:divId w:val="98525094"/>
          <w:trHeight w:val="225"/>
          <w:tblCellSpacing w:w="15" w:type="dxa"/>
        </w:trPr>
        <w:tc>
          <w:tcPr>
            <w:tcW w:w="0" w:type="auto"/>
            <w:vAlign w:val="center"/>
            <w:hideMark/>
          </w:tcPr>
          <w:p w14:paraId="610C59F2"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31E3876F"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00CF8418" w14:textId="77777777" w:rsidR="00000000" w:rsidRDefault="00EB4933">
            <w:pPr>
              <w:jc w:val="both"/>
              <w:rPr>
                <w:rFonts w:eastAsia="Times New Roman"/>
                <w:sz w:val="20"/>
                <w:szCs w:val="20"/>
              </w:rPr>
            </w:pPr>
            <w:r>
              <w:rPr>
                <w:rFonts w:eastAsia="Times New Roman"/>
                <w:sz w:val="20"/>
                <w:szCs w:val="20"/>
              </w:rPr>
              <w:t>The deposit insurance has reimbursement limits, with the maximum reimbursement limit set at RMB 500,000; and</w:t>
            </w:r>
          </w:p>
        </w:tc>
      </w:tr>
      <w:tr w:rsidR="00000000" w14:paraId="1422B5E8" w14:textId="77777777">
        <w:trPr>
          <w:divId w:val="98525094"/>
          <w:trHeight w:val="225"/>
          <w:tblCellSpacing w:w="15" w:type="dxa"/>
        </w:trPr>
        <w:tc>
          <w:tcPr>
            <w:tcW w:w="0" w:type="auto"/>
            <w:vAlign w:val="center"/>
            <w:hideMark/>
          </w:tcPr>
          <w:p w14:paraId="309EB956"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5438E29C"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255A4C02"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5F6F50B7" w14:textId="77777777">
        <w:trPr>
          <w:divId w:val="98525094"/>
          <w:trHeight w:val="225"/>
          <w:tblCellSpacing w:w="15" w:type="dxa"/>
        </w:trPr>
        <w:tc>
          <w:tcPr>
            <w:tcW w:w="0" w:type="auto"/>
            <w:vAlign w:val="center"/>
            <w:hideMark/>
          </w:tcPr>
          <w:p w14:paraId="12A93C35"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01777634"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5EFE5E2A" w14:textId="77777777" w:rsidR="00000000" w:rsidRDefault="00EB4933">
            <w:pPr>
              <w:jc w:val="both"/>
              <w:rPr>
                <w:rFonts w:eastAsia="Times New Roman"/>
                <w:sz w:val="20"/>
                <w:szCs w:val="20"/>
              </w:rPr>
            </w:pPr>
            <w:r>
              <w:rPr>
                <w:rFonts w:eastAsia="Times New Roman"/>
                <w:sz w:val="20"/>
                <w:szCs w:val="20"/>
              </w:rPr>
              <w:t>Where the total amount of the principal and interest of the deposits in all the insured deposit accounts opened by the same depositor w</w:t>
            </w:r>
            <w:r>
              <w:rPr>
                <w:rFonts w:eastAsia="Times New Roman"/>
                <w:sz w:val="20"/>
                <w:szCs w:val="20"/>
              </w:rPr>
              <w:t>ith the same Insured Institution is within the maximum reimbursement limit, the depositor shall be reimbursed in full amount; and, any portion in excess of the maximum reimbursement limit shall be paid from the liquidation assets of the Insured Institution</w:t>
            </w:r>
            <w:r>
              <w:rPr>
                <w:rFonts w:eastAsia="Times New Roman"/>
                <w:sz w:val="20"/>
                <w:szCs w:val="20"/>
              </w:rPr>
              <w:t xml:space="preserve"> pursuant to the law.</w:t>
            </w:r>
          </w:p>
        </w:tc>
      </w:tr>
    </w:tbl>
    <w:p w14:paraId="4C78718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3A7CA8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However, our cash accounts are not insured or otherwise protected. Should any bank or trust company holding our cash deposits become insolvent, or if we are otherwise unable to withdraw funds, we could lose the cash on deposit with that particular bank or </w:t>
      </w:r>
      <w:r>
        <w:rPr>
          <w:sz w:val="20"/>
          <w:szCs w:val="20"/>
        </w:rPr>
        <w:t>trust company.</w:t>
      </w:r>
    </w:p>
    <w:p w14:paraId="17110392"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2C2B4CF"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If we grant employee stock options or other share-based compensation in the future, our net profit could be materially adversely affected.</w:t>
      </w:r>
    </w:p>
    <w:p w14:paraId="029F2898"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EE4F5F6" w14:textId="77777777" w:rsidR="00000000" w:rsidRDefault="00EB4933">
      <w:pPr>
        <w:pStyle w:val="NormalWeb"/>
        <w:spacing w:before="0" w:beforeAutospacing="0" w:after="0" w:afterAutospacing="0"/>
        <w:ind w:firstLine="675"/>
        <w:jc w:val="both"/>
        <w:divId w:val="98525094"/>
        <w:rPr>
          <w:sz w:val="20"/>
          <w:szCs w:val="20"/>
        </w:rPr>
      </w:pPr>
      <w:r>
        <w:rPr>
          <w:sz w:val="20"/>
          <w:szCs w:val="20"/>
        </w:rPr>
        <w:t>Share-based compensation is important to attract and retain key personnel. Under our 2010 Equity I</w:t>
      </w:r>
      <w:r>
        <w:rPr>
          <w:sz w:val="20"/>
          <w:szCs w:val="20"/>
        </w:rPr>
        <w:t>ncentive Plan, we have a significant number of ordinary shares authorized for future issuance. We may adopt other equity incentive plans in the future. Grants of share-based awards under such plans may lead to incurrence of share-based compensation expense</w:t>
      </w:r>
      <w:r>
        <w:rPr>
          <w:sz w:val="20"/>
          <w:szCs w:val="20"/>
        </w:rPr>
        <w:t xml:space="preserve">s. We will account for compensation costs for all share-based awards using the fair value method and recognize the expenses in our consolidated statement of operations in accordance with the accounting guidance of share-based payment under IFRS, which may </w:t>
      </w:r>
      <w:r>
        <w:rPr>
          <w:sz w:val="20"/>
          <w:szCs w:val="20"/>
        </w:rPr>
        <w:t>materially adversely affect our net profit. Moreover, the additional expenses associated with share-based compensation may reduce the attractiveness of our current and future equity incentive plans.</w:t>
      </w:r>
    </w:p>
    <w:p w14:paraId="20BCA552"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2562272" w14:textId="77777777">
        <w:trPr>
          <w:divId w:val="98525094"/>
          <w:trHeight w:val="225"/>
          <w:tblCellSpacing w:w="15" w:type="dxa"/>
        </w:trPr>
        <w:tc>
          <w:tcPr>
            <w:tcW w:w="0" w:type="auto"/>
            <w:vAlign w:val="center"/>
            <w:hideMark/>
          </w:tcPr>
          <w:p w14:paraId="001F0D84" w14:textId="77777777" w:rsidR="00000000" w:rsidRDefault="00EB4933">
            <w:pPr>
              <w:rPr>
                <w:rFonts w:eastAsia="Times New Roman"/>
                <w:sz w:val="20"/>
                <w:szCs w:val="20"/>
              </w:rPr>
            </w:pPr>
            <w:r>
              <w:rPr>
                <w:rFonts w:eastAsia="Times New Roman"/>
                <w:sz w:val="20"/>
                <w:szCs w:val="20"/>
              </w:rPr>
              <w:t> </w:t>
            </w:r>
          </w:p>
        </w:tc>
      </w:tr>
      <w:tr w:rsidR="00000000" w14:paraId="7247B5DE" w14:textId="77777777">
        <w:trPr>
          <w:divId w:val="98525094"/>
          <w:trHeight w:val="225"/>
          <w:tblCellSpacing w:w="15" w:type="dxa"/>
        </w:trPr>
        <w:tc>
          <w:tcPr>
            <w:tcW w:w="0" w:type="auto"/>
            <w:tcBorders>
              <w:bottom w:val="single" w:sz="6" w:space="0" w:color="000000"/>
            </w:tcBorders>
            <w:vAlign w:val="center"/>
            <w:hideMark/>
          </w:tcPr>
          <w:p w14:paraId="7D7450AB" w14:textId="77777777" w:rsidR="00000000" w:rsidRDefault="00EB4933">
            <w:pPr>
              <w:jc w:val="center"/>
              <w:rPr>
                <w:rFonts w:eastAsia="Times New Roman"/>
                <w:sz w:val="20"/>
                <w:szCs w:val="20"/>
              </w:rPr>
            </w:pPr>
            <w:r>
              <w:rPr>
                <w:rFonts w:eastAsia="Times New Roman"/>
                <w:sz w:val="20"/>
                <w:szCs w:val="20"/>
              </w:rPr>
              <w:t>20</w:t>
            </w:r>
          </w:p>
        </w:tc>
      </w:tr>
      <w:tr w:rsidR="00000000" w14:paraId="0A95C0E6" w14:textId="77777777">
        <w:trPr>
          <w:divId w:val="98525094"/>
          <w:trHeight w:val="225"/>
          <w:tblCellSpacing w:w="15" w:type="dxa"/>
        </w:trPr>
        <w:tc>
          <w:tcPr>
            <w:tcW w:w="0" w:type="auto"/>
            <w:vAlign w:val="center"/>
            <w:hideMark/>
          </w:tcPr>
          <w:p w14:paraId="4418E854" w14:textId="77777777" w:rsidR="00000000" w:rsidRDefault="00EB4933">
            <w:pPr>
              <w:rPr>
                <w:rFonts w:eastAsia="Times New Roman"/>
                <w:sz w:val="20"/>
                <w:szCs w:val="20"/>
              </w:rPr>
            </w:pPr>
          </w:p>
        </w:tc>
      </w:tr>
      <w:tr w:rsidR="00000000" w14:paraId="1CBDA2DC" w14:textId="77777777">
        <w:trPr>
          <w:divId w:val="98525094"/>
          <w:trHeight w:val="225"/>
          <w:tblCellSpacing w:w="15" w:type="dxa"/>
        </w:trPr>
        <w:tc>
          <w:tcPr>
            <w:tcW w:w="0" w:type="auto"/>
            <w:vAlign w:val="center"/>
            <w:hideMark/>
          </w:tcPr>
          <w:p w14:paraId="2E15FDFD" w14:textId="77777777" w:rsidR="00000000" w:rsidRDefault="00EB4933">
            <w:pPr>
              <w:rPr>
                <w:rFonts w:eastAsia="Times New Roman"/>
                <w:sz w:val="20"/>
                <w:szCs w:val="20"/>
              </w:rPr>
            </w:pPr>
            <w:hyperlink r:id="rId80" w:anchor="toc" w:history="1">
              <w:r>
                <w:rPr>
                  <w:rStyle w:val="Hyperlink"/>
                  <w:rFonts w:eastAsia="Times New Roman"/>
                  <w:i/>
                  <w:iCs/>
                  <w:sz w:val="20"/>
                  <w:szCs w:val="20"/>
                </w:rPr>
                <w:t>Table o</w:t>
              </w:r>
              <w:r>
                <w:rPr>
                  <w:rStyle w:val="Hyperlink"/>
                  <w:rFonts w:eastAsia="Times New Roman"/>
                  <w:i/>
                  <w:iCs/>
                  <w:sz w:val="20"/>
                  <w:szCs w:val="20"/>
                </w:rPr>
                <w:t>f Contents</w:t>
              </w:r>
            </w:hyperlink>
          </w:p>
        </w:tc>
      </w:tr>
    </w:tbl>
    <w:p w14:paraId="321DA47E"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r>
        <w:rPr>
          <w:rStyle w:val="Strong"/>
          <w:sz w:val="20"/>
          <w:szCs w:val="20"/>
        </w:rPr>
        <w:t> </w:t>
      </w:r>
    </w:p>
    <w:p w14:paraId="363C560F" w14:textId="77777777" w:rsidR="00000000" w:rsidRDefault="00EB4933">
      <w:pPr>
        <w:pStyle w:val="NormalWeb"/>
        <w:spacing w:before="0" w:beforeAutospacing="0" w:after="0" w:afterAutospacing="0"/>
        <w:jc w:val="both"/>
        <w:divId w:val="98525094"/>
        <w:rPr>
          <w:sz w:val="20"/>
          <w:szCs w:val="20"/>
        </w:rPr>
      </w:pPr>
      <w:r>
        <w:rPr>
          <w:rStyle w:val="Strong"/>
          <w:sz w:val="20"/>
          <w:szCs w:val="20"/>
        </w:rPr>
        <w:t>Risks Related to Our Corporate Structure</w:t>
      </w:r>
    </w:p>
    <w:p w14:paraId="43BE409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4C08ABD"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The PRC government may determine that the VIE Agreements are not in compliance with applicable PRC laws, rules and regulations.</w:t>
      </w:r>
    </w:p>
    <w:p w14:paraId="1997631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FC1D2C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To comply with applicable PRC laws, rules and regulations, we conduct our operations in the PRC through the VIE Agreements, a </w:t>
      </w:r>
      <w:r>
        <w:rPr>
          <w:sz w:val="20"/>
          <w:szCs w:val="20"/>
        </w:rPr>
        <w:t>series of contractual arrangements entered into among True Silver, Chutian and certain shareholders of Chutian, which consist of the Exclusive Consigned Management Service Agreement, Exclusive Purchase Option Agreement, Shareholders’ Voting Proxy Agreement</w:t>
      </w:r>
      <w:r>
        <w:rPr>
          <w:sz w:val="20"/>
          <w:szCs w:val="20"/>
        </w:rPr>
        <w:t>, and Share Pledge Agreement. As a result of these VIE Agreements, we manage and operate our microfinance lending business through Chutian pursuant to the rights it holds under our VIE Agreements. A majority of the economic benefit and almost all of the ri</w:t>
      </w:r>
      <w:r>
        <w:rPr>
          <w:sz w:val="20"/>
          <w:szCs w:val="20"/>
        </w:rPr>
        <w:t>sks arising from Chutian’s operations are ultimately enjoyed and undertaken by the Company under these agreements. Details of the VIE Agreements are set out in “</w:t>
      </w:r>
      <w:r>
        <w:rPr>
          <w:rStyle w:val="Emphasis"/>
          <w:sz w:val="20"/>
          <w:szCs w:val="20"/>
        </w:rPr>
        <w:t>History and Development of the Company”</w:t>
      </w:r>
      <w:r>
        <w:rPr>
          <w:sz w:val="20"/>
          <w:szCs w:val="20"/>
        </w:rPr>
        <w:t>.</w:t>
      </w:r>
    </w:p>
    <w:p w14:paraId="29BF2F0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67CBFA5"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There are risks involved with the operation of our b</w:t>
      </w:r>
      <w:r>
        <w:rPr>
          <w:sz w:val="20"/>
          <w:szCs w:val="20"/>
        </w:rPr>
        <w:t>usiness in reliance on the VIE Agreements, including the risk that the VIE Agreements may be determined by PRC regulators or courts to be unenforceable. Although we believe we are in compliance with current PRC regulations in the execution and implementati</w:t>
      </w:r>
      <w:r>
        <w:rPr>
          <w:sz w:val="20"/>
          <w:szCs w:val="20"/>
        </w:rPr>
        <w:t>on of the VIE Agreements, we cannot assure you the PRC government would agree that the VIE Agreements fully comply with existing PRC policies or with policies that may be adopted in the future. PRC laws and regulations governing the validity of these VIE A</w:t>
      </w:r>
      <w:r>
        <w:rPr>
          <w:sz w:val="20"/>
          <w:szCs w:val="20"/>
        </w:rPr>
        <w:t>greements are uncertain. If the VIE Agreements were for any reason determined to be in breach of any existing or future PRC laws or regulations, the relevant regulatory authorities would have broad discretion in dealing with such breach, including:</w:t>
      </w:r>
    </w:p>
    <w:p w14:paraId="1AD0E014"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3CD9572D" w14:textId="77777777">
        <w:trPr>
          <w:divId w:val="98525094"/>
          <w:trHeight w:val="225"/>
          <w:tblCellSpacing w:w="15" w:type="dxa"/>
        </w:trPr>
        <w:tc>
          <w:tcPr>
            <w:tcW w:w="200" w:type="pct"/>
            <w:vAlign w:val="center"/>
            <w:hideMark/>
          </w:tcPr>
          <w:p w14:paraId="5A312F83"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2BF8A309"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7C936011" w14:textId="77777777" w:rsidR="00000000" w:rsidRDefault="00EB4933">
            <w:pPr>
              <w:rPr>
                <w:rFonts w:eastAsia="Times New Roman"/>
                <w:sz w:val="20"/>
                <w:szCs w:val="20"/>
              </w:rPr>
            </w:pPr>
            <w:r>
              <w:rPr>
                <w:rFonts w:eastAsia="Times New Roman"/>
                <w:sz w:val="20"/>
                <w:szCs w:val="20"/>
              </w:rPr>
              <w:t>i</w:t>
            </w:r>
            <w:r>
              <w:rPr>
                <w:rFonts w:eastAsia="Times New Roman"/>
                <w:sz w:val="20"/>
                <w:szCs w:val="20"/>
              </w:rPr>
              <w:t>mposing economic penalties;</w:t>
            </w:r>
          </w:p>
        </w:tc>
      </w:tr>
      <w:tr w:rsidR="00000000" w14:paraId="49487B48" w14:textId="77777777">
        <w:trPr>
          <w:divId w:val="98525094"/>
          <w:trHeight w:val="225"/>
          <w:tblCellSpacing w:w="15" w:type="dxa"/>
        </w:trPr>
        <w:tc>
          <w:tcPr>
            <w:tcW w:w="0" w:type="auto"/>
            <w:vAlign w:val="center"/>
            <w:hideMark/>
          </w:tcPr>
          <w:p w14:paraId="78F21B82"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7B1632F9"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1DAE7844" w14:textId="77777777" w:rsidR="00000000" w:rsidRDefault="00EB4933">
            <w:pPr>
              <w:pStyle w:val="NormalWeb"/>
              <w:spacing w:before="0" w:beforeAutospacing="0" w:after="0" w:afterAutospacing="0"/>
              <w:rPr>
                <w:sz w:val="20"/>
                <w:szCs w:val="20"/>
              </w:rPr>
            </w:pPr>
            <w:r>
              <w:rPr>
                <w:sz w:val="20"/>
                <w:szCs w:val="20"/>
              </w:rPr>
              <w:t> </w:t>
            </w:r>
          </w:p>
        </w:tc>
      </w:tr>
      <w:tr w:rsidR="00000000" w14:paraId="3BB0F9B2" w14:textId="77777777">
        <w:trPr>
          <w:divId w:val="98525094"/>
          <w:trHeight w:val="225"/>
          <w:tblCellSpacing w:w="15" w:type="dxa"/>
        </w:trPr>
        <w:tc>
          <w:tcPr>
            <w:tcW w:w="0" w:type="auto"/>
            <w:vAlign w:val="center"/>
            <w:hideMark/>
          </w:tcPr>
          <w:p w14:paraId="7CAE43EE"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44710C4E"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3FF1D624" w14:textId="77777777" w:rsidR="00000000" w:rsidRDefault="00EB4933">
            <w:pPr>
              <w:rPr>
                <w:rFonts w:eastAsia="Times New Roman"/>
                <w:sz w:val="20"/>
                <w:szCs w:val="20"/>
              </w:rPr>
            </w:pPr>
            <w:r>
              <w:rPr>
                <w:rFonts w:eastAsia="Times New Roman"/>
                <w:sz w:val="20"/>
                <w:szCs w:val="20"/>
              </w:rPr>
              <w:t>discounting or restricting the operations of Chutian;</w:t>
            </w:r>
          </w:p>
        </w:tc>
      </w:tr>
      <w:tr w:rsidR="00000000" w14:paraId="0F712AB1" w14:textId="77777777">
        <w:trPr>
          <w:divId w:val="98525094"/>
          <w:trHeight w:val="225"/>
          <w:tblCellSpacing w:w="15" w:type="dxa"/>
        </w:trPr>
        <w:tc>
          <w:tcPr>
            <w:tcW w:w="0" w:type="auto"/>
            <w:vAlign w:val="center"/>
            <w:hideMark/>
          </w:tcPr>
          <w:p w14:paraId="0F67FA9B"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2305D717"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32194B79" w14:textId="77777777" w:rsidR="00000000" w:rsidRDefault="00EB4933">
            <w:pPr>
              <w:pStyle w:val="NormalWeb"/>
              <w:spacing w:before="0" w:beforeAutospacing="0" w:after="0" w:afterAutospacing="0"/>
              <w:rPr>
                <w:sz w:val="20"/>
                <w:szCs w:val="20"/>
              </w:rPr>
            </w:pPr>
            <w:r>
              <w:rPr>
                <w:sz w:val="20"/>
                <w:szCs w:val="20"/>
              </w:rPr>
              <w:t> </w:t>
            </w:r>
          </w:p>
        </w:tc>
      </w:tr>
      <w:tr w:rsidR="00000000" w14:paraId="18D882EA" w14:textId="77777777">
        <w:trPr>
          <w:divId w:val="98525094"/>
          <w:trHeight w:val="225"/>
          <w:tblCellSpacing w:w="15" w:type="dxa"/>
        </w:trPr>
        <w:tc>
          <w:tcPr>
            <w:tcW w:w="0" w:type="auto"/>
            <w:vAlign w:val="center"/>
            <w:hideMark/>
          </w:tcPr>
          <w:p w14:paraId="037F7197"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4B35648E"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5A5F65FD" w14:textId="77777777" w:rsidR="00000000" w:rsidRDefault="00EB4933">
            <w:pPr>
              <w:rPr>
                <w:rFonts w:eastAsia="Times New Roman"/>
                <w:sz w:val="20"/>
                <w:szCs w:val="20"/>
              </w:rPr>
            </w:pPr>
            <w:r>
              <w:rPr>
                <w:rFonts w:eastAsia="Times New Roman"/>
                <w:sz w:val="20"/>
                <w:szCs w:val="20"/>
              </w:rPr>
              <w:t>imposing conditions or requirements in respect of the VIE Agreements with which the Company or Chutian may not be able to comply;</w:t>
            </w:r>
          </w:p>
        </w:tc>
      </w:tr>
      <w:tr w:rsidR="00000000" w14:paraId="5CC3E043" w14:textId="77777777">
        <w:trPr>
          <w:divId w:val="98525094"/>
          <w:trHeight w:val="225"/>
          <w:tblCellSpacing w:w="15" w:type="dxa"/>
        </w:trPr>
        <w:tc>
          <w:tcPr>
            <w:tcW w:w="0" w:type="auto"/>
            <w:vAlign w:val="center"/>
            <w:hideMark/>
          </w:tcPr>
          <w:p w14:paraId="452302FB"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6B3624F5"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1734B9AD" w14:textId="77777777" w:rsidR="00000000" w:rsidRDefault="00EB4933">
            <w:pPr>
              <w:pStyle w:val="NormalWeb"/>
              <w:spacing w:before="0" w:beforeAutospacing="0" w:after="0" w:afterAutospacing="0"/>
              <w:rPr>
                <w:sz w:val="20"/>
                <w:szCs w:val="20"/>
              </w:rPr>
            </w:pPr>
            <w:r>
              <w:rPr>
                <w:sz w:val="20"/>
                <w:szCs w:val="20"/>
              </w:rPr>
              <w:t> </w:t>
            </w:r>
          </w:p>
        </w:tc>
      </w:tr>
      <w:tr w:rsidR="00000000" w14:paraId="0AA4B07D" w14:textId="77777777">
        <w:trPr>
          <w:divId w:val="98525094"/>
          <w:trHeight w:val="225"/>
          <w:tblCellSpacing w:w="15" w:type="dxa"/>
        </w:trPr>
        <w:tc>
          <w:tcPr>
            <w:tcW w:w="0" w:type="auto"/>
            <w:vAlign w:val="center"/>
            <w:hideMark/>
          </w:tcPr>
          <w:p w14:paraId="617F4FF1"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6C2AB614"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3D97FBD3" w14:textId="77777777" w:rsidR="00000000" w:rsidRDefault="00EB4933">
            <w:pPr>
              <w:rPr>
                <w:rFonts w:eastAsia="Times New Roman"/>
                <w:sz w:val="20"/>
                <w:szCs w:val="20"/>
              </w:rPr>
            </w:pPr>
            <w:r>
              <w:rPr>
                <w:rFonts w:eastAsia="Times New Roman"/>
                <w:sz w:val="20"/>
                <w:szCs w:val="20"/>
              </w:rPr>
              <w:t>requiring the Company to restructure the relevant ownership structure or operations;</w:t>
            </w:r>
          </w:p>
        </w:tc>
      </w:tr>
      <w:tr w:rsidR="00000000" w14:paraId="2A4C92B8" w14:textId="77777777">
        <w:trPr>
          <w:divId w:val="98525094"/>
          <w:trHeight w:val="225"/>
          <w:tblCellSpacing w:w="15" w:type="dxa"/>
        </w:trPr>
        <w:tc>
          <w:tcPr>
            <w:tcW w:w="0" w:type="auto"/>
            <w:vAlign w:val="center"/>
            <w:hideMark/>
          </w:tcPr>
          <w:p w14:paraId="6B134EED"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5EC7B7AE"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2EDE8978" w14:textId="77777777" w:rsidR="00000000" w:rsidRDefault="00EB4933">
            <w:pPr>
              <w:pStyle w:val="NormalWeb"/>
              <w:spacing w:before="0" w:beforeAutospacing="0" w:after="0" w:afterAutospacing="0"/>
              <w:rPr>
                <w:sz w:val="20"/>
                <w:szCs w:val="20"/>
              </w:rPr>
            </w:pPr>
            <w:r>
              <w:rPr>
                <w:sz w:val="20"/>
                <w:szCs w:val="20"/>
              </w:rPr>
              <w:t> </w:t>
            </w:r>
          </w:p>
        </w:tc>
      </w:tr>
      <w:tr w:rsidR="00000000" w14:paraId="3DAA6550" w14:textId="77777777">
        <w:trPr>
          <w:divId w:val="98525094"/>
          <w:trHeight w:val="225"/>
          <w:tblCellSpacing w:w="15" w:type="dxa"/>
        </w:trPr>
        <w:tc>
          <w:tcPr>
            <w:tcW w:w="0" w:type="auto"/>
            <w:vAlign w:val="center"/>
            <w:hideMark/>
          </w:tcPr>
          <w:p w14:paraId="56A55351"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1F7A264A"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2C1BB2E2" w14:textId="77777777" w:rsidR="00000000" w:rsidRDefault="00EB4933">
            <w:pPr>
              <w:rPr>
                <w:rFonts w:eastAsia="Times New Roman"/>
                <w:sz w:val="20"/>
                <w:szCs w:val="20"/>
              </w:rPr>
            </w:pPr>
            <w:r>
              <w:rPr>
                <w:rFonts w:eastAsia="Times New Roman"/>
                <w:sz w:val="20"/>
                <w:szCs w:val="20"/>
              </w:rPr>
              <w:t>taking other regulatory or enforcement actions that could adversely affect our business; and</w:t>
            </w:r>
          </w:p>
        </w:tc>
      </w:tr>
      <w:tr w:rsidR="00000000" w14:paraId="7EBC170E" w14:textId="77777777">
        <w:trPr>
          <w:divId w:val="98525094"/>
          <w:trHeight w:val="225"/>
          <w:tblCellSpacing w:w="15" w:type="dxa"/>
        </w:trPr>
        <w:tc>
          <w:tcPr>
            <w:tcW w:w="0" w:type="auto"/>
            <w:vAlign w:val="center"/>
            <w:hideMark/>
          </w:tcPr>
          <w:p w14:paraId="4CFD8667"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3519FD2D"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4112866F" w14:textId="77777777" w:rsidR="00000000" w:rsidRDefault="00EB4933">
            <w:pPr>
              <w:pStyle w:val="NormalWeb"/>
              <w:spacing w:before="0" w:beforeAutospacing="0" w:after="0" w:afterAutospacing="0"/>
              <w:rPr>
                <w:sz w:val="20"/>
                <w:szCs w:val="20"/>
              </w:rPr>
            </w:pPr>
            <w:r>
              <w:rPr>
                <w:sz w:val="20"/>
                <w:szCs w:val="20"/>
              </w:rPr>
              <w:t> </w:t>
            </w:r>
          </w:p>
        </w:tc>
      </w:tr>
      <w:tr w:rsidR="00000000" w14:paraId="6B3983C8" w14:textId="77777777">
        <w:trPr>
          <w:divId w:val="98525094"/>
          <w:trHeight w:val="225"/>
          <w:tblCellSpacing w:w="15" w:type="dxa"/>
        </w:trPr>
        <w:tc>
          <w:tcPr>
            <w:tcW w:w="0" w:type="auto"/>
            <w:vAlign w:val="center"/>
            <w:hideMark/>
          </w:tcPr>
          <w:p w14:paraId="10CD5FE9"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31E52FCF"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067DA96" w14:textId="77777777" w:rsidR="00000000" w:rsidRDefault="00EB4933">
            <w:pPr>
              <w:rPr>
                <w:rFonts w:eastAsia="Times New Roman"/>
                <w:sz w:val="20"/>
                <w:szCs w:val="20"/>
              </w:rPr>
            </w:pPr>
            <w:r>
              <w:rPr>
                <w:rFonts w:eastAsia="Times New Roman"/>
                <w:sz w:val="20"/>
                <w:szCs w:val="20"/>
              </w:rPr>
              <w:t>revoking the business licenses and/or the licenses or certificates of Chutian or Chutian Holding, and/or voiding the VIE Agreements.</w:t>
            </w:r>
          </w:p>
        </w:tc>
      </w:tr>
    </w:tbl>
    <w:p w14:paraId="188180F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B3CB655" w14:textId="77777777" w:rsidR="00000000" w:rsidRDefault="00EB4933">
      <w:pPr>
        <w:pStyle w:val="NormalWeb"/>
        <w:spacing w:before="0" w:beforeAutospacing="0" w:after="0" w:afterAutospacing="0"/>
        <w:ind w:firstLine="675"/>
        <w:jc w:val="both"/>
        <w:divId w:val="98525094"/>
        <w:rPr>
          <w:sz w:val="20"/>
          <w:szCs w:val="20"/>
        </w:rPr>
      </w:pPr>
      <w:r>
        <w:rPr>
          <w:sz w:val="20"/>
          <w:szCs w:val="20"/>
        </w:rPr>
        <w:t>Any of these</w:t>
      </w:r>
      <w:r>
        <w:rPr>
          <w:sz w:val="20"/>
          <w:szCs w:val="20"/>
        </w:rPr>
        <w:t xml:space="preserve"> actions would adversely affect our ability to manage, operate and gain the financial benefits of Chutian, which would have a material adverse impact on our business, financial condition and results of operations.</w:t>
      </w:r>
    </w:p>
    <w:p w14:paraId="232B9C5E"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w:t>
      </w:r>
    </w:p>
    <w:p w14:paraId="5B1A928C"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Our ability to manage and operate Chutia</w:t>
      </w:r>
      <w:r>
        <w:rPr>
          <w:rStyle w:val="Emphasis"/>
          <w:b/>
          <w:bCs/>
          <w:sz w:val="20"/>
          <w:szCs w:val="20"/>
        </w:rPr>
        <w:t>n under the VIE Agreements may not be as effective as direct ownership.</w:t>
      </w:r>
    </w:p>
    <w:p w14:paraId="2574DAE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EFDB14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We conduct our microfinance lending business in the PRC and generate virtually all of our revenues for our business through the VIE Agreements. Our plans for future growth are based </w:t>
      </w:r>
      <w:r>
        <w:rPr>
          <w:sz w:val="20"/>
          <w:szCs w:val="20"/>
        </w:rPr>
        <w:t>substantially on growing the operations of Chutian. However, the VIE Agreements may not be as effective in providing us with control over Chutian as direct ownership. Under the current VIE Agreements, if Chutian fails to perform its obligations under these</w:t>
      </w:r>
      <w:r>
        <w:rPr>
          <w:sz w:val="20"/>
          <w:szCs w:val="20"/>
        </w:rPr>
        <w:t xml:space="preserve"> contractual arrangements, we may have to incur substantial costs and resources to enforce such arrangements, and rely on legal remedies under PRC law, which we cannot be sure would be effective. Therefore, if we are unable to effectively control Chutian, </w:t>
      </w:r>
      <w:r>
        <w:rPr>
          <w:sz w:val="20"/>
          <w:szCs w:val="20"/>
        </w:rPr>
        <w:t>it may have an adverse effect on our ability to achieve our business objectives and grow our revenues.</w:t>
      </w:r>
    </w:p>
    <w:p w14:paraId="358775FE"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02D3C04" w14:textId="77777777">
        <w:trPr>
          <w:divId w:val="98525094"/>
          <w:trHeight w:val="225"/>
          <w:tblCellSpacing w:w="15" w:type="dxa"/>
        </w:trPr>
        <w:tc>
          <w:tcPr>
            <w:tcW w:w="0" w:type="auto"/>
            <w:vAlign w:val="center"/>
            <w:hideMark/>
          </w:tcPr>
          <w:p w14:paraId="28C672C2" w14:textId="77777777" w:rsidR="00000000" w:rsidRDefault="00EB4933">
            <w:pPr>
              <w:rPr>
                <w:rFonts w:eastAsia="Times New Roman"/>
                <w:sz w:val="20"/>
                <w:szCs w:val="20"/>
              </w:rPr>
            </w:pPr>
            <w:r>
              <w:rPr>
                <w:rFonts w:eastAsia="Times New Roman"/>
                <w:sz w:val="20"/>
                <w:szCs w:val="20"/>
              </w:rPr>
              <w:t> </w:t>
            </w:r>
          </w:p>
        </w:tc>
      </w:tr>
      <w:tr w:rsidR="00000000" w14:paraId="1B0AEFDA" w14:textId="77777777">
        <w:trPr>
          <w:divId w:val="98525094"/>
          <w:trHeight w:val="225"/>
          <w:tblCellSpacing w:w="15" w:type="dxa"/>
        </w:trPr>
        <w:tc>
          <w:tcPr>
            <w:tcW w:w="0" w:type="auto"/>
            <w:tcBorders>
              <w:bottom w:val="single" w:sz="6" w:space="0" w:color="000000"/>
            </w:tcBorders>
            <w:vAlign w:val="center"/>
            <w:hideMark/>
          </w:tcPr>
          <w:p w14:paraId="4264407E" w14:textId="77777777" w:rsidR="00000000" w:rsidRDefault="00EB4933">
            <w:pPr>
              <w:jc w:val="center"/>
              <w:rPr>
                <w:rFonts w:eastAsia="Times New Roman"/>
                <w:sz w:val="20"/>
                <w:szCs w:val="20"/>
              </w:rPr>
            </w:pPr>
            <w:r>
              <w:rPr>
                <w:rFonts w:eastAsia="Times New Roman"/>
                <w:sz w:val="20"/>
                <w:szCs w:val="20"/>
              </w:rPr>
              <w:t>21</w:t>
            </w:r>
          </w:p>
        </w:tc>
      </w:tr>
      <w:tr w:rsidR="00000000" w14:paraId="572B134F" w14:textId="77777777">
        <w:trPr>
          <w:divId w:val="98525094"/>
          <w:trHeight w:val="225"/>
          <w:tblCellSpacing w:w="15" w:type="dxa"/>
        </w:trPr>
        <w:tc>
          <w:tcPr>
            <w:tcW w:w="0" w:type="auto"/>
            <w:vAlign w:val="center"/>
            <w:hideMark/>
          </w:tcPr>
          <w:p w14:paraId="0DA03C04" w14:textId="77777777" w:rsidR="00000000" w:rsidRDefault="00EB4933">
            <w:pPr>
              <w:rPr>
                <w:rFonts w:eastAsia="Times New Roman"/>
                <w:sz w:val="20"/>
                <w:szCs w:val="20"/>
              </w:rPr>
            </w:pPr>
          </w:p>
        </w:tc>
      </w:tr>
      <w:tr w:rsidR="00000000" w14:paraId="0903CFF2" w14:textId="77777777">
        <w:trPr>
          <w:divId w:val="98525094"/>
          <w:trHeight w:val="225"/>
          <w:tblCellSpacing w:w="15" w:type="dxa"/>
        </w:trPr>
        <w:tc>
          <w:tcPr>
            <w:tcW w:w="0" w:type="auto"/>
            <w:vAlign w:val="center"/>
            <w:hideMark/>
          </w:tcPr>
          <w:p w14:paraId="2A909DD5" w14:textId="77777777" w:rsidR="00000000" w:rsidRDefault="00EB4933">
            <w:pPr>
              <w:rPr>
                <w:rFonts w:eastAsia="Times New Roman"/>
                <w:sz w:val="20"/>
                <w:szCs w:val="20"/>
              </w:rPr>
            </w:pPr>
            <w:hyperlink r:id="rId81" w:anchor="toc" w:history="1">
              <w:r>
                <w:rPr>
                  <w:rStyle w:val="Hyperlink"/>
                  <w:rFonts w:eastAsia="Times New Roman"/>
                  <w:i/>
                  <w:iCs/>
                  <w:sz w:val="20"/>
                  <w:szCs w:val="20"/>
                </w:rPr>
                <w:t>Table of Contents</w:t>
              </w:r>
            </w:hyperlink>
          </w:p>
        </w:tc>
      </w:tr>
    </w:tbl>
    <w:p w14:paraId="724D290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52C5255"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xml:space="preserve">As the VIE Agreements are governed by PRC law, we would be required to rely on PRC law to enforce our rights and remedies under them; PRC law may not provide us with the same rights and remedies as are available in contractual disputes governed by the law </w:t>
      </w:r>
      <w:r>
        <w:rPr>
          <w:rStyle w:val="Emphasis"/>
          <w:b/>
          <w:bCs/>
          <w:sz w:val="20"/>
          <w:szCs w:val="20"/>
        </w:rPr>
        <w:t>of other jurisdictions.</w:t>
      </w:r>
    </w:p>
    <w:p w14:paraId="605F375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FDB8BE7"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VIE Agreements are governed by PRC law and provide for the resolution of disputes through arbitral proceedings. If Chutian or its shareholders fail to perform the obligations under the VIE Agreements, we would be required to r</w:t>
      </w:r>
      <w:r>
        <w:rPr>
          <w:sz w:val="20"/>
          <w:szCs w:val="20"/>
        </w:rPr>
        <w:t>esort to legal remedies available under PRC law, including seeking specific performance or injunctive relief, or claiming damages. We cannot be sure that such remedies would provide us with effective means of causing Chutian to meet its obligations, or rec</w:t>
      </w:r>
      <w:r>
        <w:rPr>
          <w:sz w:val="20"/>
          <w:szCs w:val="20"/>
        </w:rPr>
        <w:t>overing any losses or damages as a result of non-performance. Further, the legal environment in the PRC is not as developed as in some other jurisdictions. Uncertainties in the application of various laws, rules, regulations or policies in the PRC legal sy</w:t>
      </w:r>
      <w:r>
        <w:rPr>
          <w:sz w:val="20"/>
          <w:szCs w:val="20"/>
        </w:rPr>
        <w:t>stem could limit our liability to enforce the VIE Agreements and protect our interests.</w:t>
      </w:r>
    </w:p>
    <w:p w14:paraId="649301B2"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6B4EF44"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The payment arrangement under the VIE Agreements may be challenged by the PRC tax authorities.</w:t>
      </w:r>
    </w:p>
    <w:p w14:paraId="164BE93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93F5B1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We generate our revenues through the payments we receive pursuant to </w:t>
      </w:r>
      <w:r>
        <w:rPr>
          <w:sz w:val="20"/>
          <w:szCs w:val="20"/>
        </w:rPr>
        <w:t>the VIE Agreements. We could face adverse tax consequences if the PRC tax authorities determine that the VIE Agreements were not entered into based on arm’s length negotiations. For example, PRC tax authorities may adjust our income and expenses for PRC ta</w:t>
      </w:r>
      <w:r>
        <w:rPr>
          <w:sz w:val="20"/>
          <w:szCs w:val="20"/>
        </w:rPr>
        <w:t xml:space="preserve">x purposes which could result in our being subject to higher tax liability, or cause other adverse financial consequences. </w:t>
      </w:r>
      <w:r>
        <w:rPr>
          <w:sz w:val="20"/>
          <w:szCs w:val="20"/>
        </w:rPr>
        <w:lastRenderedPageBreak/>
        <w:t xml:space="preserve">According to the PRC Tax Administration and Collection Law, </w:t>
      </w:r>
      <w:r>
        <w:rPr>
          <w:rStyle w:val="Emphasis"/>
          <w:sz w:val="20"/>
          <w:szCs w:val="20"/>
        </w:rPr>
        <w:t>(</w:t>
      </w:r>
      <w:r>
        <w:rPr>
          <w:rStyle w:val="Emphasis"/>
          <w:rFonts w:ascii="MS Mincho" w:eastAsia="MS Mincho" w:hAnsi="MS Mincho" w:cs="MS Mincho" w:hint="eastAsia"/>
          <w:sz w:val="20"/>
          <w:szCs w:val="20"/>
        </w:rPr>
        <w:t>中</w:t>
      </w:r>
      <w:r>
        <w:rPr>
          <w:rStyle w:val="Emphasis"/>
          <w:rFonts w:ascii="SimSun" w:eastAsia="SimSun" w:hAnsi="SimSun" w:cs="SimSun" w:hint="eastAsia"/>
          <w:sz w:val="20"/>
          <w:szCs w:val="20"/>
        </w:rPr>
        <w:t>华人民共和国税收征收管理法</w:t>
      </w:r>
      <w:r>
        <w:rPr>
          <w:rStyle w:val="Emphasis"/>
          <w:sz w:val="20"/>
          <w:szCs w:val="20"/>
        </w:rPr>
        <w:t>),</w:t>
      </w:r>
      <w:r>
        <w:rPr>
          <w:sz w:val="20"/>
          <w:szCs w:val="20"/>
        </w:rPr>
        <w:t xml:space="preserve"> and I</w:t>
      </w:r>
      <w:r>
        <w:rPr>
          <w:rStyle w:val="Emphasis"/>
          <w:sz w:val="20"/>
          <w:szCs w:val="20"/>
        </w:rPr>
        <w:t>mplementation Regulations for the Law of the PRC T</w:t>
      </w:r>
      <w:r>
        <w:rPr>
          <w:rStyle w:val="Emphasis"/>
          <w:sz w:val="20"/>
          <w:szCs w:val="20"/>
        </w:rPr>
        <w:t>ax Administration and Collection Law</w:t>
      </w:r>
      <w:r>
        <w:rPr>
          <w:sz w:val="20"/>
          <w:szCs w:val="20"/>
        </w:rPr>
        <w:t xml:space="preserve"> </w:t>
      </w:r>
      <w:r>
        <w:rPr>
          <w:rFonts w:ascii="MS Mincho" w:eastAsia="MS Mincho" w:hAnsi="MS Mincho" w:cs="MS Mincho" w:hint="eastAsia"/>
          <w:sz w:val="20"/>
          <w:szCs w:val="20"/>
        </w:rPr>
        <w:t>《中</w:t>
      </w:r>
      <w:r>
        <w:rPr>
          <w:rFonts w:ascii="SimSun" w:eastAsia="SimSun" w:hAnsi="SimSun" w:cs="SimSun" w:hint="eastAsia"/>
          <w:sz w:val="20"/>
          <w:szCs w:val="20"/>
        </w:rPr>
        <w:t>华人民共和国税收征收管理法实施细则（</w:t>
      </w:r>
      <w:r>
        <w:rPr>
          <w:sz w:val="20"/>
          <w:szCs w:val="20"/>
        </w:rPr>
        <w:t>2016</w:t>
      </w:r>
      <w:r>
        <w:rPr>
          <w:rFonts w:ascii="MS Mincho" w:eastAsia="MS Mincho" w:hAnsi="MS Mincho" w:cs="MS Mincho" w:hint="eastAsia"/>
          <w:sz w:val="20"/>
          <w:szCs w:val="20"/>
        </w:rPr>
        <w:t>修</w:t>
      </w:r>
      <w:r>
        <w:rPr>
          <w:rFonts w:ascii="SimSun" w:eastAsia="SimSun" w:hAnsi="SimSun" w:cs="SimSun" w:hint="eastAsia"/>
          <w:sz w:val="20"/>
          <w:szCs w:val="20"/>
        </w:rPr>
        <w:t>订）》</w:t>
      </w:r>
      <w:r>
        <w:rPr>
          <w:sz w:val="20"/>
          <w:szCs w:val="20"/>
        </w:rPr>
        <w:t>, in the case of a transfer pricing related adjustment, the statute of limitation is three years normally and 10 years in special instances.</w:t>
      </w:r>
    </w:p>
    <w:p w14:paraId="0E9584D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91570FD"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We rely on the approval certificates and busines</w:t>
      </w:r>
      <w:r>
        <w:rPr>
          <w:rStyle w:val="Emphasis"/>
          <w:b/>
          <w:bCs/>
          <w:sz w:val="20"/>
          <w:szCs w:val="20"/>
        </w:rPr>
        <w:t>s license held by Chutian for our microfinance lending business and any deterioration of the relationship between Chutian and us could materially and adversely affect our business operations.</w:t>
      </w:r>
    </w:p>
    <w:p w14:paraId="669C67A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942933F"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operate our microfinance lending business in the PRC on the basis of the approval certificates, business license and other requisite licenses held by Chutian. There is no assurance that Chutian will be able to renew its licenses or certificates when the</w:t>
      </w:r>
      <w:r>
        <w:rPr>
          <w:sz w:val="20"/>
          <w:szCs w:val="20"/>
        </w:rPr>
        <w:t>ir terms expire with substantially similar terms as the ones it currently holds.</w:t>
      </w:r>
    </w:p>
    <w:p w14:paraId="2A17963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5EB0DB4" w14:textId="77777777" w:rsidR="00000000" w:rsidRDefault="00EB4933">
      <w:pPr>
        <w:pStyle w:val="NormalWeb"/>
        <w:spacing w:before="0" w:beforeAutospacing="0" w:after="0" w:afterAutospacing="0"/>
        <w:ind w:firstLine="675"/>
        <w:jc w:val="both"/>
        <w:divId w:val="98525094"/>
        <w:rPr>
          <w:sz w:val="20"/>
          <w:szCs w:val="20"/>
        </w:rPr>
      </w:pPr>
      <w:r>
        <w:rPr>
          <w:sz w:val="20"/>
          <w:szCs w:val="20"/>
        </w:rPr>
        <w:t>Further, our relationship with Chutian is governed by the VIE Agreements which is intended to provide us with effective control over the business operations of Chutian. Howe</w:t>
      </w:r>
      <w:r>
        <w:rPr>
          <w:sz w:val="20"/>
          <w:szCs w:val="20"/>
        </w:rPr>
        <w:t>ver, the VIE Agreements may not be effective in providing control over the application for and maintenance of the licenses required for our business operations. Chutian could violate the VIE Agreements, go bankrupt, suffer from difficulties in its business</w:t>
      </w:r>
      <w:r>
        <w:rPr>
          <w:sz w:val="20"/>
          <w:szCs w:val="20"/>
        </w:rPr>
        <w:t xml:space="preserve"> or otherwise become unable to perform its obligations under the VIE Agreements and, as a result, our operations, reputations and business could be severely harmed.</w:t>
      </w:r>
    </w:p>
    <w:p w14:paraId="05799C0B"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w:t>
      </w:r>
    </w:p>
    <w:p w14:paraId="256409D2"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If Chutian Holding exercises the purchase option it holds over Chutian’s share capital pu</w:t>
      </w:r>
      <w:r>
        <w:rPr>
          <w:rStyle w:val="Emphasis"/>
          <w:b/>
          <w:bCs/>
          <w:sz w:val="20"/>
          <w:szCs w:val="20"/>
        </w:rPr>
        <w:t>rsuant to the Exclusive Purchase Option Agreement, the payment of the purchase price could materially and adversely affect our financial position.</w:t>
      </w:r>
    </w:p>
    <w:p w14:paraId="09D97D22"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7A22B88"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Under the Exclusive Purchase Option Agreement, Chutian Holding has the option to purchase up to 80% of the </w:t>
      </w:r>
      <w:r>
        <w:rPr>
          <w:sz w:val="20"/>
          <w:szCs w:val="20"/>
        </w:rPr>
        <w:t>equity interest in Chutian at a price based on the circumstances of the exercise of the option as determined by the relevant parties, provided that the acquisition will not violate any PRC laws or regulations in effect. As Chutian is already our contractua</w:t>
      </w:r>
      <w:r>
        <w:rPr>
          <w:sz w:val="20"/>
          <w:szCs w:val="20"/>
        </w:rPr>
        <w:t>lly controlled affiliate, Chutian Holding’s exercising of the option would not bring immediate benefits to our company, and payment of the purchase price could adversely affect our financial position.</w:t>
      </w:r>
    </w:p>
    <w:p w14:paraId="236D0ABA"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768CA57" w14:textId="77777777">
        <w:trPr>
          <w:divId w:val="98525094"/>
          <w:trHeight w:val="225"/>
          <w:tblCellSpacing w:w="15" w:type="dxa"/>
        </w:trPr>
        <w:tc>
          <w:tcPr>
            <w:tcW w:w="0" w:type="auto"/>
            <w:vAlign w:val="center"/>
            <w:hideMark/>
          </w:tcPr>
          <w:p w14:paraId="29414109" w14:textId="77777777" w:rsidR="00000000" w:rsidRDefault="00EB4933">
            <w:pPr>
              <w:rPr>
                <w:rFonts w:eastAsia="Times New Roman"/>
                <w:sz w:val="20"/>
                <w:szCs w:val="20"/>
              </w:rPr>
            </w:pPr>
            <w:r>
              <w:rPr>
                <w:rFonts w:eastAsia="Times New Roman"/>
                <w:sz w:val="20"/>
                <w:szCs w:val="20"/>
              </w:rPr>
              <w:t> </w:t>
            </w:r>
          </w:p>
        </w:tc>
      </w:tr>
      <w:tr w:rsidR="00000000" w14:paraId="6E7AC546" w14:textId="77777777">
        <w:trPr>
          <w:divId w:val="98525094"/>
          <w:trHeight w:val="225"/>
          <w:tblCellSpacing w:w="15" w:type="dxa"/>
        </w:trPr>
        <w:tc>
          <w:tcPr>
            <w:tcW w:w="0" w:type="auto"/>
            <w:tcBorders>
              <w:bottom w:val="single" w:sz="6" w:space="0" w:color="000000"/>
            </w:tcBorders>
            <w:vAlign w:val="center"/>
            <w:hideMark/>
          </w:tcPr>
          <w:p w14:paraId="1A273DCE" w14:textId="77777777" w:rsidR="00000000" w:rsidRDefault="00EB4933">
            <w:pPr>
              <w:jc w:val="center"/>
              <w:rPr>
                <w:rFonts w:eastAsia="Times New Roman"/>
                <w:sz w:val="20"/>
                <w:szCs w:val="20"/>
              </w:rPr>
            </w:pPr>
            <w:r>
              <w:rPr>
                <w:rFonts w:eastAsia="Times New Roman"/>
                <w:sz w:val="20"/>
                <w:szCs w:val="20"/>
              </w:rPr>
              <w:t>22</w:t>
            </w:r>
          </w:p>
        </w:tc>
      </w:tr>
      <w:tr w:rsidR="00000000" w14:paraId="4BC0B238" w14:textId="77777777">
        <w:trPr>
          <w:divId w:val="98525094"/>
          <w:trHeight w:val="225"/>
          <w:tblCellSpacing w:w="15" w:type="dxa"/>
        </w:trPr>
        <w:tc>
          <w:tcPr>
            <w:tcW w:w="0" w:type="auto"/>
            <w:vAlign w:val="center"/>
            <w:hideMark/>
          </w:tcPr>
          <w:p w14:paraId="76EF0C88" w14:textId="77777777" w:rsidR="00000000" w:rsidRDefault="00EB4933">
            <w:pPr>
              <w:rPr>
                <w:rFonts w:eastAsia="Times New Roman"/>
                <w:sz w:val="20"/>
                <w:szCs w:val="20"/>
              </w:rPr>
            </w:pPr>
          </w:p>
        </w:tc>
      </w:tr>
      <w:tr w:rsidR="00000000" w14:paraId="25BD98DA" w14:textId="77777777">
        <w:trPr>
          <w:divId w:val="98525094"/>
          <w:trHeight w:val="225"/>
          <w:tblCellSpacing w:w="15" w:type="dxa"/>
        </w:trPr>
        <w:tc>
          <w:tcPr>
            <w:tcW w:w="0" w:type="auto"/>
            <w:vAlign w:val="center"/>
            <w:hideMark/>
          </w:tcPr>
          <w:p w14:paraId="3A81EF14" w14:textId="77777777" w:rsidR="00000000" w:rsidRDefault="00EB4933">
            <w:pPr>
              <w:rPr>
                <w:rFonts w:eastAsia="Times New Roman"/>
                <w:sz w:val="20"/>
                <w:szCs w:val="20"/>
              </w:rPr>
            </w:pPr>
            <w:hyperlink r:id="rId82" w:anchor="toc" w:history="1">
              <w:r>
                <w:rPr>
                  <w:rStyle w:val="Hyperlink"/>
                  <w:rFonts w:eastAsia="Times New Roman"/>
                  <w:i/>
                  <w:iCs/>
                  <w:sz w:val="20"/>
                  <w:szCs w:val="20"/>
                </w:rPr>
                <w:t xml:space="preserve">Table </w:t>
              </w:r>
              <w:r>
                <w:rPr>
                  <w:rStyle w:val="Hyperlink"/>
                  <w:rFonts w:eastAsia="Times New Roman"/>
                  <w:i/>
                  <w:iCs/>
                  <w:sz w:val="20"/>
                  <w:szCs w:val="20"/>
                </w:rPr>
                <w:t>of Contents</w:t>
              </w:r>
            </w:hyperlink>
          </w:p>
        </w:tc>
      </w:tr>
    </w:tbl>
    <w:p w14:paraId="759D9AB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A454F2C" w14:textId="77777777" w:rsidR="00000000" w:rsidRDefault="00EB4933">
      <w:pPr>
        <w:pStyle w:val="NormalWeb"/>
        <w:spacing w:before="0" w:beforeAutospacing="0" w:after="0" w:afterAutospacing="0"/>
        <w:jc w:val="both"/>
        <w:divId w:val="98525094"/>
        <w:rPr>
          <w:sz w:val="20"/>
          <w:szCs w:val="20"/>
        </w:rPr>
      </w:pPr>
      <w:r>
        <w:rPr>
          <w:rStyle w:val="Strong"/>
          <w:sz w:val="20"/>
          <w:szCs w:val="20"/>
        </w:rPr>
        <w:t>Risks Relating to Doing Business in China</w:t>
      </w:r>
    </w:p>
    <w:p w14:paraId="0FFB2C05" w14:textId="77777777" w:rsidR="00000000" w:rsidRDefault="00EB4933">
      <w:pPr>
        <w:pStyle w:val="NormalWeb"/>
        <w:spacing w:before="0" w:beforeAutospacing="0" w:after="0" w:afterAutospacing="0"/>
        <w:jc w:val="both"/>
        <w:divId w:val="98525094"/>
        <w:rPr>
          <w:sz w:val="20"/>
          <w:szCs w:val="20"/>
        </w:rPr>
      </w:pPr>
      <w:r>
        <w:rPr>
          <w:rStyle w:val="Strong"/>
          <w:sz w:val="20"/>
          <w:szCs w:val="20"/>
        </w:rPr>
        <w:t> </w:t>
      </w:r>
    </w:p>
    <w:p w14:paraId="31D477E9"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Our business may be materially adversely impacted by a global financial crisis and economic downturn.</w:t>
      </w:r>
    </w:p>
    <w:p w14:paraId="3F08F30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5560DF30"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operate our business in the PRC. Any future global financial crisis and economic downturn may materially adversely impact our business, financial con</w:t>
      </w:r>
      <w:r>
        <w:rPr>
          <w:sz w:val="20"/>
          <w:szCs w:val="20"/>
        </w:rPr>
        <w:t>dition, results of operations and prospects in a number of ways, including:</w:t>
      </w:r>
    </w:p>
    <w:p w14:paraId="005F0763"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616808E2" w14:textId="77777777">
        <w:trPr>
          <w:divId w:val="98525094"/>
          <w:trHeight w:val="225"/>
          <w:tblCellSpacing w:w="15" w:type="dxa"/>
        </w:trPr>
        <w:tc>
          <w:tcPr>
            <w:tcW w:w="200" w:type="pct"/>
            <w:vAlign w:val="center"/>
            <w:hideMark/>
          </w:tcPr>
          <w:p w14:paraId="58AB175D"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36AC1FAE"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044836B9" w14:textId="77777777" w:rsidR="00000000" w:rsidRDefault="00EB4933">
            <w:pPr>
              <w:rPr>
                <w:rFonts w:eastAsia="Times New Roman"/>
                <w:sz w:val="20"/>
                <w:szCs w:val="20"/>
              </w:rPr>
            </w:pPr>
            <w:r>
              <w:rPr>
                <w:rFonts w:eastAsia="Times New Roman"/>
                <w:sz w:val="20"/>
                <w:szCs w:val="20"/>
              </w:rPr>
              <w:t>we may face severe challenges, loss of customers and other operation risks during the global financial crisis and economic downturn;</w:t>
            </w:r>
          </w:p>
        </w:tc>
      </w:tr>
    </w:tbl>
    <w:p w14:paraId="6F29B059"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49288127" w14:textId="77777777">
        <w:trPr>
          <w:divId w:val="98525094"/>
          <w:trHeight w:val="225"/>
          <w:tblCellSpacing w:w="15" w:type="dxa"/>
        </w:trPr>
        <w:tc>
          <w:tcPr>
            <w:tcW w:w="200" w:type="pct"/>
            <w:vAlign w:val="center"/>
            <w:hideMark/>
          </w:tcPr>
          <w:p w14:paraId="2D5F35E7"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38A3A43A"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78E01F95" w14:textId="77777777" w:rsidR="00000000" w:rsidRDefault="00EB4933">
            <w:pPr>
              <w:rPr>
                <w:rFonts w:eastAsia="Times New Roman"/>
                <w:sz w:val="20"/>
                <w:szCs w:val="20"/>
              </w:rPr>
            </w:pPr>
            <w:r>
              <w:rPr>
                <w:rFonts w:eastAsia="Times New Roman"/>
                <w:sz w:val="20"/>
                <w:szCs w:val="20"/>
              </w:rPr>
              <w:t>under difficult economic conditi</w:t>
            </w:r>
            <w:r>
              <w:rPr>
                <w:rFonts w:eastAsia="Times New Roman"/>
                <w:sz w:val="20"/>
                <w:szCs w:val="20"/>
              </w:rPr>
              <w:t>ons, borrowers may seek to reduce the loan size or discontinue borrowings; and</w:t>
            </w:r>
          </w:p>
        </w:tc>
      </w:tr>
      <w:tr w:rsidR="00000000" w14:paraId="15CE5913" w14:textId="77777777">
        <w:trPr>
          <w:divId w:val="98525094"/>
          <w:trHeight w:val="225"/>
          <w:tblCellSpacing w:w="15" w:type="dxa"/>
        </w:trPr>
        <w:tc>
          <w:tcPr>
            <w:tcW w:w="0" w:type="auto"/>
            <w:vAlign w:val="center"/>
            <w:hideMark/>
          </w:tcPr>
          <w:p w14:paraId="31EF8FE8"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4E708FD9"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4F4B4622" w14:textId="77777777" w:rsidR="00000000" w:rsidRDefault="00EB4933">
            <w:pPr>
              <w:pStyle w:val="NormalWeb"/>
              <w:spacing w:before="0" w:beforeAutospacing="0" w:after="0" w:afterAutospacing="0"/>
              <w:rPr>
                <w:sz w:val="20"/>
                <w:szCs w:val="20"/>
              </w:rPr>
            </w:pPr>
            <w:r>
              <w:rPr>
                <w:sz w:val="20"/>
                <w:szCs w:val="20"/>
              </w:rPr>
              <w:t> </w:t>
            </w:r>
          </w:p>
        </w:tc>
      </w:tr>
      <w:tr w:rsidR="00000000" w14:paraId="3774A1A6" w14:textId="77777777">
        <w:trPr>
          <w:divId w:val="98525094"/>
          <w:trHeight w:val="225"/>
          <w:tblCellSpacing w:w="15" w:type="dxa"/>
        </w:trPr>
        <w:tc>
          <w:tcPr>
            <w:tcW w:w="0" w:type="auto"/>
            <w:vAlign w:val="center"/>
            <w:hideMark/>
          </w:tcPr>
          <w:p w14:paraId="283BF5C3"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1F4FF4BC"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596CA14B" w14:textId="77777777" w:rsidR="00000000" w:rsidRDefault="00EB4933">
            <w:pPr>
              <w:rPr>
                <w:rFonts w:eastAsia="Times New Roman"/>
                <w:sz w:val="20"/>
                <w:szCs w:val="20"/>
              </w:rPr>
            </w:pPr>
            <w:r>
              <w:rPr>
                <w:rFonts w:eastAsia="Times New Roman"/>
                <w:sz w:val="20"/>
                <w:szCs w:val="20"/>
              </w:rPr>
              <w:t>financing and other sources of liquidity may not be available on reasonable terms or at all.</w:t>
            </w:r>
          </w:p>
        </w:tc>
      </w:tr>
    </w:tbl>
    <w:p w14:paraId="106A2A42"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53E3EE5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These risks may be exacerbated in the event of a prolonged economic downturn or financial crisis. </w:t>
      </w:r>
    </w:p>
    <w:p w14:paraId="6A3C04BA"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B8E5473"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A severe and prolonged global economic recession and the s</w:t>
      </w:r>
      <w:r>
        <w:rPr>
          <w:rStyle w:val="Emphasis"/>
          <w:b/>
          <w:bCs/>
          <w:sz w:val="20"/>
          <w:szCs w:val="20"/>
        </w:rPr>
        <w:t xml:space="preserve">lowdown in the Chinese economy may adversely affect our business, results of operations and financial condition. </w:t>
      </w:r>
    </w:p>
    <w:p w14:paraId="3E4A8370"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lastRenderedPageBreak/>
        <w:t> </w:t>
      </w:r>
    </w:p>
    <w:p w14:paraId="4BA13A5A"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growth of the Chinese economy has slowed down since 2012 compared to the previous decade and the trend may continue. According to the Na</w:t>
      </w:r>
      <w:r>
        <w:rPr>
          <w:sz w:val="20"/>
          <w:szCs w:val="20"/>
        </w:rPr>
        <w:t>tional Bureau of Statistics of China, China’s gross domestic product (GDP) growth was 6.1% in 2019. There is considerable uncertainty over the long-term effects of the monetary and fiscal policies adopted by the central banks and financial authorities of s</w:t>
      </w:r>
      <w:r>
        <w:rPr>
          <w:sz w:val="20"/>
          <w:szCs w:val="20"/>
        </w:rPr>
        <w:t xml:space="preserve">ome of the world’s leading economies, including the United States and China. In addition, there have also been concerns on the relationship between China and the U.S. following rounds of tariffs imposed by the U.S and retaliatory tariffs imposed by China. </w:t>
      </w:r>
      <w:r>
        <w:rPr>
          <w:sz w:val="20"/>
          <w:szCs w:val="20"/>
        </w:rPr>
        <w:t>It is unclear whether these challenges and uncertainties will be contained or resolved, and what effects they may have on the global political and economic conditions in the long term. Economic conditions in China are sensitive to global economic condition</w:t>
      </w:r>
      <w:r>
        <w:rPr>
          <w:sz w:val="20"/>
          <w:szCs w:val="20"/>
        </w:rPr>
        <w:t>s, as well as changes in domestic economic and political policies and the expected or perceived overall economic growth rate in China. Any prolonged slowdown in the global or Chinese economy may have a negative impact on our business, results of operations</w:t>
      </w:r>
      <w:r>
        <w:rPr>
          <w:sz w:val="20"/>
          <w:szCs w:val="20"/>
        </w:rPr>
        <w:t xml:space="preserve"> and financial condition, and continued turbulence in the international markets may adversely affect our ability to access the capital markets to meet liquidity needs. Our customers may reduce or delay their borrowings, while we may have difficulty expandi</w:t>
      </w:r>
      <w:r>
        <w:rPr>
          <w:sz w:val="20"/>
          <w:szCs w:val="20"/>
        </w:rPr>
        <w:t>ng our borrowers fast enough, or at all, to offset the impact of decreased loans. In addition, to the extent borrowers’ experiences financial difficulties due to the economic slowdown, we could have difficulty collecting payment from the borrower.</w:t>
      </w:r>
    </w:p>
    <w:p w14:paraId="0348604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AA2EFAC"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An adverse changes in political policies of the PRC government could negatively impact China’s overall economic growth, which could materially adversely affect our business.</w:t>
      </w:r>
    </w:p>
    <w:p w14:paraId="27D1457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262EEF8"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are a holding company and all of our operations are entirely conducted in the</w:t>
      </w:r>
      <w:r>
        <w:rPr>
          <w:sz w:val="20"/>
          <w:szCs w:val="20"/>
        </w:rPr>
        <w:t xml:space="preserve"> PRC. China’s economy differs from the economies of most other countries in many respects, including the amount of government involvement in the economy, the general level of economic development, growth rates and government control of foreign exchange and</w:t>
      </w:r>
      <w:r>
        <w:rPr>
          <w:sz w:val="20"/>
          <w:szCs w:val="20"/>
        </w:rPr>
        <w:t xml:space="preserve"> the allocation of resources. The PRC government exercises significant control over China’s economic growth by allocating resources, controlling the payment of foreign currency-denominated obligations, setting monetary policy and providing preferential tre</w:t>
      </w:r>
      <w:r>
        <w:rPr>
          <w:sz w:val="20"/>
          <w:szCs w:val="20"/>
        </w:rPr>
        <w:t>atment to particular industries or companies. Any actions and policies adopted by the PRC government could negatively impact the Chinese economy, which could materially adversely affect our business.</w:t>
      </w:r>
    </w:p>
    <w:p w14:paraId="48765747"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w:t>
      </w:r>
    </w:p>
    <w:p w14:paraId="7EFF234E"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China moves to liberalize interest rates and deposit rates may create more competition.</w:t>
      </w:r>
    </w:p>
    <w:p w14:paraId="1CFA6E0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E5CFFB4" w14:textId="77777777" w:rsidR="00000000" w:rsidRDefault="00EB4933">
      <w:pPr>
        <w:pStyle w:val="NormalWeb"/>
        <w:spacing w:before="0" w:beforeAutospacing="0" w:after="0" w:afterAutospacing="0"/>
        <w:ind w:firstLine="675"/>
        <w:jc w:val="both"/>
        <w:divId w:val="98525094"/>
        <w:rPr>
          <w:sz w:val="20"/>
          <w:szCs w:val="20"/>
        </w:rPr>
      </w:pPr>
      <w:r>
        <w:rPr>
          <w:sz w:val="20"/>
          <w:szCs w:val="20"/>
        </w:rPr>
        <w:t>China has been slowly liberalizing its interest rate and deposit rate policies to a market driven policy to try to move away from a policy based on artificially impos</w:t>
      </w:r>
      <w:r>
        <w:rPr>
          <w:sz w:val="20"/>
          <w:szCs w:val="20"/>
        </w:rPr>
        <w:t>ed ceiling or floor to a market system policy based market demands for financial services. This marketization of interest rates and deposit rates may result in increased competition from banks and competitors and the narrowing of the interest rate spread f</w:t>
      </w:r>
      <w:r>
        <w:rPr>
          <w:sz w:val="20"/>
          <w:szCs w:val="20"/>
        </w:rPr>
        <w:t>or loan products which may materially adversely affect our business and results of operations.</w:t>
      </w:r>
    </w:p>
    <w:p w14:paraId="60CA7674"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5ED2DDE" w14:textId="77777777">
        <w:trPr>
          <w:divId w:val="98525094"/>
          <w:trHeight w:val="225"/>
          <w:tblCellSpacing w:w="15" w:type="dxa"/>
        </w:trPr>
        <w:tc>
          <w:tcPr>
            <w:tcW w:w="0" w:type="auto"/>
            <w:vAlign w:val="center"/>
            <w:hideMark/>
          </w:tcPr>
          <w:p w14:paraId="522F26B7" w14:textId="77777777" w:rsidR="00000000" w:rsidRDefault="00EB4933">
            <w:pPr>
              <w:rPr>
                <w:rFonts w:eastAsia="Times New Roman"/>
                <w:sz w:val="20"/>
                <w:szCs w:val="20"/>
              </w:rPr>
            </w:pPr>
            <w:r>
              <w:rPr>
                <w:rFonts w:eastAsia="Times New Roman"/>
                <w:sz w:val="20"/>
                <w:szCs w:val="20"/>
              </w:rPr>
              <w:t> </w:t>
            </w:r>
          </w:p>
        </w:tc>
      </w:tr>
      <w:tr w:rsidR="00000000" w14:paraId="1BF3180D" w14:textId="77777777">
        <w:trPr>
          <w:divId w:val="98525094"/>
          <w:trHeight w:val="225"/>
          <w:tblCellSpacing w:w="15" w:type="dxa"/>
        </w:trPr>
        <w:tc>
          <w:tcPr>
            <w:tcW w:w="0" w:type="auto"/>
            <w:tcBorders>
              <w:bottom w:val="single" w:sz="6" w:space="0" w:color="000000"/>
            </w:tcBorders>
            <w:vAlign w:val="center"/>
            <w:hideMark/>
          </w:tcPr>
          <w:p w14:paraId="2705935D" w14:textId="77777777" w:rsidR="00000000" w:rsidRDefault="00EB4933">
            <w:pPr>
              <w:jc w:val="center"/>
              <w:rPr>
                <w:rFonts w:eastAsia="Times New Roman"/>
                <w:sz w:val="20"/>
                <w:szCs w:val="20"/>
              </w:rPr>
            </w:pPr>
            <w:r>
              <w:rPr>
                <w:rFonts w:eastAsia="Times New Roman"/>
                <w:sz w:val="20"/>
                <w:szCs w:val="20"/>
              </w:rPr>
              <w:t>23</w:t>
            </w:r>
          </w:p>
        </w:tc>
      </w:tr>
      <w:tr w:rsidR="00000000" w14:paraId="6FD42E5C" w14:textId="77777777">
        <w:trPr>
          <w:divId w:val="98525094"/>
          <w:trHeight w:val="225"/>
          <w:tblCellSpacing w:w="15" w:type="dxa"/>
        </w:trPr>
        <w:tc>
          <w:tcPr>
            <w:tcW w:w="0" w:type="auto"/>
            <w:vAlign w:val="center"/>
            <w:hideMark/>
          </w:tcPr>
          <w:p w14:paraId="57EE6637" w14:textId="77777777" w:rsidR="00000000" w:rsidRDefault="00EB4933">
            <w:pPr>
              <w:rPr>
                <w:rFonts w:eastAsia="Times New Roman"/>
                <w:sz w:val="20"/>
                <w:szCs w:val="20"/>
              </w:rPr>
            </w:pPr>
          </w:p>
        </w:tc>
      </w:tr>
      <w:tr w:rsidR="00000000" w14:paraId="305B704B" w14:textId="77777777">
        <w:trPr>
          <w:divId w:val="98525094"/>
          <w:trHeight w:val="225"/>
          <w:tblCellSpacing w:w="15" w:type="dxa"/>
        </w:trPr>
        <w:tc>
          <w:tcPr>
            <w:tcW w:w="0" w:type="auto"/>
            <w:vAlign w:val="center"/>
            <w:hideMark/>
          </w:tcPr>
          <w:p w14:paraId="3A036C38" w14:textId="77777777" w:rsidR="00000000" w:rsidRDefault="00EB4933">
            <w:pPr>
              <w:rPr>
                <w:rFonts w:eastAsia="Times New Roman"/>
                <w:sz w:val="20"/>
                <w:szCs w:val="20"/>
              </w:rPr>
            </w:pPr>
            <w:hyperlink r:id="rId83" w:anchor="toc" w:history="1">
              <w:r>
                <w:rPr>
                  <w:rStyle w:val="Hyperlink"/>
                  <w:rFonts w:eastAsia="Times New Roman"/>
                  <w:i/>
                  <w:iCs/>
                  <w:sz w:val="20"/>
                  <w:szCs w:val="20"/>
                </w:rPr>
                <w:t>Table of Contents</w:t>
              </w:r>
            </w:hyperlink>
          </w:p>
        </w:tc>
      </w:tr>
    </w:tbl>
    <w:p w14:paraId="3EEFBFD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E9E9536"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xml:space="preserve">Substantial uncertainties and restrictions with respect to the political and economic policies of the PRC government and PRC laws and regulations could have a significant impact upon the business we may be able to conduct in the PRC and accordingly on the </w:t>
      </w:r>
      <w:r>
        <w:rPr>
          <w:rStyle w:val="Emphasis"/>
          <w:b/>
          <w:bCs/>
          <w:sz w:val="20"/>
          <w:szCs w:val="20"/>
        </w:rPr>
        <w:t>results of our operations and financial condition.</w:t>
      </w:r>
    </w:p>
    <w:p w14:paraId="74CEFBC0"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39CEB5D"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business operations may be adversely affected by the current and future political environment in the PRC. The Chinese government exerts substantial influence and control over the manner in which we m</w:t>
      </w:r>
      <w:r>
        <w:rPr>
          <w:sz w:val="20"/>
          <w:szCs w:val="20"/>
        </w:rPr>
        <w:t>ust conduct our business activities. Our ability to operate in China may be adversely affected by changes in Chinese laws and regulations. Under the current government leadership, the government of the PRC has been pursuing economic reform policies that en</w:t>
      </w:r>
      <w:r>
        <w:rPr>
          <w:sz w:val="20"/>
          <w:szCs w:val="20"/>
        </w:rPr>
        <w:t>courage private economic activities and greater economic decentralization. However, the government of the PRC may not continue to pursue these policies, or may significantly alter these policies from time to time without notice.</w:t>
      </w:r>
    </w:p>
    <w:p w14:paraId="75FE16F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FC2F252"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There are substantial unc</w:t>
      </w:r>
      <w:r>
        <w:rPr>
          <w:sz w:val="20"/>
          <w:szCs w:val="20"/>
        </w:rPr>
        <w:t xml:space="preserve">ertainties regarding the interpretation and application of PRC laws and regulations, including, but not limited to, the laws and regulations governing our business, or the enforcement and performance of </w:t>
      </w:r>
      <w:r>
        <w:rPr>
          <w:sz w:val="20"/>
          <w:szCs w:val="20"/>
        </w:rPr>
        <w:lastRenderedPageBreak/>
        <w:t>our arrangements with borrowers in the event of the i</w:t>
      </w:r>
      <w:r>
        <w:rPr>
          <w:sz w:val="20"/>
          <w:szCs w:val="20"/>
        </w:rPr>
        <w:t>mposition of statutory liens, death, bankruptcy or criminal proceedings. Only after 1979 did the Chinese government begin to promulgate a comprehensive system of laws that regulate economic affairs in general, deal with economic matters such as foreign inv</w:t>
      </w:r>
      <w:r>
        <w:rPr>
          <w:sz w:val="20"/>
          <w:szCs w:val="20"/>
        </w:rPr>
        <w:t>estment, corporate organization and governance, commerce, taxation and trade, as well as encourage foreign investment in China. Although the influence of the law has been increasing, China has not developed a fully integrated legal system and recently enac</w:t>
      </w:r>
      <w:r>
        <w:rPr>
          <w:sz w:val="20"/>
          <w:szCs w:val="20"/>
        </w:rPr>
        <w:t>ted laws and regulations may not sufficiently cover all aspects of economic activities in China. Also, because these laws and regulations are relatively new, and because of the limited volume of published cases and judicial interpretation and their lack of</w:t>
      </w:r>
      <w:r>
        <w:rPr>
          <w:sz w:val="20"/>
          <w:szCs w:val="20"/>
        </w:rPr>
        <w:t xml:space="preserve"> force as precedents, interpretation and enforcement of these laws and regulations involve significant uncertainties. New laws and regulations that affect existing and proposed future businesses may also be applied retroactively. In addition, there have be</w:t>
      </w:r>
      <w:r>
        <w:rPr>
          <w:sz w:val="20"/>
          <w:szCs w:val="20"/>
        </w:rPr>
        <w:t xml:space="preserve">en constant changes and amendments of laws and regulations over the past 30 years in order to keep up with the rapidly changing society and economy in China. Because government agencies and courts provide interpretations of laws and regulations and decide </w:t>
      </w:r>
      <w:r>
        <w:rPr>
          <w:sz w:val="20"/>
          <w:szCs w:val="20"/>
        </w:rPr>
        <w:t xml:space="preserve">contractual disputes and issues, their inexperience in adjudicating new business and new polices or regulations in certain less developed areas causes uncertainty and may affect our business. Consequently, we cannot clearly foresee the future direction of </w:t>
      </w:r>
      <w:r>
        <w:rPr>
          <w:sz w:val="20"/>
          <w:szCs w:val="20"/>
        </w:rPr>
        <w:t>Chinese legislative activities with respect to either businesses with foreign investment or the effectiveness on enforcement of laws and regulations in China. The uncertainties, including new laws and regulations and changes of existing laws, as well as ju</w:t>
      </w:r>
      <w:r>
        <w:rPr>
          <w:sz w:val="20"/>
          <w:szCs w:val="20"/>
        </w:rPr>
        <w:t>dicial interpretation by inexperienced officials in the agencies and courts in certain areas, may cause possible problems to foreign investors.</w:t>
      </w:r>
    </w:p>
    <w:p w14:paraId="64D6F47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56CD69E"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Second Session of the Thirteen National People’s Congress of the People’s Republic of China voted to adopt</w:t>
      </w:r>
      <w:r>
        <w:rPr>
          <w:sz w:val="20"/>
          <w:szCs w:val="20"/>
        </w:rPr>
        <w:t xml:space="preserve"> the </w:t>
      </w:r>
      <w:r>
        <w:rPr>
          <w:rStyle w:val="Emphasis"/>
          <w:sz w:val="20"/>
          <w:szCs w:val="20"/>
        </w:rPr>
        <w:t xml:space="preserve">Foreign Investment Law of the People’s Republic of China (“the Foreign Investment Law”) </w:t>
      </w:r>
      <w:r>
        <w:rPr>
          <w:sz w:val="20"/>
          <w:szCs w:val="20"/>
        </w:rPr>
        <w:t>on March 15, 2019 which shall come into effective as of January 1, 2020. The current three major foreign investment laws (the Sino-Foreign Equity Joint Venture Law</w:t>
      </w:r>
      <w:r>
        <w:rPr>
          <w:sz w:val="20"/>
          <w:szCs w:val="20"/>
        </w:rPr>
        <w:t>, Sino-Foreign Cooperative Joint Venture Law and Wholly Foreign Owned Enterprise Law) shall be replaced by the Foreign Investment Law on January 1, 2020.</w:t>
      </w:r>
    </w:p>
    <w:p w14:paraId="5B722205"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490039D"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Foreign Investment Law “Law” expressly stipulated that “the State protects foreign investors’ in</w:t>
      </w:r>
      <w:r>
        <w:rPr>
          <w:sz w:val="20"/>
          <w:szCs w:val="20"/>
        </w:rPr>
        <w:t>vestment, earnings and other legitimate rights and interests within the territory of China pursuant to the present Law”; “foreign investors may, according to the present Law, freely remit into or out of China, in Renminbi or any other foreign currency, the</w:t>
      </w:r>
      <w:r>
        <w:rPr>
          <w:sz w:val="20"/>
          <w:szCs w:val="20"/>
        </w:rPr>
        <w:t>ir contributions, profits, capital gains, income from asset proposal, intellectual property royalties, lawfully acquired compensation, indemnity or liquidation income and so on within the territory of China”; “Foreign investors shall not invest in any fiel</w:t>
      </w:r>
      <w:r>
        <w:rPr>
          <w:sz w:val="20"/>
          <w:szCs w:val="20"/>
        </w:rPr>
        <w:t xml:space="preserve">d with investment prohibited by the negative list for foreign investment access. Foreign investors shall meet the investment conditions stipulated under the negative list for any field with investment restricted by the negative list for foreign investment </w:t>
      </w:r>
      <w:r>
        <w:rPr>
          <w:sz w:val="20"/>
          <w:szCs w:val="20"/>
        </w:rPr>
        <w:t>access”; “In formulating normative documents concerning foreign investment, the people’s governments at all levels and their departments concerned shall comply with laws and regulations, and if there are no laws or administrative regulations to serve as th</w:t>
      </w:r>
      <w:r>
        <w:rPr>
          <w:sz w:val="20"/>
          <w:szCs w:val="20"/>
        </w:rPr>
        <w:t>e basis, they shall not impair foreign-funded enterprises’ legitimate rights and interests or increase their obligations, set any market access and exit conditions, or intervene the normal production and operation activities of any foreign-funded enterpris</w:t>
      </w:r>
      <w:r>
        <w:rPr>
          <w:sz w:val="20"/>
          <w:szCs w:val="20"/>
        </w:rPr>
        <w:t xml:space="preserve">e.” </w:t>
      </w:r>
    </w:p>
    <w:p w14:paraId="63E78A28"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54EF913" w14:textId="77777777">
        <w:trPr>
          <w:divId w:val="98525094"/>
          <w:trHeight w:val="225"/>
          <w:tblCellSpacing w:w="15" w:type="dxa"/>
        </w:trPr>
        <w:tc>
          <w:tcPr>
            <w:tcW w:w="0" w:type="auto"/>
            <w:vAlign w:val="center"/>
            <w:hideMark/>
          </w:tcPr>
          <w:p w14:paraId="44ABFE7E" w14:textId="77777777" w:rsidR="00000000" w:rsidRDefault="00EB4933">
            <w:pPr>
              <w:rPr>
                <w:rFonts w:eastAsia="Times New Roman"/>
                <w:sz w:val="20"/>
                <w:szCs w:val="20"/>
              </w:rPr>
            </w:pPr>
            <w:r>
              <w:rPr>
                <w:rFonts w:eastAsia="Times New Roman"/>
                <w:sz w:val="20"/>
                <w:szCs w:val="20"/>
              </w:rPr>
              <w:t> </w:t>
            </w:r>
          </w:p>
        </w:tc>
      </w:tr>
      <w:tr w:rsidR="00000000" w14:paraId="0ED5929C" w14:textId="77777777">
        <w:trPr>
          <w:divId w:val="98525094"/>
          <w:trHeight w:val="225"/>
          <w:tblCellSpacing w:w="15" w:type="dxa"/>
        </w:trPr>
        <w:tc>
          <w:tcPr>
            <w:tcW w:w="0" w:type="auto"/>
            <w:tcBorders>
              <w:bottom w:val="single" w:sz="6" w:space="0" w:color="000000"/>
            </w:tcBorders>
            <w:vAlign w:val="center"/>
            <w:hideMark/>
          </w:tcPr>
          <w:p w14:paraId="11B60474" w14:textId="77777777" w:rsidR="00000000" w:rsidRDefault="00EB4933">
            <w:pPr>
              <w:jc w:val="center"/>
              <w:rPr>
                <w:rFonts w:eastAsia="Times New Roman"/>
                <w:sz w:val="20"/>
                <w:szCs w:val="20"/>
              </w:rPr>
            </w:pPr>
            <w:r>
              <w:rPr>
                <w:rFonts w:eastAsia="Times New Roman"/>
                <w:sz w:val="20"/>
                <w:szCs w:val="20"/>
              </w:rPr>
              <w:t>24</w:t>
            </w:r>
          </w:p>
        </w:tc>
      </w:tr>
      <w:tr w:rsidR="00000000" w14:paraId="15FAE2D0" w14:textId="77777777">
        <w:trPr>
          <w:divId w:val="98525094"/>
          <w:trHeight w:val="225"/>
          <w:tblCellSpacing w:w="15" w:type="dxa"/>
        </w:trPr>
        <w:tc>
          <w:tcPr>
            <w:tcW w:w="0" w:type="auto"/>
            <w:vAlign w:val="center"/>
            <w:hideMark/>
          </w:tcPr>
          <w:p w14:paraId="3266348D" w14:textId="77777777" w:rsidR="00000000" w:rsidRDefault="00EB4933">
            <w:pPr>
              <w:rPr>
                <w:rFonts w:eastAsia="Times New Roman"/>
                <w:sz w:val="20"/>
                <w:szCs w:val="20"/>
              </w:rPr>
            </w:pPr>
          </w:p>
        </w:tc>
      </w:tr>
      <w:tr w:rsidR="00000000" w14:paraId="152D2EF9" w14:textId="77777777">
        <w:trPr>
          <w:divId w:val="98525094"/>
          <w:trHeight w:val="225"/>
          <w:tblCellSpacing w:w="15" w:type="dxa"/>
        </w:trPr>
        <w:tc>
          <w:tcPr>
            <w:tcW w:w="0" w:type="auto"/>
            <w:vAlign w:val="center"/>
            <w:hideMark/>
          </w:tcPr>
          <w:p w14:paraId="54DBF404" w14:textId="77777777" w:rsidR="00000000" w:rsidRDefault="00EB4933">
            <w:pPr>
              <w:rPr>
                <w:rFonts w:eastAsia="Times New Roman"/>
                <w:sz w:val="20"/>
                <w:szCs w:val="20"/>
              </w:rPr>
            </w:pPr>
            <w:hyperlink r:id="rId84" w:anchor="toc" w:history="1">
              <w:r>
                <w:rPr>
                  <w:rStyle w:val="Hyperlink"/>
                  <w:rFonts w:eastAsia="Times New Roman"/>
                  <w:i/>
                  <w:iCs/>
                  <w:sz w:val="20"/>
                  <w:szCs w:val="20"/>
                </w:rPr>
                <w:t>Table of Contents</w:t>
              </w:r>
            </w:hyperlink>
          </w:p>
        </w:tc>
      </w:tr>
    </w:tbl>
    <w:p w14:paraId="016FC10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74DEB36" w14:textId="77777777" w:rsidR="00000000" w:rsidRDefault="00EB4933">
      <w:pPr>
        <w:pStyle w:val="NormalWeb"/>
        <w:spacing w:before="0" w:beforeAutospacing="0" w:after="0" w:afterAutospacing="0"/>
        <w:ind w:firstLine="675"/>
        <w:jc w:val="both"/>
        <w:divId w:val="98525094"/>
        <w:rPr>
          <w:sz w:val="20"/>
          <w:szCs w:val="20"/>
        </w:rPr>
      </w:pPr>
      <w:r>
        <w:rPr>
          <w:sz w:val="20"/>
          <w:szCs w:val="20"/>
        </w:rPr>
        <w:t>It is unclear how the Foreign Investment Law will be implemented in practice by the PRC government authorities. Comparing with the Draft Foreign Investment Law of the People’s Republic of China published in 2015, the Foreign Investment Law does not include</w:t>
      </w:r>
      <w:r>
        <w:rPr>
          <w:sz w:val="20"/>
          <w:szCs w:val="20"/>
        </w:rPr>
        <w:t xml:space="preserve"> the following expression of ‘control or acquire equities of an enterprise within the territory of China through contractual arrangements, including but not limited to contracts and trust agreements. Whether the offshore companies controlled by the PRC inv</w:t>
      </w:r>
      <w:r>
        <w:rPr>
          <w:sz w:val="20"/>
          <w:szCs w:val="20"/>
        </w:rPr>
        <w:t>estors through VIE structure be deemed as foreign investment remains to be seen.</w:t>
      </w:r>
    </w:p>
    <w:p w14:paraId="4345482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53ED63FE"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Our microfinance business is subject to extensive regulation and supervision by state, provincial and local government authorities, which may interfere with the way we condu</w:t>
      </w:r>
      <w:r>
        <w:rPr>
          <w:rStyle w:val="Emphasis"/>
          <w:b/>
          <w:bCs/>
          <w:sz w:val="20"/>
          <w:szCs w:val="20"/>
        </w:rPr>
        <w:t>ct our business and may negatively impact our financial results.</w:t>
      </w:r>
      <w:r>
        <w:rPr>
          <w:sz w:val="20"/>
          <w:szCs w:val="20"/>
        </w:rPr>
        <w:t xml:space="preserve"> </w:t>
      </w:r>
    </w:p>
    <w:p w14:paraId="5521FC16"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3D0B8A7"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 xml:space="preserve">We are subject to extensive and complex state, provincial and local laws, rules and regulations with regard to our loan operations, capital structure, and allowance for loan losses, among </w:t>
      </w:r>
      <w:r>
        <w:rPr>
          <w:sz w:val="20"/>
          <w:szCs w:val="20"/>
        </w:rPr>
        <w:t xml:space="preserve">other things. These laws, rules and regulations are issued by different central government ministries and departments, provincial and local governments while enforced by different local authorities. </w:t>
      </w:r>
    </w:p>
    <w:p w14:paraId="49489E48"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1ED122B"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addition, it is not clear whether microfinance comp</w:t>
      </w:r>
      <w:r>
        <w:rPr>
          <w:sz w:val="20"/>
          <w:szCs w:val="20"/>
        </w:rPr>
        <w:t>anies are subject to certain banking regulations that the state-owned and commercial banks are subject to, including the regulation with regard to loan loss reserves. Therefore the interpretation and implementation of such laws, rules and regulations may n</w:t>
      </w:r>
      <w:r>
        <w:rPr>
          <w:sz w:val="20"/>
          <w:szCs w:val="20"/>
        </w:rPr>
        <w:t>ot be clear and occasionally we have to depend on oral inquiries with local government authorities. As a result of the complexity, uncertainties and constant changes in these laws, rules and regulations, including changes in interpretation and implementati</w:t>
      </w:r>
      <w:r>
        <w:rPr>
          <w:sz w:val="20"/>
          <w:szCs w:val="20"/>
        </w:rPr>
        <w:t>on of such, our business activities and growth may be adversely affected if we do not respond to the changes in a timely manner or are found to be in violation of the applicable laws, regulations and policies as a result of a different position from ours t</w:t>
      </w:r>
      <w:r>
        <w:rPr>
          <w:sz w:val="20"/>
          <w:szCs w:val="20"/>
        </w:rPr>
        <w:t xml:space="preserve">aken by the competent authority in the interpretation of such applicable laws, regulations and policies. If we were found not to be in compliance with these laws and regulations, we may be subject to sanctions by regulatory authorities, monetary penalties </w:t>
      </w:r>
      <w:r>
        <w:rPr>
          <w:sz w:val="20"/>
          <w:szCs w:val="20"/>
        </w:rPr>
        <w:t>and/or reputation damage, which could have a material adverse effect on our business operation and profitability.</w:t>
      </w:r>
    </w:p>
    <w:p w14:paraId="7EDE9F35"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848E2C3" w14:textId="77777777">
        <w:trPr>
          <w:divId w:val="98525094"/>
          <w:trHeight w:val="225"/>
          <w:tblCellSpacing w:w="15" w:type="dxa"/>
        </w:trPr>
        <w:tc>
          <w:tcPr>
            <w:tcW w:w="0" w:type="auto"/>
            <w:vAlign w:val="center"/>
            <w:hideMark/>
          </w:tcPr>
          <w:p w14:paraId="3D8EBF2C" w14:textId="77777777" w:rsidR="00000000" w:rsidRDefault="00EB4933">
            <w:pPr>
              <w:rPr>
                <w:rFonts w:eastAsia="Times New Roman"/>
                <w:sz w:val="20"/>
                <w:szCs w:val="20"/>
              </w:rPr>
            </w:pPr>
            <w:r>
              <w:rPr>
                <w:rFonts w:eastAsia="Times New Roman"/>
                <w:sz w:val="20"/>
                <w:szCs w:val="20"/>
              </w:rPr>
              <w:t> </w:t>
            </w:r>
          </w:p>
        </w:tc>
      </w:tr>
      <w:tr w:rsidR="00000000" w14:paraId="43B95D35" w14:textId="77777777">
        <w:trPr>
          <w:divId w:val="98525094"/>
          <w:trHeight w:val="225"/>
          <w:tblCellSpacing w:w="15" w:type="dxa"/>
        </w:trPr>
        <w:tc>
          <w:tcPr>
            <w:tcW w:w="0" w:type="auto"/>
            <w:tcBorders>
              <w:bottom w:val="single" w:sz="6" w:space="0" w:color="000000"/>
            </w:tcBorders>
            <w:vAlign w:val="center"/>
            <w:hideMark/>
          </w:tcPr>
          <w:p w14:paraId="0F301C46" w14:textId="77777777" w:rsidR="00000000" w:rsidRDefault="00EB4933">
            <w:pPr>
              <w:jc w:val="center"/>
              <w:rPr>
                <w:rFonts w:eastAsia="Times New Roman"/>
                <w:sz w:val="20"/>
                <w:szCs w:val="20"/>
              </w:rPr>
            </w:pPr>
            <w:r>
              <w:rPr>
                <w:rFonts w:eastAsia="Times New Roman"/>
                <w:sz w:val="20"/>
                <w:szCs w:val="20"/>
              </w:rPr>
              <w:t>25</w:t>
            </w:r>
          </w:p>
        </w:tc>
      </w:tr>
      <w:tr w:rsidR="00000000" w14:paraId="6E276E97" w14:textId="77777777">
        <w:trPr>
          <w:divId w:val="98525094"/>
          <w:trHeight w:val="225"/>
          <w:tblCellSpacing w:w="15" w:type="dxa"/>
        </w:trPr>
        <w:tc>
          <w:tcPr>
            <w:tcW w:w="0" w:type="auto"/>
            <w:vAlign w:val="center"/>
            <w:hideMark/>
          </w:tcPr>
          <w:p w14:paraId="39398170" w14:textId="77777777" w:rsidR="00000000" w:rsidRDefault="00EB4933">
            <w:pPr>
              <w:rPr>
                <w:rFonts w:eastAsia="Times New Roman"/>
                <w:sz w:val="20"/>
                <w:szCs w:val="20"/>
              </w:rPr>
            </w:pPr>
          </w:p>
        </w:tc>
      </w:tr>
      <w:tr w:rsidR="00000000" w14:paraId="6A8DDD94" w14:textId="77777777">
        <w:trPr>
          <w:divId w:val="98525094"/>
          <w:trHeight w:val="225"/>
          <w:tblCellSpacing w:w="15" w:type="dxa"/>
        </w:trPr>
        <w:tc>
          <w:tcPr>
            <w:tcW w:w="0" w:type="auto"/>
            <w:vAlign w:val="center"/>
            <w:hideMark/>
          </w:tcPr>
          <w:p w14:paraId="79CA8CF0" w14:textId="77777777" w:rsidR="00000000" w:rsidRDefault="00EB4933">
            <w:pPr>
              <w:rPr>
                <w:rFonts w:eastAsia="Times New Roman"/>
                <w:sz w:val="20"/>
                <w:szCs w:val="20"/>
              </w:rPr>
            </w:pPr>
            <w:hyperlink r:id="rId85" w:anchor="toc" w:history="1">
              <w:r>
                <w:rPr>
                  <w:rStyle w:val="Hyperlink"/>
                  <w:rFonts w:eastAsia="Times New Roman"/>
                  <w:i/>
                  <w:iCs/>
                  <w:sz w:val="20"/>
                  <w:szCs w:val="20"/>
                </w:rPr>
                <w:t>Table of Contents</w:t>
              </w:r>
            </w:hyperlink>
          </w:p>
        </w:tc>
      </w:tr>
    </w:tbl>
    <w:p w14:paraId="5F7A637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5477B63"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Fluctuations in the foreign currency exchange rate between U.S. Dollars and Renminbi could adversely affect our financial condition.</w:t>
      </w:r>
    </w:p>
    <w:p w14:paraId="52558205"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569D9CD"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value of the RMB against the U.S. dollar and other currencies may fluctuate. Exchange rates are affected by, among ot</w:t>
      </w:r>
      <w:r>
        <w:rPr>
          <w:sz w:val="20"/>
          <w:szCs w:val="20"/>
        </w:rPr>
        <w:t>her things, changes in political and economic conditions and the foreign exchange policy adopted by the PRC government. On July 21, 2005, the PRC government changed its policy of pegging the value of the RMB to the U.S. dollar. Under the new policy, the RM</w:t>
      </w:r>
      <w:r>
        <w:rPr>
          <w:sz w:val="20"/>
          <w:szCs w:val="20"/>
        </w:rPr>
        <w:t>B is permitted to fluctuate within a narrow and managed band against a basket of foreign currencies. Following the removal of the U.S. dollar peg, the RMB appreciated more than 20% against the U.S. dollar over three years. From July 2008 until June 2010, h</w:t>
      </w:r>
      <w:r>
        <w:rPr>
          <w:sz w:val="20"/>
          <w:szCs w:val="20"/>
        </w:rPr>
        <w:t xml:space="preserve">owever, the RMB traded stably within a narrow range against the U.S. dollar. There remains significant international pressure on the PRC government to adopt a more flexible currency policy, which could result in a further and more significant appreciation </w:t>
      </w:r>
      <w:r>
        <w:rPr>
          <w:sz w:val="20"/>
          <w:szCs w:val="20"/>
        </w:rPr>
        <w:t>of the RMB against foreign currencies. On June 20, 2010, the PBOC announced that the PRC government would reform the RMB exchange rate regime and increase the flexibility of the exchange rate. On August 11, 2015, the PBOC led central parity quoting banks t</w:t>
      </w:r>
      <w:r>
        <w:rPr>
          <w:sz w:val="20"/>
          <w:szCs w:val="20"/>
        </w:rPr>
        <w:t xml:space="preserve">o further improve the formation mechanism of the RMB against the US dollar, indicating that the central parity quoting price shall be decided with reference to the closing price on the previous trading day. On December 11, 2015, the China Foreign Exchange </w:t>
      </w:r>
      <w:r>
        <w:rPr>
          <w:sz w:val="20"/>
          <w:szCs w:val="20"/>
        </w:rPr>
        <w:t>Trade System launched the RMB exchange-rate index, which strengthened the reference to a currency basket to better maintain the stability of the RMB exchange rate against the currencies in the basket. As a result, the CNY/USD central parity formation mecha</w:t>
      </w:r>
      <w:r>
        <w:rPr>
          <w:sz w:val="20"/>
          <w:szCs w:val="20"/>
        </w:rPr>
        <w:t>nism of “closing rate + exchange-rate movements of a basket of currencies” was developed. In June 2016, the Foreign Exchange Self-Disciplinary Mechanism was established, allowing financial institutions to play a more important role in maintaining orderly o</w:t>
      </w:r>
      <w:r>
        <w:rPr>
          <w:sz w:val="20"/>
          <w:szCs w:val="20"/>
        </w:rPr>
        <w:t xml:space="preserve">perations in the foreign-exchange market and in an environment for fair competition. In February 2017, the Foreign Exchange Self-Disciplinary Mechanism adjusted the reference period for the central parity against the currency basket from 24 hours ahead of </w:t>
      </w:r>
      <w:r>
        <w:rPr>
          <w:sz w:val="20"/>
          <w:szCs w:val="20"/>
        </w:rPr>
        <w:t>submitting the quotes to 15 hours between the closing on the previous trading day and the submission of the quotes, which avoided repeated references to the daily movements of the USD exchange rate in the central parity of the following day. In general, th</w:t>
      </w:r>
      <w:r>
        <w:rPr>
          <w:sz w:val="20"/>
          <w:szCs w:val="20"/>
        </w:rPr>
        <w:t>e RMB exchange-rate central parity formation mechanism has been improving, which has effectively improved the rule-based, transparent, and market-oriented nature of RMB exchange-rate policies and has played an active role in stabilizing exchange-rate expec</w:t>
      </w:r>
      <w:r>
        <w:rPr>
          <w:sz w:val="20"/>
          <w:szCs w:val="20"/>
        </w:rPr>
        <w:t xml:space="preserve">tations. The flexibility of the RMB exchange rate against the US dollar was further strengthened, exhibiting larger two-way fluctuations. We cannot predict how this new policy and mechanism will impact the RMB exchange rate. </w:t>
      </w:r>
    </w:p>
    <w:p w14:paraId="38D55B1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C14AED0"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revenues and costs are m</w:t>
      </w:r>
      <w:r>
        <w:rPr>
          <w:sz w:val="20"/>
          <w:szCs w:val="20"/>
        </w:rPr>
        <w:t>ostly denominated in the RMB, and a significant portion of our financial assets are also denominated in the RMB. Any significant fluctuations in the exchange rate between the RMB and the U.S. dollar may materially adversely affect our cash flows, revenues,</w:t>
      </w:r>
      <w:r>
        <w:rPr>
          <w:sz w:val="20"/>
          <w:szCs w:val="20"/>
        </w:rPr>
        <w:t xml:space="preserve"> earnings and financial position, and the amount of </w:t>
      </w:r>
      <w:r>
        <w:rPr>
          <w:sz w:val="20"/>
          <w:szCs w:val="20"/>
        </w:rPr>
        <w:lastRenderedPageBreak/>
        <w:t>and any dividends we may pay on our ordinary shares in U.S. dollars. In addition, any fluctuations in the exchange rate between the RMB and the U.S. dollar could result in foreign currency translation los</w:t>
      </w:r>
      <w:r>
        <w:rPr>
          <w:sz w:val="20"/>
          <w:szCs w:val="20"/>
        </w:rPr>
        <w:t>ses for financial reporting purposes.</w:t>
      </w:r>
    </w:p>
    <w:p w14:paraId="70834E8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867AF42"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You may face difficulties in protecting your interests and exercising your rights as a shareholder since we conduct all of our operations in China, and all of our officers and our Chairman reside outside the United S</w:t>
      </w:r>
      <w:r>
        <w:rPr>
          <w:rStyle w:val="Emphasis"/>
          <w:b/>
          <w:bCs/>
          <w:sz w:val="20"/>
          <w:szCs w:val="20"/>
        </w:rPr>
        <w:t>tates.</w:t>
      </w:r>
    </w:p>
    <w:p w14:paraId="3CBB75AE"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E9E740A"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are incorporated in the Cayman Islands and we conduct all of our operations in China through Chutian, our consolidated VIE in China. In addition, all of our officers and our chairman reside outside the United States and substantially all of the</w:t>
      </w:r>
      <w:r>
        <w:rPr>
          <w:sz w:val="20"/>
          <w:szCs w:val="20"/>
        </w:rPr>
        <w:t xml:space="preserve"> assets of those persons are located outside of the United States. As a result, it may be difficult for you to conduct due diligence on the business or attend shareholders meetings if such meetings are held in China. As a result of all of the above, our pu</w:t>
      </w:r>
      <w:r>
        <w:rPr>
          <w:sz w:val="20"/>
          <w:szCs w:val="20"/>
        </w:rPr>
        <w:t>blic shareholders may have more difficulty in protecting their interests through actions against our management, or major shareholders than would shareholders of a corporation doing business entirely or predominantly within the United States.</w:t>
      </w:r>
    </w:p>
    <w:p w14:paraId="1FD6B00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A2CA57D"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Future infl</w:t>
      </w:r>
      <w:r>
        <w:rPr>
          <w:rStyle w:val="Emphasis"/>
          <w:b/>
          <w:bCs/>
          <w:sz w:val="20"/>
          <w:szCs w:val="20"/>
        </w:rPr>
        <w:t>ation in China may inhibit economic activity and adversely affect our operations.</w:t>
      </w:r>
    </w:p>
    <w:p w14:paraId="6DD559D0"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CE3839D"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Chinese economy has experienced periods of rapid expansion in recent years which can lead to high rates of inflation or deflation. This has caused the PRC government to</w:t>
      </w:r>
      <w:r>
        <w:rPr>
          <w:sz w:val="20"/>
          <w:szCs w:val="20"/>
        </w:rPr>
        <w:t>, from time to time, enact various corrective measures designed to restrict the availability of credit or regulate growth and contain inflation. High inflation may in the future cause the PRC government to once again impose controls on credit and/or prices</w:t>
      </w:r>
      <w:r>
        <w:rPr>
          <w:sz w:val="20"/>
          <w:szCs w:val="20"/>
        </w:rPr>
        <w:t>, or to take other action, which could inhibit economic activity in China. Any action on the part of the PRC government that seeks to control credit and/or prices may materially adversely affect our business operations.</w:t>
      </w:r>
    </w:p>
    <w:p w14:paraId="2F3CEC0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05E3106" w14:textId="77777777">
        <w:trPr>
          <w:divId w:val="98525094"/>
          <w:trHeight w:val="225"/>
          <w:tblCellSpacing w:w="15" w:type="dxa"/>
        </w:trPr>
        <w:tc>
          <w:tcPr>
            <w:tcW w:w="0" w:type="auto"/>
            <w:vAlign w:val="center"/>
            <w:hideMark/>
          </w:tcPr>
          <w:p w14:paraId="4F37F27B" w14:textId="77777777" w:rsidR="00000000" w:rsidRDefault="00EB4933">
            <w:pPr>
              <w:rPr>
                <w:rFonts w:eastAsia="Times New Roman"/>
                <w:sz w:val="20"/>
                <w:szCs w:val="20"/>
              </w:rPr>
            </w:pPr>
            <w:r>
              <w:rPr>
                <w:rFonts w:eastAsia="Times New Roman"/>
                <w:sz w:val="20"/>
                <w:szCs w:val="20"/>
              </w:rPr>
              <w:t> </w:t>
            </w:r>
          </w:p>
        </w:tc>
      </w:tr>
      <w:tr w:rsidR="00000000" w14:paraId="0D90E046" w14:textId="77777777">
        <w:trPr>
          <w:divId w:val="98525094"/>
          <w:trHeight w:val="225"/>
          <w:tblCellSpacing w:w="15" w:type="dxa"/>
        </w:trPr>
        <w:tc>
          <w:tcPr>
            <w:tcW w:w="0" w:type="auto"/>
            <w:tcBorders>
              <w:bottom w:val="single" w:sz="6" w:space="0" w:color="000000"/>
            </w:tcBorders>
            <w:vAlign w:val="center"/>
            <w:hideMark/>
          </w:tcPr>
          <w:p w14:paraId="288B92F1" w14:textId="77777777" w:rsidR="00000000" w:rsidRDefault="00EB4933">
            <w:pPr>
              <w:jc w:val="center"/>
              <w:rPr>
                <w:rFonts w:eastAsia="Times New Roman"/>
                <w:sz w:val="20"/>
                <w:szCs w:val="20"/>
              </w:rPr>
            </w:pPr>
            <w:r>
              <w:rPr>
                <w:rFonts w:eastAsia="Times New Roman"/>
                <w:sz w:val="20"/>
                <w:szCs w:val="20"/>
              </w:rPr>
              <w:t>26</w:t>
            </w:r>
          </w:p>
        </w:tc>
      </w:tr>
      <w:tr w:rsidR="00000000" w14:paraId="22BEA4B8" w14:textId="77777777">
        <w:trPr>
          <w:divId w:val="98525094"/>
          <w:trHeight w:val="225"/>
          <w:tblCellSpacing w:w="15" w:type="dxa"/>
        </w:trPr>
        <w:tc>
          <w:tcPr>
            <w:tcW w:w="0" w:type="auto"/>
            <w:vAlign w:val="center"/>
            <w:hideMark/>
          </w:tcPr>
          <w:p w14:paraId="09F8A42A" w14:textId="77777777" w:rsidR="00000000" w:rsidRDefault="00EB4933">
            <w:pPr>
              <w:rPr>
                <w:rFonts w:eastAsia="Times New Roman"/>
                <w:sz w:val="20"/>
                <w:szCs w:val="20"/>
              </w:rPr>
            </w:pPr>
          </w:p>
        </w:tc>
      </w:tr>
      <w:tr w:rsidR="00000000" w14:paraId="5811D43E" w14:textId="77777777">
        <w:trPr>
          <w:divId w:val="98525094"/>
          <w:trHeight w:val="225"/>
          <w:tblCellSpacing w:w="15" w:type="dxa"/>
        </w:trPr>
        <w:tc>
          <w:tcPr>
            <w:tcW w:w="0" w:type="auto"/>
            <w:vAlign w:val="center"/>
            <w:hideMark/>
          </w:tcPr>
          <w:p w14:paraId="06C1E8EF" w14:textId="77777777" w:rsidR="00000000" w:rsidRDefault="00EB4933">
            <w:pPr>
              <w:rPr>
                <w:rFonts w:eastAsia="Times New Roman"/>
                <w:sz w:val="20"/>
                <w:szCs w:val="20"/>
              </w:rPr>
            </w:pPr>
            <w:hyperlink r:id="rId86" w:anchor="toc" w:history="1">
              <w:r>
                <w:rPr>
                  <w:rStyle w:val="Hyperlink"/>
                  <w:rFonts w:eastAsia="Times New Roman"/>
                  <w:i/>
                  <w:iCs/>
                  <w:sz w:val="20"/>
                  <w:szCs w:val="20"/>
                </w:rPr>
                <w:t>Table of Contents</w:t>
              </w:r>
            </w:hyperlink>
          </w:p>
        </w:tc>
      </w:tr>
    </w:tbl>
    <w:p w14:paraId="3F0829F0"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373DA6BE"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PRC regulation of loans to, and direct investments in, PRC entities by offshore holding companies may delay or prevent us from using proceeds from future financing activities to make loans or addi</w:t>
      </w:r>
      <w:r>
        <w:rPr>
          <w:rStyle w:val="Emphasis"/>
          <w:b/>
          <w:bCs/>
          <w:sz w:val="20"/>
          <w:szCs w:val="20"/>
        </w:rPr>
        <w:t>tional capital contributions to our PRC operating subsidiaries.</w:t>
      </w:r>
    </w:p>
    <w:p w14:paraId="53329699"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w:t>
      </w:r>
    </w:p>
    <w:p w14:paraId="56C841AC"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an offshore holding company with PRC subsidiaries, we may transfer funds to our PRC subsidiaries or finance our operating entity by means of shareholder loans or capital contributions. An</w:t>
      </w:r>
      <w:r>
        <w:rPr>
          <w:sz w:val="20"/>
          <w:szCs w:val="20"/>
        </w:rPr>
        <w:t xml:space="preserve">y loans to our PRC subsidiaries, which are foreign-invested enterprises, shall be limited to within the margin between the total investment and registered capital approved by the examination and approval authorities. Within the scope of the aforementioned </w:t>
      </w:r>
      <w:r>
        <w:rPr>
          <w:sz w:val="20"/>
          <w:szCs w:val="20"/>
        </w:rPr>
        <w:t>margin foreign-invested enterprises may voluntarily contract foreign debts. Where the margin is exceeded, the original examination and approval authorities shall re-conduct appraisal and determination of total investment. Such loan shall be registered with</w:t>
      </w:r>
      <w:r>
        <w:rPr>
          <w:sz w:val="20"/>
          <w:szCs w:val="20"/>
        </w:rPr>
        <w:t xml:space="preserve"> SAFE, or its local counterparts. Furthermore, any capital increase contributions we make to our PRC subsidiaries, which are foreign-invested enterprises, shall be subject to record-filing via the Comprehensive Management System of MOFCOM. We may not be ab</w:t>
      </w:r>
      <w:r>
        <w:rPr>
          <w:sz w:val="20"/>
          <w:szCs w:val="20"/>
        </w:rPr>
        <w:t>le to obtain these government registrations or approvals on a timely basis, if at all. If we fail to receive such registrations or approvals, our ability to provide loans or capital increase contributions to our PRC subsidiaries may be negatively affected,</w:t>
      </w:r>
      <w:r>
        <w:rPr>
          <w:sz w:val="20"/>
          <w:szCs w:val="20"/>
        </w:rPr>
        <w:t xml:space="preserve"> which could adversely affect our liquidity and our ability to fund and expand our business.</w:t>
      </w:r>
    </w:p>
    <w:p w14:paraId="5B8C585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2271C24"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addition, SAFE promulgated a Notice on Further Improving and Adjusting the Foreign Exchange Administration Policies on Direct Investments on November 19, 2012</w:t>
      </w:r>
      <w:r>
        <w:rPr>
          <w:sz w:val="20"/>
          <w:szCs w:val="20"/>
        </w:rPr>
        <w:t>, or Circular 59 (</w:t>
      </w:r>
      <w:r>
        <w:rPr>
          <w:rFonts w:ascii="MS Mincho" w:eastAsia="MS Mincho" w:hAnsi="MS Mincho" w:cs="MS Mincho" w:hint="eastAsia"/>
          <w:sz w:val="20"/>
          <w:szCs w:val="20"/>
        </w:rPr>
        <w:t>《国家外</w:t>
      </w:r>
      <w:r>
        <w:rPr>
          <w:rFonts w:ascii="SimSun" w:eastAsia="SimSun" w:hAnsi="SimSun" w:cs="SimSun" w:hint="eastAsia"/>
          <w:sz w:val="20"/>
          <w:szCs w:val="20"/>
        </w:rPr>
        <w:t>汇管理局关于进一步改进和调整直接投资外汇管理政策的通知》（汇发</w:t>
      </w:r>
      <w:r>
        <w:rPr>
          <w:sz w:val="20"/>
          <w:szCs w:val="20"/>
        </w:rPr>
        <w:t>[2012]59</w:t>
      </w:r>
      <w:r>
        <w:rPr>
          <w:rFonts w:ascii="MS Mincho" w:eastAsia="MS Mincho" w:hAnsi="MS Mincho" w:cs="MS Mincho" w:hint="eastAsia"/>
          <w:sz w:val="20"/>
          <w:szCs w:val="20"/>
        </w:rPr>
        <w:t>号））</w:t>
      </w:r>
      <w:r>
        <w:rPr>
          <w:sz w:val="20"/>
          <w:szCs w:val="20"/>
        </w:rPr>
        <w:t>, as amended on May 4, 2015, which requires the authenticity of settlement of net proceeds from offshore offerings to be closely examined and the net proceeds to be settled in the manner descr</w:t>
      </w:r>
      <w:r>
        <w:rPr>
          <w:sz w:val="20"/>
          <w:szCs w:val="20"/>
        </w:rPr>
        <w:t xml:space="preserve">ibed in the offering documents. Furthermore, SAFE promulgated a Notice on Reforming the Administrative Approach Regarding the Settlement of the Foreign Exchange Capitals of Foreign-invested Enterprises, or Circular 19 </w:t>
      </w:r>
      <w:r>
        <w:rPr>
          <w:rFonts w:ascii="MS Mincho" w:eastAsia="MS Mincho" w:hAnsi="MS Mincho" w:cs="MS Mincho" w:hint="eastAsia"/>
          <w:sz w:val="20"/>
          <w:szCs w:val="20"/>
        </w:rPr>
        <w:t>（《国家外</w:t>
      </w:r>
      <w:r>
        <w:rPr>
          <w:rFonts w:ascii="SimSun" w:eastAsia="SimSun" w:hAnsi="SimSun" w:cs="SimSun" w:hint="eastAsia"/>
          <w:sz w:val="20"/>
          <w:szCs w:val="20"/>
        </w:rPr>
        <w:t>汇管理局关于改革外商投资企业外汇资本金结汇管理方式的通知》</w:t>
      </w:r>
      <w:r>
        <w:rPr>
          <w:sz w:val="20"/>
          <w:szCs w:val="20"/>
        </w:rPr>
        <w:t>(</w:t>
      </w:r>
      <w:r>
        <w:rPr>
          <w:rFonts w:ascii="SimSun" w:eastAsia="SimSun" w:hAnsi="SimSun" w:cs="SimSun" w:hint="eastAsia"/>
          <w:sz w:val="20"/>
          <w:szCs w:val="20"/>
        </w:rPr>
        <w:t>汇发</w:t>
      </w:r>
      <w:r>
        <w:rPr>
          <w:sz w:val="20"/>
          <w:szCs w:val="20"/>
        </w:rPr>
        <w:t>[</w:t>
      </w:r>
      <w:r>
        <w:rPr>
          <w:sz w:val="20"/>
          <w:szCs w:val="20"/>
        </w:rPr>
        <w:t>2015]19</w:t>
      </w:r>
      <w:r>
        <w:rPr>
          <w:rFonts w:ascii="MS Mincho" w:eastAsia="MS Mincho" w:hAnsi="MS Mincho" w:cs="MS Mincho" w:hint="eastAsia"/>
          <w:sz w:val="20"/>
          <w:szCs w:val="20"/>
        </w:rPr>
        <w:t>号</w:t>
      </w:r>
      <w:r>
        <w:rPr>
          <w:sz w:val="20"/>
          <w:szCs w:val="20"/>
        </w:rPr>
        <w:t>)</w:t>
      </w:r>
      <w:r>
        <w:rPr>
          <w:rFonts w:ascii="MS Mincho" w:eastAsia="MS Mincho" w:hAnsi="MS Mincho" w:cs="MS Mincho" w:hint="eastAsia"/>
          <w:sz w:val="20"/>
          <w:szCs w:val="20"/>
        </w:rPr>
        <w:t>）</w:t>
      </w:r>
      <w:r>
        <w:rPr>
          <w:sz w:val="20"/>
          <w:szCs w:val="20"/>
        </w:rPr>
        <w:t xml:space="preserve">(partially invalid on December 30, 2019), promulgated on March 30, 2015 and taken effect from June 1, 2015, pursuant to which the foreign-invested enterprises shall be allowed to settle their foreign exchange </w:t>
      </w:r>
      <w:r>
        <w:rPr>
          <w:sz w:val="20"/>
          <w:szCs w:val="20"/>
        </w:rPr>
        <w:lastRenderedPageBreak/>
        <w:t>capitals on a discretionary basis, th</w:t>
      </w:r>
      <w:r>
        <w:rPr>
          <w:sz w:val="20"/>
          <w:szCs w:val="20"/>
        </w:rPr>
        <w:t>e RMB funds obtained by foreign-invested enterprises from the discretionary settlement of their foreign exchange capitals shall be managed under the accounts for foreign exchange settlement pending payment, and a foreign-invested enterprise shall truthfull</w:t>
      </w:r>
      <w:r>
        <w:rPr>
          <w:sz w:val="20"/>
          <w:szCs w:val="20"/>
        </w:rPr>
        <w:t>y use its capital for its own operational purposes within the scope of business and it shall not, unless otherwise prescribed by laws and regulations use the foregoing funds for investment in securities etc. Besides, SAFE further promulgated a Notice on Re</w:t>
      </w:r>
      <w:r>
        <w:rPr>
          <w:sz w:val="20"/>
          <w:szCs w:val="20"/>
        </w:rPr>
        <w:t xml:space="preserve">forming and Standardizing the Administrative Provisions on Capital Account Foreign Exchange Settlement, or Circular 16 </w:t>
      </w:r>
      <w:r>
        <w:rPr>
          <w:rFonts w:ascii="MS Mincho" w:eastAsia="MS Mincho" w:hAnsi="MS Mincho" w:cs="MS Mincho" w:hint="eastAsia"/>
          <w:sz w:val="20"/>
          <w:szCs w:val="20"/>
        </w:rPr>
        <w:t>（《国家外</w:t>
      </w:r>
      <w:r>
        <w:rPr>
          <w:rFonts w:ascii="SimSun" w:eastAsia="SimSun" w:hAnsi="SimSun" w:cs="SimSun" w:hint="eastAsia"/>
          <w:sz w:val="20"/>
          <w:szCs w:val="20"/>
        </w:rPr>
        <w:t>汇管理局关于改革和规范资本项目结汇管理政策的通知》（汇发〔</w:t>
      </w:r>
      <w:r>
        <w:rPr>
          <w:sz w:val="20"/>
          <w:szCs w:val="20"/>
        </w:rPr>
        <w:t>2016</w:t>
      </w:r>
      <w:r>
        <w:rPr>
          <w:rFonts w:ascii="Cambria Math" w:eastAsia="Cambria Math" w:hAnsi="Cambria Math" w:cs="Cambria Math" w:hint="eastAsia"/>
          <w:sz w:val="20"/>
          <w:szCs w:val="20"/>
        </w:rPr>
        <w:t>〕</w:t>
      </w:r>
      <w:r>
        <w:rPr>
          <w:sz w:val="20"/>
          <w:szCs w:val="20"/>
        </w:rPr>
        <w:t>16</w:t>
      </w:r>
      <w:r>
        <w:rPr>
          <w:rFonts w:ascii="MS Mincho" w:eastAsia="MS Mincho" w:hAnsi="MS Mincho" w:cs="MS Mincho" w:hint="eastAsia"/>
          <w:sz w:val="20"/>
          <w:szCs w:val="20"/>
        </w:rPr>
        <w:t>号））</w:t>
      </w:r>
      <w:r>
        <w:rPr>
          <w:sz w:val="20"/>
          <w:szCs w:val="20"/>
        </w:rPr>
        <w:t>, on June 9, 2016, according to which a domestic institution shall use foreign exchange earni</w:t>
      </w:r>
      <w:r>
        <w:rPr>
          <w:sz w:val="20"/>
          <w:szCs w:val="20"/>
        </w:rPr>
        <w:t xml:space="preserve">ngs under capital account within its business scope and in a truthful manner for proprietary purposes and a bank shall not process foreign exchange settlement or payment formalities for a domestic institution that applies for the payment and settlement of </w:t>
      </w:r>
      <w:r>
        <w:rPr>
          <w:sz w:val="20"/>
          <w:szCs w:val="20"/>
        </w:rPr>
        <w:t>all of its foreign exchange earnings under capital account in one lump-sum or the payment of all RMB funds in its Account for Foreign Exchange Settlement Pending Payment, if the domestic institution is unable to provide relevant materials in proof of trans</w:t>
      </w:r>
      <w:r>
        <w:rPr>
          <w:sz w:val="20"/>
          <w:szCs w:val="20"/>
        </w:rPr>
        <w:t>action authenticity.</w:t>
      </w:r>
    </w:p>
    <w:p w14:paraId="216F4C9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5D95F6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Circular 59, Circular 19 and Circular 16 may significantly limit our ability to effectively use the proceeds from future financing activities as the Wholly Foreign Owned Enterprise (“WFOE”) may not convert the funds received from us </w:t>
      </w:r>
      <w:r>
        <w:rPr>
          <w:sz w:val="20"/>
          <w:szCs w:val="20"/>
        </w:rPr>
        <w:t>in foreign currencies into RMB or may not use the RMB funds obtained from foreign exchange settlement for certain purposes, which may materially adversely affect our liquidity and our ability to fund and expand our business in the PRC.</w:t>
      </w:r>
    </w:p>
    <w:p w14:paraId="3F2E78AB"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EBA6D1D" w14:textId="77777777">
        <w:trPr>
          <w:divId w:val="98525094"/>
          <w:trHeight w:val="225"/>
          <w:tblCellSpacing w:w="15" w:type="dxa"/>
        </w:trPr>
        <w:tc>
          <w:tcPr>
            <w:tcW w:w="0" w:type="auto"/>
            <w:vAlign w:val="center"/>
            <w:hideMark/>
          </w:tcPr>
          <w:p w14:paraId="74D80811" w14:textId="77777777" w:rsidR="00000000" w:rsidRDefault="00EB4933">
            <w:pPr>
              <w:rPr>
                <w:rFonts w:eastAsia="Times New Roman"/>
                <w:sz w:val="20"/>
                <w:szCs w:val="20"/>
              </w:rPr>
            </w:pPr>
            <w:r>
              <w:rPr>
                <w:rFonts w:eastAsia="Times New Roman"/>
                <w:sz w:val="20"/>
                <w:szCs w:val="20"/>
              </w:rPr>
              <w:t> </w:t>
            </w:r>
          </w:p>
        </w:tc>
      </w:tr>
      <w:tr w:rsidR="00000000" w14:paraId="0EDC2A62" w14:textId="77777777">
        <w:trPr>
          <w:divId w:val="98525094"/>
          <w:trHeight w:val="225"/>
          <w:tblCellSpacing w:w="15" w:type="dxa"/>
        </w:trPr>
        <w:tc>
          <w:tcPr>
            <w:tcW w:w="0" w:type="auto"/>
            <w:tcBorders>
              <w:bottom w:val="single" w:sz="6" w:space="0" w:color="000000"/>
            </w:tcBorders>
            <w:vAlign w:val="center"/>
            <w:hideMark/>
          </w:tcPr>
          <w:p w14:paraId="70F8AB9A" w14:textId="77777777" w:rsidR="00000000" w:rsidRDefault="00EB4933">
            <w:pPr>
              <w:jc w:val="center"/>
              <w:rPr>
                <w:rFonts w:eastAsia="Times New Roman"/>
                <w:sz w:val="20"/>
                <w:szCs w:val="20"/>
              </w:rPr>
            </w:pPr>
            <w:r>
              <w:rPr>
                <w:rFonts w:eastAsia="Times New Roman"/>
                <w:sz w:val="20"/>
                <w:szCs w:val="20"/>
              </w:rPr>
              <w:t>27</w:t>
            </w:r>
          </w:p>
        </w:tc>
      </w:tr>
      <w:tr w:rsidR="00000000" w14:paraId="13AD1E3F" w14:textId="77777777">
        <w:trPr>
          <w:divId w:val="98525094"/>
          <w:trHeight w:val="225"/>
          <w:tblCellSpacing w:w="15" w:type="dxa"/>
        </w:trPr>
        <w:tc>
          <w:tcPr>
            <w:tcW w:w="0" w:type="auto"/>
            <w:vAlign w:val="center"/>
            <w:hideMark/>
          </w:tcPr>
          <w:p w14:paraId="2F52B9C2" w14:textId="77777777" w:rsidR="00000000" w:rsidRDefault="00EB4933">
            <w:pPr>
              <w:rPr>
                <w:rFonts w:eastAsia="Times New Roman"/>
                <w:sz w:val="20"/>
                <w:szCs w:val="20"/>
              </w:rPr>
            </w:pPr>
          </w:p>
        </w:tc>
      </w:tr>
      <w:tr w:rsidR="00000000" w14:paraId="61848CF4" w14:textId="77777777">
        <w:trPr>
          <w:divId w:val="98525094"/>
          <w:trHeight w:val="225"/>
          <w:tblCellSpacing w:w="15" w:type="dxa"/>
        </w:trPr>
        <w:tc>
          <w:tcPr>
            <w:tcW w:w="0" w:type="auto"/>
            <w:vAlign w:val="center"/>
            <w:hideMark/>
          </w:tcPr>
          <w:p w14:paraId="736E1766" w14:textId="77777777" w:rsidR="00000000" w:rsidRDefault="00EB4933">
            <w:pPr>
              <w:rPr>
                <w:rFonts w:eastAsia="Times New Roman"/>
                <w:sz w:val="20"/>
                <w:szCs w:val="20"/>
              </w:rPr>
            </w:pPr>
            <w:hyperlink r:id="rId87" w:anchor="toc" w:history="1">
              <w:r>
                <w:rPr>
                  <w:rStyle w:val="Hyperlink"/>
                  <w:rFonts w:eastAsia="Times New Roman"/>
                  <w:i/>
                  <w:iCs/>
                  <w:sz w:val="20"/>
                  <w:szCs w:val="20"/>
                </w:rPr>
                <w:t>Table of Contents</w:t>
              </w:r>
            </w:hyperlink>
          </w:p>
        </w:tc>
      </w:tr>
    </w:tbl>
    <w:p w14:paraId="352051D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3F19AB3"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The disclosures in our reports and other filings with the SEC and our other public pronouncements are not subject to the scrutiny of any regulatory bodies in the PRC.</w:t>
      </w:r>
    </w:p>
    <w:p w14:paraId="56C891D4"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w:t>
      </w:r>
    </w:p>
    <w:p w14:paraId="678F52D2"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are regulated by the SE</w:t>
      </w:r>
      <w:r>
        <w:rPr>
          <w:sz w:val="20"/>
          <w:szCs w:val="20"/>
        </w:rPr>
        <w:t>C and our reports and other filings with the SEC are subject to SEC review in accordance with the rules and regulations promulgated by the SEC under the Securities Act and the Exchange Act. Our SEC filings and other disclosure and public pronouncements are</w:t>
      </w:r>
      <w:r>
        <w:rPr>
          <w:sz w:val="20"/>
          <w:szCs w:val="20"/>
        </w:rPr>
        <w:t xml:space="preserve"> not subject to the review or scrutiny of any PRC regulatory authority. For example, the disclosure in our SEC reports and other filings are not subject to the review by CSRC, a PRC regulator that is tasked with oversight of the capital markets in China. A</w:t>
      </w:r>
      <w:r>
        <w:rPr>
          <w:sz w:val="20"/>
          <w:szCs w:val="20"/>
        </w:rPr>
        <w:t>ccordingly, you should review our SEC reports, filings and our other public pronouncements with the understanding that no local regulator has done any review of our company, our SEC reports, other filings or any of our other public pronouncements.</w:t>
      </w:r>
    </w:p>
    <w:p w14:paraId="00693635"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w:t>
      </w:r>
    </w:p>
    <w:p w14:paraId="5F5142A7"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The ap</w:t>
      </w:r>
      <w:r>
        <w:rPr>
          <w:rStyle w:val="Emphasis"/>
          <w:b/>
          <w:bCs/>
          <w:sz w:val="20"/>
          <w:szCs w:val="20"/>
        </w:rPr>
        <w:t xml:space="preserve">proval of the CSRC may be required in connection with our initial public offering that was completed in November 2010; the failure to obtain this approval, if required, could have a material adverse effect on our business, operating results and reputation </w:t>
      </w:r>
      <w:r>
        <w:rPr>
          <w:rStyle w:val="Emphasis"/>
          <w:b/>
          <w:bCs/>
          <w:sz w:val="20"/>
          <w:szCs w:val="20"/>
        </w:rPr>
        <w:t>as well as the trading price of our ADSs.</w:t>
      </w:r>
    </w:p>
    <w:p w14:paraId="4B76F1B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D24A532"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August 8, 2006, six PRC regulatory agencies, including the Ministry of Commerce, or MOFCOM, the State-owned Assets Supervision and Administration Commission of the State Council, the State Administration for T</w:t>
      </w:r>
      <w:r>
        <w:rPr>
          <w:sz w:val="20"/>
          <w:szCs w:val="20"/>
        </w:rPr>
        <w:t>axation, the State Administration for Industry and Commerce, the CSRC and the State Administration of Foreign Exchange, or SAFE, jointly adopted the Regulations on Mergers and Acquisitions of Domestic Enterprises by Foreign Investors, or the M&amp;A Rules, whi</w:t>
      </w:r>
      <w:r>
        <w:rPr>
          <w:sz w:val="20"/>
          <w:szCs w:val="20"/>
        </w:rPr>
        <w:t xml:space="preserve">ch became effective on September 8, 2006, and were amended on June 26, 2009 </w:t>
      </w:r>
      <w:r>
        <w:rPr>
          <w:rStyle w:val="Emphasis"/>
          <w:rFonts w:ascii="MS Mincho" w:eastAsia="MS Mincho" w:hAnsi="MS Mincho" w:cs="MS Mincho" w:hint="eastAsia"/>
          <w:sz w:val="20"/>
          <w:szCs w:val="20"/>
        </w:rPr>
        <w:t>（《</w:t>
      </w:r>
      <w:r>
        <w:rPr>
          <w:rStyle w:val="Emphasis"/>
          <w:rFonts w:ascii="MS Gothic" w:eastAsia="MS Gothic" w:hAnsi="MS Gothic" w:cs="MS Gothic" w:hint="eastAsia"/>
          <w:sz w:val="20"/>
          <w:szCs w:val="20"/>
        </w:rPr>
        <w:t>关于外国投</w:t>
      </w:r>
      <w:r>
        <w:rPr>
          <w:rStyle w:val="Emphasis"/>
          <w:rFonts w:ascii="SimSun" w:eastAsia="SimSun" w:hAnsi="SimSun" w:cs="SimSun" w:hint="eastAsia"/>
          <w:sz w:val="20"/>
          <w:szCs w:val="20"/>
        </w:rPr>
        <w:t>资者并购境内企业的规定（</w:t>
      </w:r>
      <w:r>
        <w:rPr>
          <w:rStyle w:val="Emphasis"/>
          <w:sz w:val="20"/>
          <w:szCs w:val="20"/>
        </w:rPr>
        <w:t>2009</w:t>
      </w:r>
      <w:r>
        <w:rPr>
          <w:rStyle w:val="Emphasis"/>
          <w:rFonts w:ascii="MS Mincho" w:eastAsia="MS Mincho" w:hAnsi="MS Mincho" w:cs="MS Mincho" w:hint="eastAsia"/>
          <w:sz w:val="20"/>
          <w:szCs w:val="20"/>
        </w:rPr>
        <w:t>修</w:t>
      </w:r>
      <w:r>
        <w:rPr>
          <w:rStyle w:val="Emphasis"/>
          <w:rFonts w:ascii="SimSun" w:eastAsia="SimSun" w:hAnsi="SimSun" w:cs="SimSun" w:hint="eastAsia"/>
          <w:sz w:val="20"/>
          <w:szCs w:val="20"/>
        </w:rPr>
        <w:t>订）》）</w:t>
      </w:r>
      <w:r>
        <w:rPr>
          <w:sz w:val="20"/>
          <w:szCs w:val="20"/>
        </w:rPr>
        <w:t xml:space="preserve">. The M&amp;A Rules, among other things, include provisions that purport to require an offshore special purpose vehicle formed for the purpose of acquiring </w:t>
      </w:r>
      <w:r>
        <w:rPr>
          <w:sz w:val="20"/>
          <w:szCs w:val="20"/>
        </w:rPr>
        <w:t>PRC domestic companies and controlled by PRC individuals to obtain the approval of the CSRC prior to the listing and trading of such special purpose vehicle’s securities on an overseas stock exchange. On September 21, 2006, the CSRC published on its offici</w:t>
      </w:r>
      <w:r>
        <w:rPr>
          <w:sz w:val="20"/>
          <w:szCs w:val="20"/>
        </w:rPr>
        <w:t>al website procedures regarding its approval of overseas listings by special purpose vehicles. The CSRC approval procedures require the filing of an application and supporting documents with the CSRC.</w:t>
      </w:r>
    </w:p>
    <w:p w14:paraId="71E23837"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E939A02"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We completed our initial public offering in November </w:t>
      </w:r>
      <w:r>
        <w:rPr>
          <w:sz w:val="20"/>
          <w:szCs w:val="20"/>
        </w:rPr>
        <w:t xml:space="preserve">2010. The application of the M&amp;A Rules with respect to our initial public offering remains unclear. Based on the advice of our PRC legal advisor at the time, Beijing H&amp;J Law Firm, we believe that no CSRC approval was required in the context of our initial </w:t>
      </w:r>
      <w:r>
        <w:rPr>
          <w:sz w:val="20"/>
          <w:szCs w:val="20"/>
        </w:rPr>
        <w:t xml:space="preserve">public offering at that time for </w:t>
      </w:r>
      <w:r>
        <w:rPr>
          <w:sz w:val="20"/>
          <w:szCs w:val="20"/>
        </w:rPr>
        <w:lastRenderedPageBreak/>
        <w:t>Fujian Xiniya Garments and Weaving Co., Ltd., our then indirect wholly foreign-owned enterprise, a company that was incorporated in the PRC prior to the implementation of the M&amp;A Rules. However, the CSRC may disagree with t</w:t>
      </w:r>
      <w:r>
        <w:rPr>
          <w:sz w:val="20"/>
          <w:szCs w:val="20"/>
        </w:rPr>
        <w:t>his assessment. If CSRC approval was required or is retroactively required under new PRC rules or regulations but not obtained, we may face regulatory actions or other sanctions from the CSRC or other PRC regulatory agencies. In that case, the relevant reg</w:t>
      </w:r>
      <w:r>
        <w:rPr>
          <w:sz w:val="20"/>
          <w:szCs w:val="20"/>
        </w:rPr>
        <w:t>ulatory agencies may impose fines and penalties on our operations in the PRC, limit our operating privileges in the PRC, or take other actions that could have a material adverse effect on our business, financial condition, results of operations, reputation</w:t>
      </w:r>
      <w:r>
        <w:rPr>
          <w:sz w:val="20"/>
          <w:szCs w:val="20"/>
        </w:rPr>
        <w:t xml:space="preserve"> and prospects. Meanwhile, any uncertainties or negative publicity regarding this CSRC approval requirement could have an adverse effect on the trading price of our ADSs.</w:t>
      </w:r>
    </w:p>
    <w:p w14:paraId="4F87F44D"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w:t>
      </w:r>
    </w:p>
    <w:p w14:paraId="2DB402F1"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The M&amp;</w:t>
      </w:r>
      <w:r>
        <w:rPr>
          <w:rStyle w:val="Emphasis"/>
          <w:b/>
          <w:bCs/>
          <w:sz w:val="20"/>
          <w:szCs w:val="20"/>
        </w:rPr>
        <w:t>A Rules set forth complex procedures for acquisitions conducted by foreign investors, which could make it more difficult to pursue growth through acquisitions.</w:t>
      </w:r>
    </w:p>
    <w:p w14:paraId="6DE1B0A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6425C4C"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M&amp;A Rules established additional procedures and requirements that could make merger and ac</w:t>
      </w:r>
      <w:r>
        <w:rPr>
          <w:sz w:val="20"/>
          <w:szCs w:val="20"/>
        </w:rPr>
        <w:t>quisition activities by foreign investors more time-consuming and complex, including requirements in some instances that the MOFCOM be notified in advance of any change-of-control transaction in which a foreign investor takes control of a PRC domestic ente</w:t>
      </w:r>
      <w:r>
        <w:rPr>
          <w:sz w:val="20"/>
          <w:szCs w:val="20"/>
        </w:rPr>
        <w:t>rprise. In the future, we may grow our business in part by acquiring complementary businesses. Complying with the requirements of this regulation to complete such transactions could be time-consuming, and any required approval processes, including obtainin</w:t>
      </w:r>
      <w:r>
        <w:rPr>
          <w:sz w:val="20"/>
          <w:szCs w:val="20"/>
        </w:rPr>
        <w:t>g approval from the MOFCOM, may delay or inhibit our ability to complete such transactions. Any delay or inability to obtain applicable approvals to complete acquisitions could affect our ability to expand our business or maintain our market share. In addi</w:t>
      </w:r>
      <w:r>
        <w:rPr>
          <w:sz w:val="20"/>
          <w:szCs w:val="20"/>
        </w:rPr>
        <w:t>tion, in the future, if any of our acquisitions were subject to the M&amp;A Rules and were found not to be in compliance with the requirements of the M&amp;A Rules, relevant PRC regulatory agencies may impose fines and penalties on our operations in the PRC, limit</w:t>
      </w:r>
      <w:r>
        <w:rPr>
          <w:sz w:val="20"/>
          <w:szCs w:val="20"/>
        </w:rPr>
        <w:t xml:space="preserve"> our operating privileges in the PRC, or take other actions that could have a material adverse effect on our business, financial condition, results of operations, reputation and prospects. </w:t>
      </w:r>
    </w:p>
    <w:p w14:paraId="3ADB857C"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02CF3A7" w14:textId="77777777">
        <w:trPr>
          <w:divId w:val="98525094"/>
          <w:trHeight w:val="225"/>
          <w:tblCellSpacing w:w="15" w:type="dxa"/>
        </w:trPr>
        <w:tc>
          <w:tcPr>
            <w:tcW w:w="0" w:type="auto"/>
            <w:vAlign w:val="center"/>
            <w:hideMark/>
          </w:tcPr>
          <w:p w14:paraId="129CB087" w14:textId="77777777" w:rsidR="00000000" w:rsidRDefault="00EB4933">
            <w:pPr>
              <w:rPr>
                <w:rFonts w:eastAsia="Times New Roman"/>
                <w:sz w:val="20"/>
                <w:szCs w:val="20"/>
              </w:rPr>
            </w:pPr>
            <w:r>
              <w:rPr>
                <w:rFonts w:eastAsia="Times New Roman"/>
                <w:sz w:val="20"/>
                <w:szCs w:val="20"/>
              </w:rPr>
              <w:t> </w:t>
            </w:r>
          </w:p>
        </w:tc>
      </w:tr>
      <w:tr w:rsidR="00000000" w14:paraId="51231977" w14:textId="77777777">
        <w:trPr>
          <w:divId w:val="98525094"/>
          <w:trHeight w:val="225"/>
          <w:tblCellSpacing w:w="15" w:type="dxa"/>
        </w:trPr>
        <w:tc>
          <w:tcPr>
            <w:tcW w:w="0" w:type="auto"/>
            <w:tcBorders>
              <w:bottom w:val="single" w:sz="6" w:space="0" w:color="000000"/>
            </w:tcBorders>
            <w:vAlign w:val="center"/>
            <w:hideMark/>
          </w:tcPr>
          <w:p w14:paraId="778C0184" w14:textId="77777777" w:rsidR="00000000" w:rsidRDefault="00EB4933">
            <w:pPr>
              <w:jc w:val="center"/>
              <w:rPr>
                <w:rFonts w:eastAsia="Times New Roman"/>
                <w:sz w:val="20"/>
                <w:szCs w:val="20"/>
              </w:rPr>
            </w:pPr>
            <w:r>
              <w:rPr>
                <w:rFonts w:eastAsia="Times New Roman"/>
                <w:sz w:val="20"/>
                <w:szCs w:val="20"/>
              </w:rPr>
              <w:t>28</w:t>
            </w:r>
          </w:p>
        </w:tc>
      </w:tr>
      <w:tr w:rsidR="00000000" w14:paraId="4ACD9A35" w14:textId="77777777">
        <w:trPr>
          <w:divId w:val="98525094"/>
          <w:trHeight w:val="225"/>
          <w:tblCellSpacing w:w="15" w:type="dxa"/>
        </w:trPr>
        <w:tc>
          <w:tcPr>
            <w:tcW w:w="0" w:type="auto"/>
            <w:vAlign w:val="center"/>
            <w:hideMark/>
          </w:tcPr>
          <w:p w14:paraId="4A94D574" w14:textId="77777777" w:rsidR="00000000" w:rsidRDefault="00EB4933">
            <w:pPr>
              <w:rPr>
                <w:rFonts w:eastAsia="Times New Roman"/>
                <w:sz w:val="20"/>
                <w:szCs w:val="20"/>
              </w:rPr>
            </w:pPr>
          </w:p>
        </w:tc>
      </w:tr>
      <w:tr w:rsidR="00000000" w14:paraId="7441CEFE" w14:textId="77777777">
        <w:trPr>
          <w:divId w:val="98525094"/>
          <w:trHeight w:val="225"/>
          <w:tblCellSpacing w:w="15" w:type="dxa"/>
        </w:trPr>
        <w:tc>
          <w:tcPr>
            <w:tcW w:w="0" w:type="auto"/>
            <w:vAlign w:val="center"/>
            <w:hideMark/>
          </w:tcPr>
          <w:p w14:paraId="4CA1BFA4" w14:textId="77777777" w:rsidR="00000000" w:rsidRDefault="00EB4933">
            <w:pPr>
              <w:rPr>
                <w:rFonts w:eastAsia="Times New Roman"/>
                <w:sz w:val="20"/>
                <w:szCs w:val="20"/>
              </w:rPr>
            </w:pPr>
            <w:hyperlink r:id="rId88" w:anchor="toc" w:history="1">
              <w:r>
                <w:rPr>
                  <w:rStyle w:val="Hyperlink"/>
                  <w:rFonts w:eastAsia="Times New Roman"/>
                  <w:i/>
                  <w:iCs/>
                  <w:sz w:val="20"/>
                  <w:szCs w:val="20"/>
                </w:rPr>
                <w:t>Table of Contents</w:t>
              </w:r>
            </w:hyperlink>
          </w:p>
        </w:tc>
      </w:tr>
    </w:tbl>
    <w:p w14:paraId="1BAECD01"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1BFB540A"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PRC regulations relating to offshore investment activities by PRC residents and PRC citizens may increase the administrative burden we face and may subject our PRC resident beneficial owners or e</w:t>
      </w:r>
      <w:r>
        <w:rPr>
          <w:rStyle w:val="Emphasis"/>
          <w:b/>
          <w:bCs/>
          <w:sz w:val="20"/>
          <w:szCs w:val="20"/>
        </w:rPr>
        <w:t>mployees who are stock option holders to personal liabilities, limit our subsidiary’s abilities to increase its registered capital or distribute profits to us, limit our ability to inject capital into our PRC subsidiary, or may otherwise expose us to liabi</w:t>
      </w:r>
      <w:r>
        <w:rPr>
          <w:rStyle w:val="Emphasis"/>
          <w:b/>
          <w:bCs/>
          <w:sz w:val="20"/>
          <w:szCs w:val="20"/>
        </w:rPr>
        <w:t>lity under PRC law.</w:t>
      </w:r>
    </w:p>
    <w:p w14:paraId="13D3D1B6"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020F0E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SAFE has promulgated regulations that require PRC residents and PRC corporate entities to register with local branches of SAFE in connection with their direct or indirect offshore investment activities. These regulations may apply to </w:t>
      </w:r>
      <w:r>
        <w:rPr>
          <w:sz w:val="20"/>
          <w:szCs w:val="20"/>
        </w:rPr>
        <w:t>our shareholders who are PRC residents and may apply to any offshore acquisitions that we make in the future. In accordance with the Circular on Relevant Issues Relating to Domestic Resident’s Investment and Financing and Roundtrip Investment through Speci</w:t>
      </w:r>
      <w:r>
        <w:rPr>
          <w:sz w:val="20"/>
          <w:szCs w:val="20"/>
        </w:rPr>
        <w:t xml:space="preserve">al Purpose Vehicles, or SAFE Circular 37 </w:t>
      </w:r>
      <w:r>
        <w:rPr>
          <w:rFonts w:ascii="MS Mincho" w:eastAsia="MS Mincho" w:hAnsi="MS Mincho" w:cs="MS Mincho" w:hint="eastAsia"/>
          <w:sz w:val="20"/>
          <w:szCs w:val="20"/>
        </w:rPr>
        <w:t>（《国家外</w:t>
      </w:r>
      <w:r>
        <w:rPr>
          <w:rFonts w:ascii="SimSun" w:eastAsia="SimSun" w:hAnsi="SimSun" w:cs="SimSun" w:hint="eastAsia"/>
          <w:sz w:val="20"/>
          <w:szCs w:val="20"/>
        </w:rPr>
        <w:t>汇管理局关于境内居民通过特殊目的公司境外投融资及返程投资外汇管理有关问题的通知》（汇发</w:t>
      </w:r>
      <w:r>
        <w:rPr>
          <w:sz w:val="20"/>
          <w:szCs w:val="20"/>
        </w:rPr>
        <w:t>[2014]37</w:t>
      </w:r>
      <w:r>
        <w:rPr>
          <w:rFonts w:ascii="MS Mincho" w:eastAsia="MS Mincho" w:hAnsi="MS Mincho" w:cs="MS Mincho" w:hint="eastAsia"/>
          <w:sz w:val="20"/>
          <w:szCs w:val="20"/>
        </w:rPr>
        <w:t>号））</w:t>
      </w:r>
      <w:r>
        <w:rPr>
          <w:sz w:val="20"/>
          <w:szCs w:val="20"/>
        </w:rPr>
        <w:t>(partially invalid on December 30, 2019), any PRC resident who is a direct or indirect shareholder of an offshore company is required to update his or her r</w:t>
      </w:r>
      <w:r>
        <w:rPr>
          <w:sz w:val="20"/>
          <w:szCs w:val="20"/>
        </w:rPr>
        <w:t>egistration with the relevant SAFE branches, with respect to that offshore company, any material change involving an increase or decrease of capital, transfer or swap of shares, merger, division or other material event. SAFE promulgated the Notice on Furth</w:t>
      </w:r>
      <w:r>
        <w:rPr>
          <w:sz w:val="20"/>
          <w:szCs w:val="20"/>
        </w:rPr>
        <w:t>er Simplifying and Improving the Administration of the Foreign Exchange Concerning Direct Investment in February 2015, which took effect on June 1, 2015. This notice has amended SAFE Circular 37 requiring PRC residents or entities to register with qualifie</w:t>
      </w:r>
      <w:r>
        <w:rPr>
          <w:sz w:val="20"/>
          <w:szCs w:val="20"/>
        </w:rPr>
        <w:t>d banks rather than SAFE or its local branch in connection with their establishment or control of an offshore entity established for the purpose of overseas investment or financing.</w:t>
      </w:r>
    </w:p>
    <w:p w14:paraId="4AC7D50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F44E720"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There is uncertainty concerning under what circumstances residents of other countries and regions can be classified as a PRC resident. The PRC government authorities may interpret our beneficial owners’ status differently or their status may change in the </w:t>
      </w:r>
      <w:r>
        <w:rPr>
          <w:sz w:val="20"/>
          <w:szCs w:val="20"/>
        </w:rPr>
        <w:t xml:space="preserve">future. Moreover, we may not be fully informed of the identities of the beneficial owners of our company and we cannot assure you that all of our PRC resident beneficial owners will comply with </w:t>
      </w:r>
      <w:r>
        <w:rPr>
          <w:sz w:val="20"/>
          <w:szCs w:val="20"/>
        </w:rPr>
        <w:lastRenderedPageBreak/>
        <w:t>SAFE regulations. The failure of our beneficial owners who are</w:t>
      </w:r>
      <w:r>
        <w:rPr>
          <w:sz w:val="20"/>
          <w:szCs w:val="20"/>
        </w:rPr>
        <w:t xml:space="preserve"> PRC residents to make any required registrations may subject us to fines and legal sanctions, and prevent us from being able to make distributions or pay dividends, as a result of which our business operations and our ability to distribute profits to you </w:t>
      </w:r>
      <w:r>
        <w:rPr>
          <w:sz w:val="20"/>
          <w:szCs w:val="20"/>
        </w:rPr>
        <w:t>could be materially adversely affected.</w:t>
      </w:r>
    </w:p>
    <w:p w14:paraId="4163B88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9ABD1D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On February 15, 2012, SAFE promulgated the Circular on Issues related to Foreign Exchange Administration of Domestic Individuals Participating in Share Incentive Plans of Overseas Listed Companies, or Circular 7 </w:t>
      </w:r>
      <w:r>
        <w:rPr>
          <w:rFonts w:ascii="MS Mincho" w:eastAsia="MS Mincho" w:hAnsi="MS Mincho" w:cs="MS Mincho" w:hint="eastAsia"/>
          <w:sz w:val="20"/>
          <w:szCs w:val="20"/>
        </w:rPr>
        <w:t>（《</w:t>
      </w:r>
      <w:r>
        <w:rPr>
          <w:rFonts w:ascii="MS Mincho" w:eastAsia="MS Mincho" w:hAnsi="MS Mincho" w:cs="MS Mincho" w:hint="eastAsia"/>
          <w:sz w:val="20"/>
          <w:szCs w:val="20"/>
        </w:rPr>
        <w:t>国家外</w:t>
      </w:r>
      <w:r>
        <w:rPr>
          <w:rFonts w:ascii="SimSun" w:eastAsia="SimSun" w:hAnsi="SimSun" w:cs="SimSun" w:hint="eastAsia"/>
          <w:sz w:val="20"/>
          <w:szCs w:val="20"/>
        </w:rPr>
        <w:t>汇管理局关于境内个人参与境外上市公司股权激励计划外汇管理有关问题的通知》（汇发〔</w:t>
      </w:r>
      <w:r>
        <w:rPr>
          <w:sz w:val="20"/>
          <w:szCs w:val="20"/>
        </w:rPr>
        <w:t>2012</w:t>
      </w:r>
      <w:r>
        <w:rPr>
          <w:rFonts w:ascii="Cambria Math" w:eastAsia="Cambria Math" w:hAnsi="Cambria Math" w:cs="Cambria Math" w:hint="eastAsia"/>
          <w:sz w:val="20"/>
          <w:szCs w:val="20"/>
        </w:rPr>
        <w:t>〕</w:t>
      </w:r>
      <w:r>
        <w:rPr>
          <w:sz w:val="20"/>
          <w:szCs w:val="20"/>
        </w:rPr>
        <w:t>7</w:t>
      </w:r>
      <w:r>
        <w:rPr>
          <w:rFonts w:ascii="MS Mincho" w:eastAsia="MS Mincho" w:hAnsi="MS Mincho" w:cs="MS Mincho" w:hint="eastAsia"/>
          <w:sz w:val="20"/>
          <w:szCs w:val="20"/>
        </w:rPr>
        <w:t>号））</w:t>
      </w:r>
      <w:r>
        <w:rPr>
          <w:sz w:val="20"/>
          <w:szCs w:val="20"/>
        </w:rPr>
        <w:t>. Circular 7 streamlines the foreign exchange control process applicable to share incentive plans implemented by offshore listed companies and extends the foreign exchange registration requirement to a wi</w:t>
      </w:r>
      <w:r>
        <w:rPr>
          <w:sz w:val="20"/>
          <w:szCs w:val="20"/>
        </w:rPr>
        <w:t xml:space="preserve">der range of share incentive plan types and certain foreign nationals residing in China. We and our PRC or foreign employees who may be granted various stock options will be subject to Circular 7 because our company is an overseas publicly listed company. </w:t>
      </w:r>
      <w:r>
        <w:rPr>
          <w:sz w:val="20"/>
          <w:szCs w:val="20"/>
        </w:rPr>
        <w:t>If we or our PRC or foreign employees fail to comply with such regulation, we or our employees may be subject to fines and legal sanctions.</w:t>
      </w:r>
    </w:p>
    <w:p w14:paraId="3F9EE08E"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4D7D7AB" w14:textId="77777777">
        <w:trPr>
          <w:divId w:val="98525094"/>
          <w:trHeight w:val="225"/>
          <w:tblCellSpacing w:w="15" w:type="dxa"/>
        </w:trPr>
        <w:tc>
          <w:tcPr>
            <w:tcW w:w="0" w:type="auto"/>
            <w:vAlign w:val="center"/>
            <w:hideMark/>
          </w:tcPr>
          <w:p w14:paraId="4D19762F" w14:textId="77777777" w:rsidR="00000000" w:rsidRDefault="00EB4933">
            <w:pPr>
              <w:rPr>
                <w:rFonts w:eastAsia="Times New Roman"/>
                <w:sz w:val="20"/>
                <w:szCs w:val="20"/>
              </w:rPr>
            </w:pPr>
            <w:r>
              <w:rPr>
                <w:rFonts w:eastAsia="Times New Roman"/>
                <w:sz w:val="20"/>
                <w:szCs w:val="20"/>
              </w:rPr>
              <w:t> </w:t>
            </w:r>
          </w:p>
        </w:tc>
      </w:tr>
      <w:tr w:rsidR="00000000" w14:paraId="1EE9EC51" w14:textId="77777777">
        <w:trPr>
          <w:divId w:val="98525094"/>
          <w:trHeight w:val="225"/>
          <w:tblCellSpacing w:w="15" w:type="dxa"/>
        </w:trPr>
        <w:tc>
          <w:tcPr>
            <w:tcW w:w="0" w:type="auto"/>
            <w:tcBorders>
              <w:bottom w:val="single" w:sz="6" w:space="0" w:color="000000"/>
            </w:tcBorders>
            <w:vAlign w:val="center"/>
            <w:hideMark/>
          </w:tcPr>
          <w:p w14:paraId="477998DB" w14:textId="77777777" w:rsidR="00000000" w:rsidRDefault="00EB4933">
            <w:pPr>
              <w:jc w:val="center"/>
              <w:rPr>
                <w:rFonts w:eastAsia="Times New Roman"/>
                <w:sz w:val="20"/>
                <w:szCs w:val="20"/>
              </w:rPr>
            </w:pPr>
            <w:r>
              <w:rPr>
                <w:rFonts w:eastAsia="Times New Roman"/>
                <w:sz w:val="20"/>
                <w:szCs w:val="20"/>
              </w:rPr>
              <w:t>29</w:t>
            </w:r>
          </w:p>
        </w:tc>
      </w:tr>
      <w:tr w:rsidR="00000000" w14:paraId="322F9EF3" w14:textId="77777777">
        <w:trPr>
          <w:divId w:val="98525094"/>
          <w:trHeight w:val="225"/>
          <w:tblCellSpacing w:w="15" w:type="dxa"/>
        </w:trPr>
        <w:tc>
          <w:tcPr>
            <w:tcW w:w="0" w:type="auto"/>
            <w:vAlign w:val="center"/>
            <w:hideMark/>
          </w:tcPr>
          <w:p w14:paraId="0F1BA257" w14:textId="77777777" w:rsidR="00000000" w:rsidRDefault="00EB4933">
            <w:pPr>
              <w:rPr>
                <w:rFonts w:eastAsia="Times New Roman"/>
                <w:sz w:val="20"/>
                <w:szCs w:val="20"/>
              </w:rPr>
            </w:pPr>
          </w:p>
        </w:tc>
      </w:tr>
      <w:tr w:rsidR="00000000" w14:paraId="3C491BE2" w14:textId="77777777">
        <w:trPr>
          <w:divId w:val="98525094"/>
          <w:trHeight w:val="225"/>
          <w:tblCellSpacing w:w="15" w:type="dxa"/>
        </w:trPr>
        <w:tc>
          <w:tcPr>
            <w:tcW w:w="0" w:type="auto"/>
            <w:vAlign w:val="center"/>
            <w:hideMark/>
          </w:tcPr>
          <w:p w14:paraId="67F1A4B8" w14:textId="77777777" w:rsidR="00000000" w:rsidRDefault="00EB4933">
            <w:pPr>
              <w:rPr>
                <w:rFonts w:eastAsia="Times New Roman"/>
                <w:sz w:val="20"/>
                <w:szCs w:val="20"/>
              </w:rPr>
            </w:pPr>
            <w:hyperlink r:id="rId89" w:anchor="toc" w:history="1">
              <w:r>
                <w:rPr>
                  <w:rStyle w:val="Hyperlink"/>
                  <w:rFonts w:eastAsia="Times New Roman"/>
                  <w:i/>
                  <w:iCs/>
                  <w:sz w:val="20"/>
                  <w:szCs w:val="20"/>
                </w:rPr>
                <w:t>Table of Contents</w:t>
              </w:r>
            </w:hyperlink>
          </w:p>
        </w:tc>
      </w:tr>
    </w:tbl>
    <w:p w14:paraId="5BBF7C4D"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5C106F96"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xml:space="preserve">Restrictions on foreign exchange under PRC </w:t>
      </w:r>
      <w:r>
        <w:rPr>
          <w:rStyle w:val="Emphasis"/>
          <w:b/>
          <w:bCs/>
          <w:sz w:val="20"/>
          <w:szCs w:val="20"/>
        </w:rPr>
        <w:t>laws may limit our ability to convert cash derived from our operating activities into foreign currencies and may materially and adversely affect the value of your investment.</w:t>
      </w:r>
    </w:p>
    <w:p w14:paraId="7D95B09E"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w:t>
      </w:r>
    </w:p>
    <w:p w14:paraId="72A5A983" w14:textId="77777777" w:rsidR="00000000" w:rsidRDefault="00EB4933">
      <w:pPr>
        <w:pStyle w:val="NormalWeb"/>
        <w:spacing w:before="0" w:beforeAutospacing="0" w:after="0" w:afterAutospacing="0"/>
        <w:ind w:firstLine="675"/>
        <w:jc w:val="both"/>
        <w:divId w:val="98525094"/>
        <w:rPr>
          <w:sz w:val="20"/>
          <w:szCs w:val="20"/>
        </w:rPr>
      </w:pPr>
      <w:r>
        <w:rPr>
          <w:sz w:val="20"/>
          <w:szCs w:val="20"/>
        </w:rPr>
        <w:t>Substantially all of our revenues and operating expenses are denominated in Ren</w:t>
      </w:r>
      <w:r>
        <w:rPr>
          <w:sz w:val="20"/>
          <w:szCs w:val="20"/>
        </w:rPr>
        <w:t>minbi. Under the relevant foreign exchange regulations in the PRC, conversion of the Renminbi is permitted, without the need for SAFE approval, for “current account” transactions, which includes dividends, trade, and service-related foreign exchange transa</w:t>
      </w:r>
      <w:r>
        <w:rPr>
          <w:sz w:val="20"/>
          <w:szCs w:val="20"/>
        </w:rPr>
        <w:t>ctions, subject to procedural requirements including presenting relevant documentary evidence of such transactions and conducting such transactions at designated foreign exchange banks within China who have the licenses to carry out foreign exchange busine</w:t>
      </w:r>
      <w:r>
        <w:rPr>
          <w:sz w:val="20"/>
          <w:szCs w:val="20"/>
        </w:rPr>
        <w:t xml:space="preserve">ss. Conversion of the Renminbi for “capital account” transactions, which includes foreign direct investment, loans and investment in negotiable instruments, is still subject to significant limitations and requires approvals from and registration with SAFE </w:t>
      </w:r>
      <w:r>
        <w:rPr>
          <w:sz w:val="20"/>
          <w:szCs w:val="20"/>
        </w:rPr>
        <w:t>and other PRC regulatory authorities. Under our current structure, our source of funds primarily consists of dividend payments from our subsidiary in the PRC. We cannot assure you that we will be able to meet all of our foreign currency obligations or to r</w:t>
      </w:r>
      <w:r>
        <w:rPr>
          <w:sz w:val="20"/>
          <w:szCs w:val="20"/>
        </w:rPr>
        <w:t>emit profits out of China. If future changes in relevant regulations were to place restrictions on the ability of our subsidiary to remit dividend payments to us, our liquidity and ability to satisfy our third-party payment obligations and our ability to d</w:t>
      </w:r>
      <w:r>
        <w:rPr>
          <w:sz w:val="20"/>
          <w:szCs w:val="20"/>
        </w:rPr>
        <w:t>istribute dividends in respect of the ADSs could be materially adversely affected.</w:t>
      </w:r>
    </w:p>
    <w:p w14:paraId="5864FA34"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w:t>
      </w:r>
    </w:p>
    <w:p w14:paraId="34DF8138"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We may rely on dividends and other distributions on equity paid by our wholly-owned subsidiaries to fund any cash and financing requirements we may have, and any limitation on the ability of our subsidiaries or Chutian to make payments to us could have a m</w:t>
      </w:r>
      <w:r>
        <w:rPr>
          <w:rStyle w:val="Emphasis"/>
          <w:b/>
          <w:bCs/>
          <w:sz w:val="20"/>
          <w:szCs w:val="20"/>
        </w:rPr>
        <w:t xml:space="preserve">aterial adverse effect on our ability to conduct our business. </w:t>
      </w:r>
    </w:p>
    <w:p w14:paraId="7D6D237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5EF7BD6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We are a holding company, and we may rely on dividends from our wholly-owned subsidiaries and service, license and other fees paid to our wholly-owned subsidiary in China by Chutian for our </w:t>
      </w:r>
      <w:r>
        <w:rPr>
          <w:sz w:val="20"/>
          <w:szCs w:val="20"/>
        </w:rPr>
        <w:t>cash requirements, including any debt we may incur. Current PRC regulations permit our PRC subsidiary to pay dividends to us only out of their accumulated profits, if any, determined in accordance with Chinese accounting standards and regulations. In addit</w:t>
      </w:r>
      <w:r>
        <w:rPr>
          <w:sz w:val="20"/>
          <w:szCs w:val="20"/>
        </w:rPr>
        <w:t xml:space="preserve">ion, our PRC subsidiary and Chutian is required to set aside at least 10% of its after-tax profits each year, if any, to fund a statutory reserve until such reserve reaches 50% of its registered capital, and each of our subsidiaries is required to further </w:t>
      </w:r>
      <w:r>
        <w:rPr>
          <w:sz w:val="20"/>
          <w:szCs w:val="20"/>
        </w:rPr>
        <w:t>set aside a portion of its after-tax profits to fund the employee welfare fund at the discretion of its board of directors. These reserves are not distributable as cash dividends. Furthermore, if our PRC subsidiary and Chutian incur debt on their own behal</w:t>
      </w:r>
      <w:r>
        <w:rPr>
          <w:sz w:val="20"/>
          <w:szCs w:val="20"/>
        </w:rPr>
        <w:t>f in the future, the instruments governing the debt may restrict their ability to pay dividends or make other payments to us. In addition, the PRC tax authorities may require us to adjust our taxable income under the contractual arrangements we currently h</w:t>
      </w:r>
      <w:r>
        <w:rPr>
          <w:sz w:val="20"/>
          <w:szCs w:val="20"/>
        </w:rPr>
        <w:t>ave in place in a manner that would materially and adversely affect our PRC subsidiary’s ability to pay dividends and other distributions to us. Any limitation on the ability of our subsidiaries to distribute dividends to us or on the ability of Chutian to</w:t>
      </w:r>
      <w:r>
        <w:rPr>
          <w:sz w:val="20"/>
          <w:szCs w:val="20"/>
        </w:rPr>
        <w:t xml:space="preserve"> make payments to us could materially and adversely limit our </w:t>
      </w:r>
      <w:r>
        <w:rPr>
          <w:sz w:val="20"/>
          <w:szCs w:val="20"/>
        </w:rPr>
        <w:lastRenderedPageBreak/>
        <w:t>ability to grow, make investments or acquisitions that could be beneficial to our businesses, pay dividends, or otherwise fund and conduct our business.</w:t>
      </w:r>
    </w:p>
    <w:p w14:paraId="612981B7"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FBB34EC" w14:textId="77777777">
        <w:trPr>
          <w:divId w:val="98525094"/>
          <w:trHeight w:val="225"/>
          <w:tblCellSpacing w:w="15" w:type="dxa"/>
        </w:trPr>
        <w:tc>
          <w:tcPr>
            <w:tcW w:w="0" w:type="auto"/>
            <w:vAlign w:val="center"/>
            <w:hideMark/>
          </w:tcPr>
          <w:p w14:paraId="106221E6" w14:textId="77777777" w:rsidR="00000000" w:rsidRDefault="00EB4933">
            <w:pPr>
              <w:rPr>
                <w:rFonts w:eastAsia="Times New Roman"/>
                <w:sz w:val="20"/>
                <w:szCs w:val="20"/>
              </w:rPr>
            </w:pPr>
            <w:r>
              <w:rPr>
                <w:rFonts w:eastAsia="Times New Roman"/>
                <w:sz w:val="20"/>
                <w:szCs w:val="20"/>
              </w:rPr>
              <w:t> </w:t>
            </w:r>
          </w:p>
        </w:tc>
      </w:tr>
      <w:tr w:rsidR="00000000" w14:paraId="099C085A" w14:textId="77777777">
        <w:trPr>
          <w:divId w:val="98525094"/>
          <w:trHeight w:val="225"/>
          <w:tblCellSpacing w:w="15" w:type="dxa"/>
        </w:trPr>
        <w:tc>
          <w:tcPr>
            <w:tcW w:w="0" w:type="auto"/>
            <w:tcBorders>
              <w:bottom w:val="single" w:sz="6" w:space="0" w:color="000000"/>
            </w:tcBorders>
            <w:vAlign w:val="center"/>
            <w:hideMark/>
          </w:tcPr>
          <w:p w14:paraId="6BE9F655" w14:textId="77777777" w:rsidR="00000000" w:rsidRDefault="00EB4933">
            <w:pPr>
              <w:jc w:val="center"/>
              <w:rPr>
                <w:rFonts w:eastAsia="Times New Roman"/>
                <w:sz w:val="20"/>
                <w:szCs w:val="20"/>
              </w:rPr>
            </w:pPr>
            <w:r>
              <w:rPr>
                <w:rFonts w:eastAsia="Times New Roman"/>
                <w:sz w:val="20"/>
                <w:szCs w:val="20"/>
              </w:rPr>
              <w:t>30</w:t>
            </w:r>
          </w:p>
        </w:tc>
      </w:tr>
      <w:tr w:rsidR="00000000" w14:paraId="0E4EC892" w14:textId="77777777">
        <w:trPr>
          <w:divId w:val="98525094"/>
          <w:trHeight w:val="225"/>
          <w:tblCellSpacing w:w="15" w:type="dxa"/>
        </w:trPr>
        <w:tc>
          <w:tcPr>
            <w:tcW w:w="0" w:type="auto"/>
            <w:vAlign w:val="center"/>
            <w:hideMark/>
          </w:tcPr>
          <w:p w14:paraId="41F926B5" w14:textId="77777777" w:rsidR="00000000" w:rsidRDefault="00EB4933">
            <w:pPr>
              <w:rPr>
                <w:rFonts w:eastAsia="Times New Roman"/>
                <w:sz w:val="20"/>
                <w:szCs w:val="20"/>
              </w:rPr>
            </w:pPr>
          </w:p>
        </w:tc>
      </w:tr>
      <w:tr w:rsidR="00000000" w14:paraId="3705DBCC" w14:textId="77777777">
        <w:trPr>
          <w:divId w:val="98525094"/>
          <w:trHeight w:val="225"/>
          <w:tblCellSpacing w:w="15" w:type="dxa"/>
        </w:trPr>
        <w:tc>
          <w:tcPr>
            <w:tcW w:w="0" w:type="auto"/>
            <w:vAlign w:val="center"/>
            <w:hideMark/>
          </w:tcPr>
          <w:p w14:paraId="7F714235" w14:textId="77777777" w:rsidR="00000000" w:rsidRDefault="00EB4933">
            <w:pPr>
              <w:rPr>
                <w:rFonts w:eastAsia="Times New Roman"/>
                <w:sz w:val="20"/>
                <w:szCs w:val="20"/>
              </w:rPr>
            </w:pPr>
            <w:hyperlink r:id="rId90" w:anchor="toc" w:history="1">
              <w:r>
                <w:rPr>
                  <w:rStyle w:val="Hyperlink"/>
                  <w:rFonts w:eastAsia="Times New Roman"/>
                  <w:i/>
                  <w:iCs/>
                  <w:sz w:val="20"/>
                  <w:szCs w:val="20"/>
                </w:rPr>
                <w:t>Table of Contents</w:t>
              </w:r>
            </w:hyperlink>
          </w:p>
        </w:tc>
      </w:tr>
    </w:tbl>
    <w:p w14:paraId="76CDF45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6241954"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We may be treated as a resident enterprise for PRC tax purposes under the EIT Law, which may subject us to PRC income tax for our global income and withholding for any dividends we pay to our non-PRC shareholders and ADS holder</w:t>
      </w:r>
      <w:r>
        <w:rPr>
          <w:rStyle w:val="Emphasis"/>
          <w:b/>
          <w:bCs/>
          <w:sz w:val="20"/>
          <w:szCs w:val="20"/>
        </w:rPr>
        <w:t xml:space="preserve">s. </w:t>
      </w:r>
    </w:p>
    <w:p w14:paraId="41EC9670"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C54283F" w14:textId="77777777" w:rsidR="00000000" w:rsidRDefault="00EB4933">
      <w:pPr>
        <w:pStyle w:val="NormalWeb"/>
        <w:spacing w:before="0" w:beforeAutospacing="0" w:after="0" w:afterAutospacing="0"/>
        <w:ind w:firstLine="675"/>
        <w:jc w:val="both"/>
        <w:divId w:val="98525094"/>
        <w:rPr>
          <w:sz w:val="20"/>
          <w:szCs w:val="20"/>
        </w:rPr>
      </w:pPr>
      <w:r>
        <w:rPr>
          <w:sz w:val="20"/>
          <w:szCs w:val="20"/>
        </w:rPr>
        <w:t>Under the Enterprise Income Tax Law (“EIT Law”), enterprises established outside of China whose “de facto management bodies” are located in China are considered “resident enterprises,” and will generally be subject to the uniform 25% enterprise incom</w:t>
      </w:r>
      <w:r>
        <w:rPr>
          <w:sz w:val="20"/>
          <w:szCs w:val="20"/>
        </w:rPr>
        <w:t xml:space="preserve">e tax rate for their global income. Although the term “de facto management bodies” is defined as “management bodies which has substantial and overall management and control power on the operation, human resources, accounting and assets of the enterprise,” </w:t>
      </w:r>
      <w:r>
        <w:rPr>
          <w:sz w:val="20"/>
          <w:szCs w:val="20"/>
        </w:rPr>
        <w:t>the circumstances under which an enterprise’s “de facto management body” would be considered to be located in China are currently unclear. A circular issued by the State Administration of Taxation (</w:t>
      </w:r>
      <w:r>
        <w:rPr>
          <w:rFonts w:ascii="MS Mincho" w:eastAsia="MS Mincho" w:hAnsi="MS Mincho" w:cs="MS Mincho" w:hint="eastAsia"/>
          <w:sz w:val="20"/>
          <w:szCs w:val="20"/>
        </w:rPr>
        <w:t>《国家税</w:t>
      </w:r>
      <w:r>
        <w:rPr>
          <w:rFonts w:ascii="SimSun" w:eastAsia="SimSun" w:hAnsi="SimSun" w:cs="SimSun" w:hint="eastAsia"/>
          <w:sz w:val="20"/>
          <w:szCs w:val="20"/>
        </w:rPr>
        <w:t>务总局关于境外注册中资控股企业依据实际管理机构标准认定为居民企业有关问题的通知》</w:t>
      </w:r>
      <w:r>
        <w:rPr>
          <w:sz w:val="20"/>
          <w:szCs w:val="20"/>
        </w:rPr>
        <w:t>) on April 22,</w:t>
      </w:r>
      <w:r>
        <w:rPr>
          <w:sz w:val="20"/>
          <w:szCs w:val="20"/>
        </w:rPr>
        <w:t xml:space="preserve"> 2009, partially invalid on December 29, 2017, which provides that a foreign enterprise controlled by a PRC company or a PRC company group will be classified as a “resident enterprise” with its “de facto management bodies” located within China if the follo</w:t>
      </w:r>
      <w:r>
        <w:rPr>
          <w:sz w:val="20"/>
          <w:szCs w:val="20"/>
        </w:rPr>
        <w:t xml:space="preserve">wing requirements are satisfied: (1) the senior management and core management departments in charge of its daily operations function mainly in the PRC; (2) its financial and human resources decisions are subject to determination or approval by persons or </w:t>
      </w:r>
      <w:r>
        <w:rPr>
          <w:sz w:val="20"/>
          <w:szCs w:val="20"/>
        </w:rPr>
        <w:t>bodies in the PRC; (3) its major assets, accounting books, company seals, and minutes and files of its board and shareholders’ meetings are located or kept in the PRC; and (4) at least half of the enterprise’s directors or senior management with voting rig</w:t>
      </w:r>
      <w:r>
        <w:rPr>
          <w:sz w:val="20"/>
          <w:szCs w:val="20"/>
        </w:rPr>
        <w:t>hts reside in the PRC. In addition, the State Administration of Taxation recently promulgated the Interim Provisions on Administration of Income Tax of Chinese-Controlled Resident Enterprise Registered Overseas (</w:t>
      </w:r>
      <w:r>
        <w:rPr>
          <w:rFonts w:ascii="MS Mincho" w:eastAsia="MS Mincho" w:hAnsi="MS Mincho" w:cs="MS Mincho" w:hint="eastAsia"/>
          <w:sz w:val="20"/>
          <w:szCs w:val="20"/>
        </w:rPr>
        <w:t>《境外注册中</w:t>
      </w:r>
      <w:r>
        <w:rPr>
          <w:rFonts w:ascii="SimSun" w:eastAsia="SimSun" w:hAnsi="SimSun" w:cs="SimSun" w:hint="eastAsia"/>
          <w:sz w:val="20"/>
          <w:szCs w:val="20"/>
        </w:rPr>
        <w:t>资控股居民企业所得税管理办法（试行）》</w:t>
      </w:r>
      <w:r>
        <w:rPr>
          <w:sz w:val="20"/>
          <w:szCs w:val="20"/>
        </w:rPr>
        <w:t>), effective from S</w:t>
      </w:r>
      <w:r>
        <w:rPr>
          <w:sz w:val="20"/>
          <w:szCs w:val="20"/>
        </w:rPr>
        <w:t xml:space="preserve">eptember 1, 2011, as subsequently amended on June 1, 2015 and June 15, 2018, which clarified certain matters concerning the determination of resident status, administrative matters following this determination, and competent tax authorities. These interim </w:t>
      </w:r>
      <w:r>
        <w:rPr>
          <w:sz w:val="20"/>
          <w:szCs w:val="20"/>
        </w:rPr>
        <w:t>provisions also specify that when an enterprise which is both Chinese-controlled and incorporated outside of mainland China receives PRC-sourced incomes such as dividends and interests, no PRC withholding tax is applicable if such enterprise has obtained a</w:t>
      </w:r>
      <w:r>
        <w:rPr>
          <w:sz w:val="20"/>
          <w:szCs w:val="20"/>
        </w:rPr>
        <w:t xml:space="preserve"> certificate evidencing its status as a PRC resident enterprise which is registered overseas and controlled by Chinese. </w:t>
      </w:r>
    </w:p>
    <w:p w14:paraId="3398BF65"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5F35C9D" w14:textId="77777777" w:rsidR="00000000" w:rsidRDefault="00EB4933">
      <w:pPr>
        <w:pStyle w:val="NormalWeb"/>
        <w:spacing w:before="0" w:beforeAutospacing="0" w:after="0" w:afterAutospacing="0"/>
        <w:ind w:firstLine="675"/>
        <w:jc w:val="both"/>
        <w:divId w:val="98525094"/>
        <w:rPr>
          <w:sz w:val="20"/>
          <w:szCs w:val="20"/>
        </w:rPr>
      </w:pPr>
      <w:r>
        <w:rPr>
          <w:sz w:val="20"/>
          <w:szCs w:val="20"/>
        </w:rPr>
        <w:t>Most members of our management team are based in China and are expected to remain in China. Although our offshore holding companies are not controlled by any PRC company or company group, we cannot assure you that we will not be deemed to be a PRC resident</w:t>
      </w:r>
      <w:r>
        <w:rPr>
          <w:sz w:val="20"/>
          <w:szCs w:val="20"/>
        </w:rPr>
        <w:t xml:space="preserve"> enterprise under the EIT Law and its implementation rules. If we are deemed to be a PRC resident enterprise, we will be subject to PRC enterprise income tax at the rate of 25% on our global income. In that case, however, dividend income we receive from ou</w:t>
      </w:r>
      <w:r>
        <w:rPr>
          <w:sz w:val="20"/>
          <w:szCs w:val="20"/>
        </w:rPr>
        <w:t>r PRC subsidiaries may be exempt from PRC enterprise income tax because the EIT Law and its implementation rules generally provide that dividends received by a PRC resident enterprise from its directly invested entity that is also a PRC resident enterprise</w:t>
      </w:r>
      <w:r>
        <w:rPr>
          <w:sz w:val="20"/>
          <w:szCs w:val="20"/>
        </w:rPr>
        <w:t xml:space="preserve"> is exempt from enterprise income tax. Accordingly, if we are deemed to be a PRC resident enterprise and earn income other than dividends from our PRC subsidiaries, a 25% enterprise income tax on our global income could significantly increase our tax burde</w:t>
      </w:r>
      <w:r>
        <w:rPr>
          <w:sz w:val="20"/>
          <w:szCs w:val="20"/>
        </w:rPr>
        <w:t xml:space="preserve">n and materially and adversely affect our cash flow and profitability. </w:t>
      </w:r>
    </w:p>
    <w:p w14:paraId="64349B1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512FD4EB"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addition, the EIT Law and its implementation rules are relatively new and ambiguities exist with respect to the interpretation of the provisions relating to identification of PRC-</w:t>
      </w:r>
      <w:r>
        <w:rPr>
          <w:sz w:val="20"/>
          <w:szCs w:val="20"/>
        </w:rPr>
        <w:t>sourced income. If we are deemed to be a PRC resident enterprise, dividends distributed to our non-PRC entity investors by us, or the gain our non-PRC entity investors may realize from the transfer of our common shares or ADSs, may be treated as PRC-source</w:t>
      </w:r>
      <w:r>
        <w:rPr>
          <w:sz w:val="20"/>
          <w:szCs w:val="20"/>
        </w:rPr>
        <w:t>d income and therefore be subject to a 10% PRC withholding tax pursuant to the EIT Law and, as a result, the value of your investment may be materially and adversely affected.</w:t>
      </w:r>
    </w:p>
    <w:p w14:paraId="3308215A"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8AF1490" w14:textId="77777777">
        <w:trPr>
          <w:divId w:val="98525094"/>
          <w:trHeight w:val="225"/>
          <w:tblCellSpacing w:w="15" w:type="dxa"/>
        </w:trPr>
        <w:tc>
          <w:tcPr>
            <w:tcW w:w="0" w:type="auto"/>
            <w:vAlign w:val="center"/>
            <w:hideMark/>
          </w:tcPr>
          <w:p w14:paraId="59F43556" w14:textId="77777777" w:rsidR="00000000" w:rsidRDefault="00EB4933">
            <w:pPr>
              <w:rPr>
                <w:rFonts w:eastAsia="Times New Roman"/>
                <w:sz w:val="20"/>
                <w:szCs w:val="20"/>
              </w:rPr>
            </w:pPr>
            <w:r>
              <w:rPr>
                <w:rFonts w:eastAsia="Times New Roman"/>
                <w:sz w:val="20"/>
                <w:szCs w:val="20"/>
              </w:rPr>
              <w:t> </w:t>
            </w:r>
          </w:p>
        </w:tc>
      </w:tr>
      <w:tr w:rsidR="00000000" w14:paraId="0DFEA390" w14:textId="77777777">
        <w:trPr>
          <w:divId w:val="98525094"/>
          <w:trHeight w:val="225"/>
          <w:tblCellSpacing w:w="15" w:type="dxa"/>
        </w:trPr>
        <w:tc>
          <w:tcPr>
            <w:tcW w:w="0" w:type="auto"/>
            <w:tcBorders>
              <w:bottom w:val="single" w:sz="6" w:space="0" w:color="000000"/>
            </w:tcBorders>
            <w:vAlign w:val="center"/>
            <w:hideMark/>
          </w:tcPr>
          <w:p w14:paraId="3FB49681" w14:textId="77777777" w:rsidR="00000000" w:rsidRDefault="00EB4933">
            <w:pPr>
              <w:jc w:val="center"/>
              <w:rPr>
                <w:rFonts w:eastAsia="Times New Roman"/>
                <w:sz w:val="20"/>
                <w:szCs w:val="20"/>
              </w:rPr>
            </w:pPr>
            <w:r>
              <w:rPr>
                <w:rFonts w:eastAsia="Times New Roman"/>
                <w:sz w:val="20"/>
                <w:szCs w:val="20"/>
              </w:rPr>
              <w:lastRenderedPageBreak/>
              <w:t>31</w:t>
            </w:r>
          </w:p>
        </w:tc>
      </w:tr>
      <w:tr w:rsidR="00000000" w14:paraId="2908938B" w14:textId="77777777">
        <w:trPr>
          <w:divId w:val="98525094"/>
          <w:trHeight w:val="225"/>
          <w:tblCellSpacing w:w="15" w:type="dxa"/>
        </w:trPr>
        <w:tc>
          <w:tcPr>
            <w:tcW w:w="0" w:type="auto"/>
            <w:vAlign w:val="center"/>
            <w:hideMark/>
          </w:tcPr>
          <w:p w14:paraId="7CD596D6" w14:textId="77777777" w:rsidR="00000000" w:rsidRDefault="00EB4933">
            <w:pPr>
              <w:rPr>
                <w:rFonts w:eastAsia="Times New Roman"/>
                <w:sz w:val="20"/>
                <w:szCs w:val="20"/>
              </w:rPr>
            </w:pPr>
          </w:p>
        </w:tc>
      </w:tr>
      <w:tr w:rsidR="00000000" w14:paraId="2C97F681" w14:textId="77777777">
        <w:trPr>
          <w:divId w:val="98525094"/>
          <w:trHeight w:val="225"/>
          <w:tblCellSpacing w:w="15" w:type="dxa"/>
        </w:trPr>
        <w:tc>
          <w:tcPr>
            <w:tcW w:w="0" w:type="auto"/>
            <w:vAlign w:val="center"/>
            <w:hideMark/>
          </w:tcPr>
          <w:p w14:paraId="49110274" w14:textId="77777777" w:rsidR="00000000" w:rsidRDefault="00EB4933">
            <w:pPr>
              <w:rPr>
                <w:rFonts w:eastAsia="Times New Roman"/>
                <w:sz w:val="20"/>
                <w:szCs w:val="20"/>
              </w:rPr>
            </w:pPr>
            <w:hyperlink r:id="rId91" w:anchor="toc" w:history="1">
              <w:r>
                <w:rPr>
                  <w:rStyle w:val="Hyperlink"/>
                  <w:rFonts w:eastAsia="Times New Roman"/>
                  <w:i/>
                  <w:iCs/>
                  <w:sz w:val="20"/>
                  <w:szCs w:val="20"/>
                </w:rPr>
                <w:t>Table of Contents</w:t>
              </w:r>
            </w:hyperlink>
          </w:p>
        </w:tc>
      </w:tr>
    </w:tbl>
    <w:p w14:paraId="5CD88EF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AF0E32E"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We may hav</w:t>
      </w:r>
      <w:r>
        <w:rPr>
          <w:rStyle w:val="Emphasis"/>
          <w:b/>
          <w:bCs/>
          <w:sz w:val="20"/>
          <w:szCs w:val="20"/>
        </w:rPr>
        <w:t>e exposure to greater than anticipated tax liabilities.</w:t>
      </w:r>
    </w:p>
    <w:p w14:paraId="064852E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FA20147" w14:textId="77777777" w:rsidR="00000000" w:rsidRDefault="00EB4933">
      <w:pPr>
        <w:pStyle w:val="NormalWeb"/>
        <w:spacing w:before="0" w:beforeAutospacing="0" w:after="0" w:afterAutospacing="0"/>
        <w:ind w:firstLine="675"/>
        <w:jc w:val="both"/>
        <w:divId w:val="98525094"/>
        <w:rPr>
          <w:sz w:val="20"/>
          <w:szCs w:val="20"/>
        </w:rPr>
      </w:pPr>
      <w:r>
        <w:rPr>
          <w:sz w:val="20"/>
          <w:szCs w:val="20"/>
        </w:rPr>
        <w:t>Under PRC laws and regulations, arrangements and transactions among business entities may be subject to audit or challenge by the PRC tax authorities. The tax laws applicable to our business activit</w:t>
      </w:r>
      <w:r>
        <w:rPr>
          <w:sz w:val="20"/>
          <w:szCs w:val="20"/>
        </w:rPr>
        <w:t>ies are subject to interpretation. We could face material and adverse tax consequences if the PRC tax authorities determine that some of our business activities are not based on arm’s-length prices and adjust our taxable income accordingly. In addition, th</w:t>
      </w:r>
      <w:r>
        <w:rPr>
          <w:sz w:val="20"/>
          <w:szCs w:val="20"/>
        </w:rPr>
        <w:t>e PRC tax authorities may impose late payment fees and other penalties to us for under-paid taxes. Our consolidated net profit in the future may be materially and adversely affected if we are subject to greater than anticipated tax liabilities.</w:t>
      </w:r>
    </w:p>
    <w:p w14:paraId="2517B698"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w:t>
      </w:r>
    </w:p>
    <w:p w14:paraId="19C4A8BB"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The PRC legal system has inherent uncertainties regarding the interpretation and enforcement of PRC laws and regulations which could limit the legal protections available to investors.</w:t>
      </w:r>
    </w:p>
    <w:p w14:paraId="2889DAA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B965F3C" w14:textId="77777777" w:rsidR="00000000" w:rsidRDefault="00EB4933">
      <w:pPr>
        <w:pStyle w:val="NormalWeb"/>
        <w:spacing w:before="0" w:beforeAutospacing="0" w:after="0" w:afterAutospacing="0"/>
        <w:ind w:firstLine="675"/>
        <w:jc w:val="both"/>
        <w:divId w:val="98525094"/>
        <w:rPr>
          <w:sz w:val="20"/>
          <w:szCs w:val="20"/>
        </w:rPr>
      </w:pPr>
      <w:r>
        <w:rPr>
          <w:sz w:val="20"/>
          <w:szCs w:val="20"/>
        </w:rPr>
        <w:t>Substantially all of our operations are conducted in the PRC. The PRC</w:t>
      </w:r>
      <w:r>
        <w:rPr>
          <w:sz w:val="20"/>
          <w:szCs w:val="20"/>
        </w:rPr>
        <w:t xml:space="preserve"> legal system is a civil law system based on written statutes, and prior court decisions can only be cited as reference and have almost no precedential value. Since 1979, the PRC government has been developing a comprehensive system of laws, rules and regu</w:t>
      </w:r>
      <w:r>
        <w:rPr>
          <w:sz w:val="20"/>
          <w:szCs w:val="20"/>
        </w:rPr>
        <w:t>lations in relation to economic matters, such as foreign investment, corporate organization and governance, commerce, taxation and trade. However, because of the limited volume of published cases and their non-binding nature, the interpretation and enforce</w:t>
      </w:r>
      <w:r>
        <w:rPr>
          <w:sz w:val="20"/>
          <w:szCs w:val="20"/>
        </w:rPr>
        <w:t>ment of these laws, rules and regulations involve some degree of uncertainty, which may lead to additional restrictions and uncertainty for our business and uncertainty with respect to the outcome of any legal action investors may take against us in the PR</w:t>
      </w:r>
      <w:r>
        <w:rPr>
          <w:sz w:val="20"/>
          <w:szCs w:val="20"/>
        </w:rPr>
        <w:t xml:space="preserve">C. In addition, we cannot predict the effect of future developments in the PRC legal system, including the promulgation of new laws, changes to existing laws or the interpretation or enforcement thereof, or the pre-emption of local regulations by national </w:t>
      </w:r>
      <w:r>
        <w:rPr>
          <w:sz w:val="20"/>
          <w:szCs w:val="20"/>
        </w:rPr>
        <w:t xml:space="preserve">laws. Any changes to such laws and regulations may materially increase our costs and regulatory exposure in complying with them. </w:t>
      </w:r>
    </w:p>
    <w:p w14:paraId="62D05278"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CF89EFB"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If we become directly subject to the recent scrutiny, criticism and negative publicity involving U.S.-listed Chinese compani</w:t>
      </w:r>
      <w:r>
        <w:rPr>
          <w:rStyle w:val="Emphasis"/>
          <w:b/>
          <w:bCs/>
          <w:sz w:val="20"/>
          <w:szCs w:val="20"/>
        </w:rPr>
        <w:t>es, we may have to expend significant resources to investigate and resolve any related issues, which could materially adversely impact our business operations, our reputation, and the trading price of its ADSs.</w:t>
      </w:r>
    </w:p>
    <w:p w14:paraId="18F7F7C6"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w:t>
      </w:r>
    </w:p>
    <w:p w14:paraId="7BE932AE" w14:textId="77777777" w:rsidR="00000000" w:rsidRDefault="00EB4933">
      <w:pPr>
        <w:pStyle w:val="NormalWeb"/>
        <w:spacing w:before="0" w:beforeAutospacing="0" w:after="0" w:afterAutospacing="0"/>
        <w:ind w:firstLine="675"/>
        <w:jc w:val="both"/>
        <w:divId w:val="98525094"/>
        <w:rPr>
          <w:sz w:val="20"/>
          <w:szCs w:val="20"/>
        </w:rPr>
      </w:pPr>
      <w:r>
        <w:rPr>
          <w:sz w:val="20"/>
          <w:szCs w:val="20"/>
        </w:rPr>
        <w:t>Certain U.S. public companies that have sub</w:t>
      </w:r>
      <w:r>
        <w:rPr>
          <w:sz w:val="20"/>
          <w:szCs w:val="20"/>
        </w:rPr>
        <w:t>stantially all of their operations in China have been the subject of intense scrutiny, criticism and negative publicity by investors, financial commentators and regulatory agencies, such as the SEC. Much of the scrutiny, criticism and negative publicity ha</w:t>
      </w:r>
      <w:r>
        <w:rPr>
          <w:sz w:val="20"/>
          <w:szCs w:val="20"/>
        </w:rPr>
        <w:t xml:space="preserve">s been centered around financial and accounting irregularities and mistakes, a lack of effective internal controls over financial accounting, inadequate corporate governance policies or a lack of adherence thereto and, in many cases, allegations of fraud. </w:t>
      </w:r>
      <w:r>
        <w:rPr>
          <w:sz w:val="20"/>
          <w:szCs w:val="20"/>
        </w:rPr>
        <w:t xml:space="preserve">As a result of the scrutiny, criticism and negative publicity, the publicly traded stock of certain U.S.-listed Chinese companies has sharply decreased in value. Certain companies are now subject to shareholder lawsuits and SEC enforcement actions and are </w:t>
      </w:r>
      <w:r>
        <w:rPr>
          <w:sz w:val="20"/>
          <w:szCs w:val="20"/>
        </w:rPr>
        <w:t>conducting internal and external investigations into the allegations. It is not clear what effect this scrutiny, criticism and negative publicity will have on our business and the trading price of our ADSs. If we become the subject of any unfavorable alleg</w:t>
      </w:r>
      <w:r>
        <w:rPr>
          <w:sz w:val="20"/>
          <w:szCs w:val="20"/>
        </w:rPr>
        <w:t>ations, whether such allegations are proven to be true or untrue, we will have to expend significant resources to investigate such allegations and/or defend our company. This situation will be costly and time consuming and distract our management from grow</w:t>
      </w:r>
      <w:r>
        <w:rPr>
          <w:sz w:val="20"/>
          <w:szCs w:val="20"/>
        </w:rPr>
        <w:t>ing the company. Such allegations may materially adversely impact our business operations, our reputation, and the trading price of our ADSs.</w:t>
      </w:r>
    </w:p>
    <w:p w14:paraId="3C4A2F8D"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EAF4112" w14:textId="77777777">
        <w:trPr>
          <w:divId w:val="98525094"/>
          <w:trHeight w:val="225"/>
          <w:tblCellSpacing w:w="15" w:type="dxa"/>
        </w:trPr>
        <w:tc>
          <w:tcPr>
            <w:tcW w:w="0" w:type="auto"/>
            <w:vAlign w:val="center"/>
            <w:hideMark/>
          </w:tcPr>
          <w:p w14:paraId="050F1542" w14:textId="77777777" w:rsidR="00000000" w:rsidRDefault="00EB4933">
            <w:pPr>
              <w:rPr>
                <w:rFonts w:eastAsia="Times New Roman"/>
                <w:sz w:val="20"/>
                <w:szCs w:val="20"/>
              </w:rPr>
            </w:pPr>
            <w:r>
              <w:rPr>
                <w:rFonts w:eastAsia="Times New Roman"/>
                <w:sz w:val="20"/>
                <w:szCs w:val="20"/>
              </w:rPr>
              <w:t> </w:t>
            </w:r>
          </w:p>
        </w:tc>
      </w:tr>
      <w:tr w:rsidR="00000000" w14:paraId="46431561" w14:textId="77777777">
        <w:trPr>
          <w:divId w:val="98525094"/>
          <w:trHeight w:val="225"/>
          <w:tblCellSpacing w:w="15" w:type="dxa"/>
        </w:trPr>
        <w:tc>
          <w:tcPr>
            <w:tcW w:w="0" w:type="auto"/>
            <w:tcBorders>
              <w:bottom w:val="single" w:sz="6" w:space="0" w:color="000000"/>
            </w:tcBorders>
            <w:vAlign w:val="center"/>
            <w:hideMark/>
          </w:tcPr>
          <w:p w14:paraId="14601CF1" w14:textId="77777777" w:rsidR="00000000" w:rsidRDefault="00EB4933">
            <w:pPr>
              <w:jc w:val="center"/>
              <w:rPr>
                <w:rFonts w:eastAsia="Times New Roman"/>
                <w:sz w:val="20"/>
                <w:szCs w:val="20"/>
              </w:rPr>
            </w:pPr>
            <w:r>
              <w:rPr>
                <w:rFonts w:eastAsia="Times New Roman"/>
                <w:sz w:val="20"/>
                <w:szCs w:val="20"/>
              </w:rPr>
              <w:t>32</w:t>
            </w:r>
          </w:p>
        </w:tc>
      </w:tr>
      <w:tr w:rsidR="00000000" w14:paraId="5FD8D0D5" w14:textId="77777777">
        <w:trPr>
          <w:divId w:val="98525094"/>
          <w:trHeight w:val="225"/>
          <w:tblCellSpacing w:w="15" w:type="dxa"/>
        </w:trPr>
        <w:tc>
          <w:tcPr>
            <w:tcW w:w="0" w:type="auto"/>
            <w:vAlign w:val="center"/>
            <w:hideMark/>
          </w:tcPr>
          <w:p w14:paraId="1697FD30" w14:textId="77777777" w:rsidR="00000000" w:rsidRDefault="00EB4933">
            <w:pPr>
              <w:rPr>
                <w:rFonts w:eastAsia="Times New Roman"/>
                <w:sz w:val="20"/>
                <w:szCs w:val="20"/>
              </w:rPr>
            </w:pPr>
          </w:p>
        </w:tc>
      </w:tr>
      <w:tr w:rsidR="00000000" w14:paraId="27641D57" w14:textId="77777777">
        <w:trPr>
          <w:divId w:val="98525094"/>
          <w:trHeight w:val="225"/>
          <w:tblCellSpacing w:w="15" w:type="dxa"/>
        </w:trPr>
        <w:tc>
          <w:tcPr>
            <w:tcW w:w="0" w:type="auto"/>
            <w:vAlign w:val="center"/>
            <w:hideMark/>
          </w:tcPr>
          <w:p w14:paraId="1BD076A3" w14:textId="77777777" w:rsidR="00000000" w:rsidRDefault="00EB4933">
            <w:pPr>
              <w:rPr>
                <w:rFonts w:eastAsia="Times New Roman"/>
                <w:sz w:val="20"/>
                <w:szCs w:val="20"/>
              </w:rPr>
            </w:pPr>
            <w:hyperlink r:id="rId92" w:anchor="toc" w:history="1">
              <w:r>
                <w:rPr>
                  <w:rStyle w:val="Hyperlink"/>
                  <w:rFonts w:eastAsia="Times New Roman"/>
                  <w:i/>
                  <w:iCs/>
                  <w:sz w:val="20"/>
                  <w:szCs w:val="20"/>
                </w:rPr>
                <w:t>Table of Contents</w:t>
              </w:r>
            </w:hyperlink>
          </w:p>
        </w:tc>
      </w:tr>
    </w:tbl>
    <w:p w14:paraId="46C64914"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3FEE6021" w14:textId="77777777" w:rsidR="00000000" w:rsidRDefault="00EB4933">
      <w:pPr>
        <w:pStyle w:val="NormalWeb"/>
        <w:spacing w:before="0" w:beforeAutospacing="0" w:after="0" w:afterAutospacing="0"/>
        <w:jc w:val="both"/>
        <w:divId w:val="98525094"/>
        <w:rPr>
          <w:sz w:val="20"/>
          <w:szCs w:val="20"/>
        </w:rPr>
      </w:pPr>
      <w:r>
        <w:rPr>
          <w:rStyle w:val="Strong"/>
          <w:sz w:val="20"/>
          <w:szCs w:val="20"/>
        </w:rPr>
        <w:t>Risks Relating to our Ordinary Shares and ADSs</w:t>
      </w:r>
    </w:p>
    <w:p w14:paraId="36EA9FF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2088A1F"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The trading prices of our ADSs are likely to be volatile, which could result in substantial losses to investors.</w:t>
      </w:r>
    </w:p>
    <w:p w14:paraId="7CA79F99"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 </w:t>
      </w:r>
    </w:p>
    <w:p w14:paraId="45A2B6B4"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market price for our ADSs has fluctuated significantly since our ADSs became listed on t</w:t>
      </w:r>
      <w:r>
        <w:rPr>
          <w:sz w:val="20"/>
          <w:szCs w:val="20"/>
        </w:rPr>
        <w:t xml:space="preserve">he New York Stock Exchange, or the NYSE, on November 23, 2010, and listed on NYSE American as of December 28, 2017. The market price for our ADSs is likely to be highly volatile and subject to wide fluctuations in response to factors such as: </w:t>
      </w:r>
    </w:p>
    <w:p w14:paraId="0E47F6A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45"/>
        <w:gridCol w:w="8815"/>
      </w:tblGrid>
      <w:tr w:rsidR="00000000" w14:paraId="5722986D" w14:textId="77777777">
        <w:trPr>
          <w:divId w:val="98525094"/>
          <w:trHeight w:val="225"/>
          <w:tblCellSpacing w:w="15" w:type="dxa"/>
        </w:trPr>
        <w:tc>
          <w:tcPr>
            <w:tcW w:w="200" w:type="pct"/>
            <w:hideMark/>
          </w:tcPr>
          <w:p w14:paraId="79CD2CCA"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F3C4B53" w14:textId="77777777" w:rsidR="00000000" w:rsidRDefault="00EB4933">
            <w:pPr>
              <w:rPr>
                <w:rFonts w:eastAsia="Times New Roman"/>
                <w:sz w:val="20"/>
                <w:szCs w:val="20"/>
              </w:rPr>
            </w:pPr>
            <w:r>
              <w:rPr>
                <w:rFonts w:eastAsia="Times New Roman"/>
                <w:sz w:val="20"/>
                <w:szCs w:val="20"/>
              </w:rPr>
              <w:t>change i</w:t>
            </w:r>
            <w:r>
              <w:rPr>
                <w:rFonts w:eastAsia="Times New Roman"/>
                <w:sz w:val="20"/>
                <w:szCs w:val="20"/>
              </w:rPr>
              <w:t>n business as a result of the Divestiture and Acquisition;</w:t>
            </w:r>
          </w:p>
        </w:tc>
      </w:tr>
      <w:tr w:rsidR="00000000" w14:paraId="7DA2E254" w14:textId="77777777">
        <w:trPr>
          <w:divId w:val="98525094"/>
          <w:trHeight w:val="225"/>
          <w:tblCellSpacing w:w="15" w:type="dxa"/>
        </w:trPr>
        <w:tc>
          <w:tcPr>
            <w:tcW w:w="0" w:type="auto"/>
            <w:vAlign w:val="center"/>
            <w:hideMark/>
          </w:tcPr>
          <w:p w14:paraId="653E6F4D"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2740D7C8" w14:textId="77777777" w:rsidR="00000000" w:rsidRDefault="00EB4933">
            <w:pPr>
              <w:pStyle w:val="NormalWeb"/>
              <w:spacing w:before="0" w:beforeAutospacing="0" w:after="0" w:afterAutospacing="0"/>
              <w:rPr>
                <w:sz w:val="20"/>
                <w:szCs w:val="20"/>
              </w:rPr>
            </w:pPr>
            <w:r>
              <w:rPr>
                <w:sz w:val="20"/>
                <w:szCs w:val="20"/>
              </w:rPr>
              <w:t> </w:t>
            </w:r>
          </w:p>
        </w:tc>
      </w:tr>
      <w:tr w:rsidR="00000000" w14:paraId="5C2C48D0" w14:textId="77777777">
        <w:trPr>
          <w:divId w:val="98525094"/>
          <w:trHeight w:val="225"/>
          <w:tblCellSpacing w:w="15" w:type="dxa"/>
        </w:trPr>
        <w:tc>
          <w:tcPr>
            <w:tcW w:w="0" w:type="auto"/>
            <w:hideMark/>
          </w:tcPr>
          <w:p w14:paraId="6CD1A613"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1DD26F4" w14:textId="77777777" w:rsidR="00000000" w:rsidRDefault="00EB4933">
            <w:pPr>
              <w:rPr>
                <w:rFonts w:eastAsia="Times New Roman"/>
                <w:sz w:val="20"/>
                <w:szCs w:val="20"/>
              </w:rPr>
            </w:pPr>
            <w:r>
              <w:rPr>
                <w:rFonts w:eastAsia="Times New Roman"/>
                <w:sz w:val="20"/>
                <w:szCs w:val="20"/>
              </w:rPr>
              <w:t>variations in our revenues, earnings and cash flow;</w:t>
            </w:r>
          </w:p>
        </w:tc>
      </w:tr>
      <w:tr w:rsidR="00000000" w14:paraId="4F87BA34" w14:textId="77777777">
        <w:trPr>
          <w:divId w:val="98525094"/>
          <w:trHeight w:val="225"/>
          <w:tblCellSpacing w:w="15" w:type="dxa"/>
        </w:trPr>
        <w:tc>
          <w:tcPr>
            <w:tcW w:w="0" w:type="auto"/>
            <w:vAlign w:val="center"/>
            <w:hideMark/>
          </w:tcPr>
          <w:p w14:paraId="29F23C2A"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4CFAE09D" w14:textId="77777777" w:rsidR="00000000" w:rsidRDefault="00EB4933">
            <w:pPr>
              <w:pStyle w:val="NormalWeb"/>
              <w:spacing w:before="0" w:beforeAutospacing="0" w:after="0" w:afterAutospacing="0"/>
              <w:rPr>
                <w:sz w:val="20"/>
                <w:szCs w:val="20"/>
              </w:rPr>
            </w:pPr>
            <w:r>
              <w:rPr>
                <w:sz w:val="20"/>
                <w:szCs w:val="20"/>
              </w:rPr>
              <w:t> </w:t>
            </w:r>
          </w:p>
        </w:tc>
      </w:tr>
      <w:tr w:rsidR="00000000" w14:paraId="459B1DEE" w14:textId="77777777">
        <w:trPr>
          <w:divId w:val="98525094"/>
          <w:trHeight w:val="225"/>
          <w:tblCellSpacing w:w="15" w:type="dxa"/>
        </w:trPr>
        <w:tc>
          <w:tcPr>
            <w:tcW w:w="0" w:type="auto"/>
            <w:hideMark/>
          </w:tcPr>
          <w:p w14:paraId="24FF4E8F"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71758C7A" w14:textId="77777777" w:rsidR="00000000" w:rsidRDefault="00EB4933">
            <w:pPr>
              <w:rPr>
                <w:rFonts w:eastAsia="Times New Roman"/>
                <w:sz w:val="20"/>
                <w:szCs w:val="20"/>
              </w:rPr>
            </w:pPr>
            <w:r>
              <w:rPr>
                <w:rFonts w:eastAsia="Times New Roman"/>
                <w:sz w:val="20"/>
                <w:szCs w:val="20"/>
              </w:rPr>
              <w:t>announcements of new investments, acquisitions, strategic partnerships, or joint ventures;</w:t>
            </w:r>
          </w:p>
        </w:tc>
      </w:tr>
      <w:tr w:rsidR="00000000" w14:paraId="153A7A6B" w14:textId="77777777">
        <w:trPr>
          <w:divId w:val="98525094"/>
          <w:trHeight w:val="225"/>
          <w:tblCellSpacing w:w="15" w:type="dxa"/>
        </w:trPr>
        <w:tc>
          <w:tcPr>
            <w:tcW w:w="0" w:type="auto"/>
            <w:vAlign w:val="center"/>
            <w:hideMark/>
          </w:tcPr>
          <w:p w14:paraId="6AD805CE"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7C63A193" w14:textId="77777777" w:rsidR="00000000" w:rsidRDefault="00EB4933">
            <w:pPr>
              <w:pStyle w:val="NormalWeb"/>
              <w:spacing w:before="0" w:beforeAutospacing="0" w:after="0" w:afterAutospacing="0"/>
              <w:rPr>
                <w:sz w:val="20"/>
                <w:szCs w:val="20"/>
              </w:rPr>
            </w:pPr>
            <w:r>
              <w:rPr>
                <w:sz w:val="20"/>
                <w:szCs w:val="20"/>
              </w:rPr>
              <w:t> </w:t>
            </w:r>
          </w:p>
        </w:tc>
      </w:tr>
      <w:tr w:rsidR="00000000" w14:paraId="3567B918" w14:textId="77777777">
        <w:trPr>
          <w:divId w:val="98525094"/>
          <w:trHeight w:val="225"/>
          <w:tblCellSpacing w:w="15" w:type="dxa"/>
        </w:trPr>
        <w:tc>
          <w:tcPr>
            <w:tcW w:w="0" w:type="auto"/>
            <w:hideMark/>
          </w:tcPr>
          <w:p w14:paraId="7F7711A4"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15ECB851" w14:textId="77777777" w:rsidR="00000000" w:rsidRDefault="00EB4933">
            <w:pPr>
              <w:rPr>
                <w:rFonts w:eastAsia="Times New Roman"/>
                <w:sz w:val="20"/>
                <w:szCs w:val="20"/>
              </w:rPr>
            </w:pPr>
            <w:r>
              <w:rPr>
                <w:rFonts w:eastAsia="Times New Roman"/>
                <w:sz w:val="20"/>
                <w:szCs w:val="20"/>
              </w:rPr>
              <w:t>announcements of new services and expansions by us or our competitors;</w:t>
            </w:r>
          </w:p>
        </w:tc>
      </w:tr>
      <w:tr w:rsidR="00000000" w14:paraId="1EC7B9B1" w14:textId="77777777">
        <w:trPr>
          <w:divId w:val="98525094"/>
          <w:trHeight w:val="225"/>
          <w:tblCellSpacing w:w="15" w:type="dxa"/>
        </w:trPr>
        <w:tc>
          <w:tcPr>
            <w:tcW w:w="0" w:type="auto"/>
            <w:vAlign w:val="center"/>
            <w:hideMark/>
          </w:tcPr>
          <w:p w14:paraId="67349400"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671EAC60" w14:textId="77777777" w:rsidR="00000000" w:rsidRDefault="00EB4933">
            <w:pPr>
              <w:pStyle w:val="NormalWeb"/>
              <w:spacing w:before="0" w:beforeAutospacing="0" w:after="0" w:afterAutospacing="0"/>
              <w:rPr>
                <w:sz w:val="20"/>
                <w:szCs w:val="20"/>
              </w:rPr>
            </w:pPr>
            <w:r>
              <w:rPr>
                <w:sz w:val="20"/>
                <w:szCs w:val="20"/>
              </w:rPr>
              <w:t> </w:t>
            </w:r>
          </w:p>
        </w:tc>
      </w:tr>
      <w:tr w:rsidR="00000000" w14:paraId="7617E1F5" w14:textId="77777777">
        <w:trPr>
          <w:divId w:val="98525094"/>
          <w:trHeight w:val="225"/>
          <w:tblCellSpacing w:w="15" w:type="dxa"/>
        </w:trPr>
        <w:tc>
          <w:tcPr>
            <w:tcW w:w="0" w:type="auto"/>
            <w:hideMark/>
          </w:tcPr>
          <w:p w14:paraId="6F2B7478"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71201022" w14:textId="77777777" w:rsidR="00000000" w:rsidRDefault="00EB4933">
            <w:pPr>
              <w:rPr>
                <w:rFonts w:eastAsia="Times New Roman"/>
                <w:sz w:val="20"/>
                <w:szCs w:val="20"/>
              </w:rPr>
            </w:pPr>
            <w:r>
              <w:rPr>
                <w:rFonts w:eastAsia="Times New Roman"/>
                <w:sz w:val="20"/>
                <w:szCs w:val="20"/>
              </w:rPr>
              <w:t>changes in financial estimates by securities analysts;</w:t>
            </w:r>
          </w:p>
        </w:tc>
      </w:tr>
      <w:tr w:rsidR="00000000" w14:paraId="736B6E4A" w14:textId="77777777">
        <w:trPr>
          <w:divId w:val="98525094"/>
          <w:trHeight w:val="225"/>
          <w:tblCellSpacing w:w="15" w:type="dxa"/>
        </w:trPr>
        <w:tc>
          <w:tcPr>
            <w:tcW w:w="0" w:type="auto"/>
            <w:vAlign w:val="center"/>
            <w:hideMark/>
          </w:tcPr>
          <w:p w14:paraId="0D446CB8"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150B73F0" w14:textId="77777777" w:rsidR="00000000" w:rsidRDefault="00EB4933">
            <w:pPr>
              <w:pStyle w:val="NormalWeb"/>
              <w:spacing w:before="0" w:beforeAutospacing="0" w:after="0" w:afterAutospacing="0"/>
              <w:rPr>
                <w:sz w:val="20"/>
                <w:szCs w:val="20"/>
              </w:rPr>
            </w:pPr>
            <w:r>
              <w:rPr>
                <w:sz w:val="20"/>
                <w:szCs w:val="20"/>
              </w:rPr>
              <w:t> </w:t>
            </w:r>
          </w:p>
        </w:tc>
      </w:tr>
      <w:tr w:rsidR="00000000" w14:paraId="1ACA0ABF" w14:textId="77777777">
        <w:trPr>
          <w:divId w:val="98525094"/>
          <w:trHeight w:val="225"/>
          <w:tblCellSpacing w:w="15" w:type="dxa"/>
        </w:trPr>
        <w:tc>
          <w:tcPr>
            <w:tcW w:w="0" w:type="auto"/>
            <w:hideMark/>
          </w:tcPr>
          <w:p w14:paraId="7B72FE3F"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0590B059" w14:textId="77777777" w:rsidR="00000000" w:rsidRDefault="00EB4933">
            <w:pPr>
              <w:rPr>
                <w:rFonts w:eastAsia="Times New Roman"/>
                <w:sz w:val="20"/>
                <w:szCs w:val="20"/>
              </w:rPr>
            </w:pPr>
            <w:r>
              <w:rPr>
                <w:rFonts w:eastAsia="Times New Roman"/>
                <w:sz w:val="20"/>
                <w:szCs w:val="20"/>
              </w:rPr>
              <w:t>additions or de</w:t>
            </w:r>
            <w:r>
              <w:rPr>
                <w:rFonts w:eastAsia="Times New Roman"/>
                <w:sz w:val="20"/>
                <w:szCs w:val="20"/>
              </w:rPr>
              <w:t>partures of key personnel;</w:t>
            </w:r>
          </w:p>
        </w:tc>
      </w:tr>
      <w:tr w:rsidR="00000000" w14:paraId="2A44A278" w14:textId="77777777">
        <w:trPr>
          <w:divId w:val="98525094"/>
          <w:trHeight w:val="225"/>
          <w:tblCellSpacing w:w="15" w:type="dxa"/>
        </w:trPr>
        <w:tc>
          <w:tcPr>
            <w:tcW w:w="0" w:type="auto"/>
            <w:vAlign w:val="center"/>
            <w:hideMark/>
          </w:tcPr>
          <w:p w14:paraId="540AEEA4"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4271FEB1" w14:textId="77777777" w:rsidR="00000000" w:rsidRDefault="00EB4933">
            <w:pPr>
              <w:pStyle w:val="NormalWeb"/>
              <w:spacing w:before="0" w:beforeAutospacing="0" w:after="0" w:afterAutospacing="0"/>
              <w:rPr>
                <w:sz w:val="20"/>
                <w:szCs w:val="20"/>
              </w:rPr>
            </w:pPr>
            <w:r>
              <w:rPr>
                <w:sz w:val="20"/>
                <w:szCs w:val="20"/>
              </w:rPr>
              <w:t> </w:t>
            </w:r>
          </w:p>
        </w:tc>
      </w:tr>
      <w:tr w:rsidR="00000000" w14:paraId="4961405E" w14:textId="77777777">
        <w:trPr>
          <w:divId w:val="98525094"/>
          <w:trHeight w:val="225"/>
          <w:tblCellSpacing w:w="15" w:type="dxa"/>
        </w:trPr>
        <w:tc>
          <w:tcPr>
            <w:tcW w:w="0" w:type="auto"/>
            <w:hideMark/>
          </w:tcPr>
          <w:p w14:paraId="2619AB17"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1C54E7F" w14:textId="77777777" w:rsidR="00000000" w:rsidRDefault="00EB4933">
            <w:pPr>
              <w:rPr>
                <w:rFonts w:eastAsia="Times New Roman"/>
                <w:sz w:val="20"/>
                <w:szCs w:val="20"/>
              </w:rPr>
            </w:pPr>
            <w:r>
              <w:rPr>
                <w:rFonts w:eastAsia="Times New Roman"/>
                <w:sz w:val="20"/>
                <w:szCs w:val="20"/>
              </w:rPr>
              <w:t>release of lock-up or other transfer restrictions on our outstanding equity securities or sales of additional equity securities; and</w:t>
            </w:r>
          </w:p>
        </w:tc>
      </w:tr>
      <w:tr w:rsidR="00000000" w14:paraId="053FBA32" w14:textId="77777777">
        <w:trPr>
          <w:divId w:val="98525094"/>
          <w:trHeight w:val="225"/>
          <w:tblCellSpacing w:w="15" w:type="dxa"/>
        </w:trPr>
        <w:tc>
          <w:tcPr>
            <w:tcW w:w="0" w:type="auto"/>
            <w:vAlign w:val="center"/>
            <w:hideMark/>
          </w:tcPr>
          <w:p w14:paraId="32EF3502"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1DD165EB" w14:textId="77777777" w:rsidR="00000000" w:rsidRDefault="00EB4933">
            <w:pPr>
              <w:pStyle w:val="NormalWeb"/>
              <w:spacing w:before="0" w:beforeAutospacing="0" w:after="0" w:afterAutospacing="0"/>
              <w:rPr>
                <w:sz w:val="20"/>
                <w:szCs w:val="20"/>
              </w:rPr>
            </w:pPr>
            <w:r>
              <w:rPr>
                <w:sz w:val="20"/>
                <w:szCs w:val="20"/>
              </w:rPr>
              <w:t> </w:t>
            </w:r>
          </w:p>
        </w:tc>
      </w:tr>
      <w:tr w:rsidR="00000000" w14:paraId="79C2B11B" w14:textId="77777777">
        <w:trPr>
          <w:divId w:val="98525094"/>
          <w:trHeight w:val="225"/>
          <w:tblCellSpacing w:w="15" w:type="dxa"/>
        </w:trPr>
        <w:tc>
          <w:tcPr>
            <w:tcW w:w="0" w:type="auto"/>
            <w:hideMark/>
          </w:tcPr>
          <w:p w14:paraId="78D6D120"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421A4F8" w14:textId="77777777" w:rsidR="00000000" w:rsidRDefault="00EB4933">
            <w:pPr>
              <w:rPr>
                <w:rFonts w:eastAsia="Times New Roman"/>
                <w:sz w:val="20"/>
                <w:szCs w:val="20"/>
              </w:rPr>
            </w:pPr>
            <w:r>
              <w:rPr>
                <w:rFonts w:eastAsia="Times New Roman"/>
                <w:sz w:val="20"/>
                <w:szCs w:val="20"/>
              </w:rPr>
              <w:t>ongoing litigation, potential litigation or regulatory investigations.</w:t>
            </w:r>
          </w:p>
        </w:tc>
      </w:tr>
    </w:tbl>
    <w:p w14:paraId="3D11520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C8545F0"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addition, the stock market in genera</w:t>
      </w:r>
      <w:r>
        <w:rPr>
          <w:sz w:val="20"/>
          <w:szCs w:val="20"/>
        </w:rPr>
        <w:t>l, and the market prices for companies with operations in China in particular, have experienced volatility that often has been unrelated to the operating performance of such companies. In addition, any negative news or perceptions about inadequate corporat</w:t>
      </w:r>
      <w:r>
        <w:rPr>
          <w:sz w:val="20"/>
          <w:szCs w:val="20"/>
        </w:rPr>
        <w:t>e governance practices or fraudulent accounting, corporate structure or other matters of other Chinese companies may also negatively affect the attitudes of investors towards Chinese companies in general, including us, regardless of whether we have conduct</w:t>
      </w:r>
      <w:r>
        <w:rPr>
          <w:sz w:val="20"/>
          <w:szCs w:val="20"/>
        </w:rPr>
        <w:t>ed any inappropriate activities. Any of these factors may result in large and sudden changes in the volume and price at which our ADSs will trade. We cannot assure you that these factors will not occur in the future.</w:t>
      </w:r>
    </w:p>
    <w:p w14:paraId="7FD8EF23"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E58924F" w14:textId="77777777">
        <w:trPr>
          <w:divId w:val="98525094"/>
          <w:trHeight w:val="225"/>
          <w:tblCellSpacing w:w="15" w:type="dxa"/>
        </w:trPr>
        <w:tc>
          <w:tcPr>
            <w:tcW w:w="0" w:type="auto"/>
            <w:vAlign w:val="center"/>
            <w:hideMark/>
          </w:tcPr>
          <w:p w14:paraId="405B0195" w14:textId="77777777" w:rsidR="00000000" w:rsidRDefault="00EB4933">
            <w:pPr>
              <w:rPr>
                <w:rFonts w:eastAsia="Times New Roman"/>
                <w:sz w:val="20"/>
                <w:szCs w:val="20"/>
              </w:rPr>
            </w:pPr>
            <w:r>
              <w:rPr>
                <w:rFonts w:eastAsia="Times New Roman"/>
                <w:sz w:val="20"/>
                <w:szCs w:val="20"/>
              </w:rPr>
              <w:t> </w:t>
            </w:r>
          </w:p>
        </w:tc>
      </w:tr>
      <w:tr w:rsidR="00000000" w14:paraId="25EF4AE1" w14:textId="77777777">
        <w:trPr>
          <w:divId w:val="98525094"/>
          <w:trHeight w:val="225"/>
          <w:tblCellSpacing w:w="15" w:type="dxa"/>
        </w:trPr>
        <w:tc>
          <w:tcPr>
            <w:tcW w:w="0" w:type="auto"/>
            <w:tcBorders>
              <w:bottom w:val="single" w:sz="6" w:space="0" w:color="000000"/>
            </w:tcBorders>
            <w:vAlign w:val="center"/>
            <w:hideMark/>
          </w:tcPr>
          <w:p w14:paraId="26F1D118" w14:textId="77777777" w:rsidR="00000000" w:rsidRDefault="00EB4933">
            <w:pPr>
              <w:jc w:val="center"/>
              <w:rPr>
                <w:rFonts w:eastAsia="Times New Roman"/>
                <w:sz w:val="20"/>
                <w:szCs w:val="20"/>
              </w:rPr>
            </w:pPr>
            <w:r>
              <w:rPr>
                <w:rFonts w:eastAsia="Times New Roman"/>
                <w:sz w:val="20"/>
                <w:szCs w:val="20"/>
              </w:rPr>
              <w:t>33</w:t>
            </w:r>
          </w:p>
        </w:tc>
      </w:tr>
      <w:tr w:rsidR="00000000" w14:paraId="0B19FD55" w14:textId="77777777">
        <w:trPr>
          <w:divId w:val="98525094"/>
          <w:trHeight w:val="225"/>
          <w:tblCellSpacing w:w="15" w:type="dxa"/>
        </w:trPr>
        <w:tc>
          <w:tcPr>
            <w:tcW w:w="0" w:type="auto"/>
            <w:vAlign w:val="center"/>
            <w:hideMark/>
          </w:tcPr>
          <w:p w14:paraId="68186650" w14:textId="77777777" w:rsidR="00000000" w:rsidRDefault="00EB4933">
            <w:pPr>
              <w:rPr>
                <w:rFonts w:eastAsia="Times New Roman"/>
                <w:sz w:val="20"/>
                <w:szCs w:val="20"/>
              </w:rPr>
            </w:pPr>
          </w:p>
        </w:tc>
      </w:tr>
      <w:tr w:rsidR="00000000" w14:paraId="642BA999" w14:textId="77777777">
        <w:trPr>
          <w:divId w:val="98525094"/>
          <w:trHeight w:val="225"/>
          <w:tblCellSpacing w:w="15" w:type="dxa"/>
        </w:trPr>
        <w:tc>
          <w:tcPr>
            <w:tcW w:w="0" w:type="auto"/>
            <w:vAlign w:val="center"/>
            <w:hideMark/>
          </w:tcPr>
          <w:p w14:paraId="7F18596D" w14:textId="77777777" w:rsidR="00000000" w:rsidRDefault="00EB4933">
            <w:pPr>
              <w:rPr>
                <w:rFonts w:eastAsia="Times New Roman"/>
                <w:sz w:val="20"/>
                <w:szCs w:val="20"/>
              </w:rPr>
            </w:pPr>
            <w:hyperlink r:id="rId93" w:anchor="toc" w:history="1">
              <w:r>
                <w:rPr>
                  <w:rStyle w:val="Hyperlink"/>
                  <w:rFonts w:eastAsia="Times New Roman"/>
                  <w:i/>
                  <w:iCs/>
                  <w:sz w:val="20"/>
                  <w:szCs w:val="20"/>
                </w:rPr>
                <w:t>Table of Contents</w:t>
              </w:r>
            </w:hyperlink>
          </w:p>
        </w:tc>
      </w:tr>
    </w:tbl>
    <w:p w14:paraId="7A164E4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4C64273"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xml:space="preserve">We may need additional capital, and the sale of additional ADSs or other equity securities could result in additional dilution to our shareholders. </w:t>
      </w:r>
    </w:p>
    <w:p w14:paraId="04F02067"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w:t>
      </w:r>
    </w:p>
    <w:p w14:paraId="0B17D51B"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believe that our current cash and cash equiv</w:t>
      </w:r>
      <w:r>
        <w:rPr>
          <w:sz w:val="20"/>
          <w:szCs w:val="20"/>
        </w:rPr>
        <w:t>alents and anticipated cash flow from operations will be sufficient to meet our anticipated cash needs for the near future. We may, however, require additional cash resources to finance our continued growth or other future developments, including any inves</w:t>
      </w:r>
      <w:r>
        <w:rPr>
          <w:sz w:val="20"/>
          <w:szCs w:val="20"/>
        </w:rPr>
        <w:t xml:space="preserve">tments or acquisitions we may decide to pursue. The amount and timing of such additional financing needs will vary principally depending on the timing of new investments and/or acquisitions, and the amount of cash flow from our operations. If our existing </w:t>
      </w:r>
      <w:r>
        <w:rPr>
          <w:sz w:val="20"/>
          <w:szCs w:val="20"/>
        </w:rPr>
        <w:t>cash resources are insufficient to satisfy our cash requirements, we may seek to sell additional equity or debt securities or obtain a credit facility. The sale of additional equity securities could result in additional dilution to our shareholders. The in</w:t>
      </w:r>
      <w:r>
        <w:rPr>
          <w:sz w:val="20"/>
          <w:szCs w:val="20"/>
        </w:rPr>
        <w:t xml:space="preserve">currence of indebtedness would result in increased debt service obligations and could result in operating and financing covenants that would restrict our operations. </w:t>
      </w:r>
    </w:p>
    <w:p w14:paraId="2C571D70"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511271C"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ability to obtain additional capital on acceptable terms is subject to a variety of</w:t>
      </w:r>
      <w:r>
        <w:rPr>
          <w:sz w:val="20"/>
          <w:szCs w:val="20"/>
        </w:rPr>
        <w:t xml:space="preserve"> uncertainties, including: </w:t>
      </w:r>
    </w:p>
    <w:p w14:paraId="1E161359"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7768F981" w14:textId="77777777">
        <w:trPr>
          <w:divId w:val="98525094"/>
          <w:trHeight w:val="225"/>
          <w:tblCellSpacing w:w="15" w:type="dxa"/>
        </w:trPr>
        <w:tc>
          <w:tcPr>
            <w:tcW w:w="200" w:type="pct"/>
            <w:vAlign w:val="center"/>
            <w:hideMark/>
          </w:tcPr>
          <w:p w14:paraId="4FF0FD52"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6B331145"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212A8625" w14:textId="77777777" w:rsidR="00000000" w:rsidRDefault="00EB4933">
            <w:pPr>
              <w:rPr>
                <w:rFonts w:eastAsia="Times New Roman"/>
                <w:sz w:val="20"/>
                <w:szCs w:val="20"/>
              </w:rPr>
            </w:pPr>
            <w:r>
              <w:rPr>
                <w:rFonts w:eastAsia="Times New Roman"/>
                <w:sz w:val="20"/>
                <w:szCs w:val="20"/>
              </w:rPr>
              <w:t xml:space="preserve">investors’ perception of, and demand for, securities of microfinance lending company; </w:t>
            </w:r>
          </w:p>
        </w:tc>
      </w:tr>
      <w:tr w:rsidR="00000000" w14:paraId="254A7154" w14:textId="77777777">
        <w:trPr>
          <w:divId w:val="98525094"/>
          <w:trHeight w:val="225"/>
          <w:tblCellSpacing w:w="15" w:type="dxa"/>
        </w:trPr>
        <w:tc>
          <w:tcPr>
            <w:tcW w:w="0" w:type="auto"/>
            <w:vAlign w:val="center"/>
            <w:hideMark/>
          </w:tcPr>
          <w:p w14:paraId="1138AF52" w14:textId="77777777" w:rsidR="00000000" w:rsidRDefault="00EB4933">
            <w:pPr>
              <w:pStyle w:val="NormalWeb"/>
              <w:spacing w:before="0" w:beforeAutospacing="0" w:after="0" w:afterAutospacing="0"/>
              <w:rPr>
                <w:sz w:val="20"/>
                <w:szCs w:val="20"/>
              </w:rPr>
            </w:pPr>
            <w:r>
              <w:rPr>
                <w:sz w:val="20"/>
                <w:szCs w:val="20"/>
              </w:rPr>
              <w:lastRenderedPageBreak/>
              <w:t> </w:t>
            </w:r>
          </w:p>
        </w:tc>
        <w:tc>
          <w:tcPr>
            <w:tcW w:w="0" w:type="auto"/>
            <w:vAlign w:val="center"/>
            <w:hideMark/>
          </w:tcPr>
          <w:p w14:paraId="46AA8E2B"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181CD600" w14:textId="77777777" w:rsidR="00000000" w:rsidRDefault="00EB4933">
            <w:pPr>
              <w:pStyle w:val="NormalWeb"/>
              <w:spacing w:before="0" w:beforeAutospacing="0" w:after="0" w:afterAutospacing="0"/>
              <w:rPr>
                <w:sz w:val="20"/>
                <w:szCs w:val="20"/>
              </w:rPr>
            </w:pPr>
            <w:r>
              <w:rPr>
                <w:sz w:val="20"/>
                <w:szCs w:val="20"/>
              </w:rPr>
              <w:t> </w:t>
            </w:r>
          </w:p>
        </w:tc>
      </w:tr>
      <w:tr w:rsidR="00000000" w14:paraId="54C15A8F" w14:textId="77777777">
        <w:trPr>
          <w:divId w:val="98525094"/>
          <w:trHeight w:val="225"/>
          <w:tblCellSpacing w:w="15" w:type="dxa"/>
        </w:trPr>
        <w:tc>
          <w:tcPr>
            <w:tcW w:w="0" w:type="auto"/>
            <w:vAlign w:val="center"/>
            <w:hideMark/>
          </w:tcPr>
          <w:p w14:paraId="33EA6740"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4287E3E2"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723E2293" w14:textId="77777777" w:rsidR="00000000" w:rsidRDefault="00EB4933">
            <w:pPr>
              <w:rPr>
                <w:rFonts w:eastAsia="Times New Roman"/>
                <w:sz w:val="20"/>
                <w:szCs w:val="20"/>
              </w:rPr>
            </w:pPr>
            <w:r>
              <w:rPr>
                <w:rFonts w:eastAsia="Times New Roman"/>
                <w:sz w:val="20"/>
                <w:szCs w:val="20"/>
              </w:rPr>
              <w:t xml:space="preserve">conditions of the U.S. and other capital markets in which we may seek to raise funds; </w:t>
            </w:r>
          </w:p>
        </w:tc>
      </w:tr>
      <w:tr w:rsidR="00000000" w14:paraId="3D9796C3" w14:textId="77777777">
        <w:trPr>
          <w:divId w:val="98525094"/>
          <w:trHeight w:val="225"/>
          <w:tblCellSpacing w:w="15" w:type="dxa"/>
        </w:trPr>
        <w:tc>
          <w:tcPr>
            <w:tcW w:w="0" w:type="auto"/>
            <w:vAlign w:val="center"/>
            <w:hideMark/>
          </w:tcPr>
          <w:p w14:paraId="18BC1537"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02869CBA"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01373276" w14:textId="77777777" w:rsidR="00000000" w:rsidRDefault="00EB4933">
            <w:pPr>
              <w:pStyle w:val="NormalWeb"/>
              <w:spacing w:before="0" w:beforeAutospacing="0" w:after="0" w:afterAutospacing="0"/>
              <w:rPr>
                <w:sz w:val="20"/>
                <w:szCs w:val="20"/>
              </w:rPr>
            </w:pPr>
            <w:r>
              <w:rPr>
                <w:sz w:val="20"/>
                <w:szCs w:val="20"/>
              </w:rPr>
              <w:t> </w:t>
            </w:r>
          </w:p>
        </w:tc>
      </w:tr>
      <w:tr w:rsidR="00000000" w14:paraId="026726F2" w14:textId="77777777">
        <w:trPr>
          <w:divId w:val="98525094"/>
          <w:trHeight w:val="225"/>
          <w:tblCellSpacing w:w="15" w:type="dxa"/>
        </w:trPr>
        <w:tc>
          <w:tcPr>
            <w:tcW w:w="0" w:type="auto"/>
            <w:vAlign w:val="center"/>
            <w:hideMark/>
          </w:tcPr>
          <w:p w14:paraId="7B7F82A8"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65C47398"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3C938521" w14:textId="77777777" w:rsidR="00000000" w:rsidRDefault="00EB4933">
            <w:pPr>
              <w:rPr>
                <w:rFonts w:eastAsia="Times New Roman"/>
                <w:sz w:val="20"/>
                <w:szCs w:val="20"/>
              </w:rPr>
            </w:pPr>
            <w:r>
              <w:rPr>
                <w:rFonts w:eastAsia="Times New Roman"/>
                <w:sz w:val="20"/>
                <w:szCs w:val="20"/>
              </w:rPr>
              <w:t xml:space="preserve">our future results of operations, financial condition and cash flows; </w:t>
            </w:r>
          </w:p>
        </w:tc>
      </w:tr>
      <w:tr w:rsidR="00000000" w14:paraId="79E02EE2" w14:textId="77777777">
        <w:trPr>
          <w:divId w:val="98525094"/>
          <w:trHeight w:val="225"/>
          <w:tblCellSpacing w:w="15" w:type="dxa"/>
        </w:trPr>
        <w:tc>
          <w:tcPr>
            <w:tcW w:w="0" w:type="auto"/>
            <w:vAlign w:val="center"/>
            <w:hideMark/>
          </w:tcPr>
          <w:p w14:paraId="4A4DD13A"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26608A92"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60B0CE1E" w14:textId="77777777" w:rsidR="00000000" w:rsidRDefault="00EB4933">
            <w:pPr>
              <w:pStyle w:val="NormalWeb"/>
              <w:spacing w:before="0" w:beforeAutospacing="0" w:after="0" w:afterAutospacing="0"/>
              <w:rPr>
                <w:sz w:val="20"/>
                <w:szCs w:val="20"/>
              </w:rPr>
            </w:pPr>
            <w:r>
              <w:rPr>
                <w:sz w:val="20"/>
                <w:szCs w:val="20"/>
              </w:rPr>
              <w:t> </w:t>
            </w:r>
          </w:p>
        </w:tc>
      </w:tr>
      <w:tr w:rsidR="00000000" w14:paraId="4E8A30E3" w14:textId="77777777">
        <w:trPr>
          <w:divId w:val="98525094"/>
          <w:trHeight w:val="225"/>
          <w:tblCellSpacing w:w="15" w:type="dxa"/>
        </w:trPr>
        <w:tc>
          <w:tcPr>
            <w:tcW w:w="0" w:type="auto"/>
            <w:vAlign w:val="center"/>
            <w:hideMark/>
          </w:tcPr>
          <w:p w14:paraId="28739A13"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75EA9C0C"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4716DB2" w14:textId="77777777" w:rsidR="00000000" w:rsidRDefault="00EB4933">
            <w:pPr>
              <w:rPr>
                <w:rFonts w:eastAsia="Times New Roman"/>
                <w:sz w:val="20"/>
                <w:szCs w:val="20"/>
              </w:rPr>
            </w:pPr>
            <w:r>
              <w:rPr>
                <w:rFonts w:eastAsia="Times New Roman"/>
                <w:sz w:val="20"/>
                <w:szCs w:val="20"/>
              </w:rPr>
              <w:t xml:space="preserve">PRC governmental regulation on the microfinancing lending industry in China; </w:t>
            </w:r>
          </w:p>
        </w:tc>
      </w:tr>
      <w:tr w:rsidR="00000000" w14:paraId="1C281BA0" w14:textId="77777777">
        <w:trPr>
          <w:divId w:val="98525094"/>
          <w:trHeight w:val="225"/>
          <w:tblCellSpacing w:w="15" w:type="dxa"/>
        </w:trPr>
        <w:tc>
          <w:tcPr>
            <w:tcW w:w="0" w:type="auto"/>
            <w:vAlign w:val="center"/>
            <w:hideMark/>
          </w:tcPr>
          <w:p w14:paraId="26824B89"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6F987CCA"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47F85029" w14:textId="77777777" w:rsidR="00000000" w:rsidRDefault="00EB4933">
            <w:pPr>
              <w:pStyle w:val="NormalWeb"/>
              <w:spacing w:before="0" w:beforeAutospacing="0" w:after="0" w:afterAutospacing="0"/>
              <w:rPr>
                <w:sz w:val="20"/>
                <w:szCs w:val="20"/>
              </w:rPr>
            </w:pPr>
            <w:r>
              <w:rPr>
                <w:sz w:val="20"/>
                <w:szCs w:val="20"/>
              </w:rPr>
              <w:t> </w:t>
            </w:r>
          </w:p>
        </w:tc>
      </w:tr>
      <w:tr w:rsidR="00000000" w14:paraId="0486ADA7" w14:textId="77777777">
        <w:trPr>
          <w:divId w:val="98525094"/>
          <w:trHeight w:val="225"/>
          <w:tblCellSpacing w:w="15" w:type="dxa"/>
        </w:trPr>
        <w:tc>
          <w:tcPr>
            <w:tcW w:w="0" w:type="auto"/>
            <w:vAlign w:val="center"/>
            <w:hideMark/>
          </w:tcPr>
          <w:p w14:paraId="49B87DB9"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45BC0FAD"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5AB24826" w14:textId="77777777" w:rsidR="00000000" w:rsidRDefault="00EB4933">
            <w:pPr>
              <w:rPr>
                <w:rFonts w:eastAsia="Times New Roman"/>
                <w:sz w:val="20"/>
                <w:szCs w:val="20"/>
              </w:rPr>
            </w:pPr>
            <w:r>
              <w:rPr>
                <w:rFonts w:eastAsia="Times New Roman"/>
                <w:sz w:val="20"/>
                <w:szCs w:val="20"/>
              </w:rPr>
              <w:t xml:space="preserve">economic, political and other conditions in China; and </w:t>
            </w:r>
          </w:p>
        </w:tc>
      </w:tr>
      <w:tr w:rsidR="00000000" w14:paraId="31710DE3" w14:textId="77777777">
        <w:trPr>
          <w:divId w:val="98525094"/>
          <w:trHeight w:val="225"/>
          <w:tblCellSpacing w:w="15" w:type="dxa"/>
        </w:trPr>
        <w:tc>
          <w:tcPr>
            <w:tcW w:w="0" w:type="auto"/>
            <w:vAlign w:val="center"/>
            <w:hideMark/>
          </w:tcPr>
          <w:p w14:paraId="3DC09CF6"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2152532C"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6E4D9599" w14:textId="77777777" w:rsidR="00000000" w:rsidRDefault="00EB4933">
            <w:pPr>
              <w:pStyle w:val="NormalWeb"/>
              <w:spacing w:before="0" w:beforeAutospacing="0" w:after="0" w:afterAutospacing="0"/>
              <w:rPr>
                <w:sz w:val="20"/>
                <w:szCs w:val="20"/>
              </w:rPr>
            </w:pPr>
            <w:r>
              <w:rPr>
                <w:sz w:val="20"/>
                <w:szCs w:val="20"/>
              </w:rPr>
              <w:t> </w:t>
            </w:r>
          </w:p>
        </w:tc>
      </w:tr>
      <w:tr w:rsidR="00000000" w14:paraId="43F67792" w14:textId="77777777">
        <w:trPr>
          <w:divId w:val="98525094"/>
          <w:trHeight w:val="225"/>
          <w:tblCellSpacing w:w="15" w:type="dxa"/>
        </w:trPr>
        <w:tc>
          <w:tcPr>
            <w:tcW w:w="0" w:type="auto"/>
            <w:vAlign w:val="center"/>
            <w:hideMark/>
          </w:tcPr>
          <w:p w14:paraId="592E8851"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693076DF"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034D34FD" w14:textId="77777777" w:rsidR="00000000" w:rsidRDefault="00EB4933">
            <w:pPr>
              <w:rPr>
                <w:rFonts w:eastAsia="Times New Roman"/>
                <w:sz w:val="20"/>
                <w:szCs w:val="20"/>
              </w:rPr>
            </w:pPr>
            <w:r>
              <w:rPr>
                <w:rFonts w:eastAsia="Times New Roman"/>
                <w:sz w:val="20"/>
                <w:szCs w:val="20"/>
              </w:rPr>
              <w:t xml:space="preserve">PRC governmental policies relating to foreign currency borrowings. </w:t>
            </w:r>
          </w:p>
        </w:tc>
      </w:tr>
    </w:tbl>
    <w:p w14:paraId="6155F59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9BB21EE"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cannot assure you that financing will be available in amounts or on terms acceptable to us, if at all, especially in the event of a severe and prolonged global economic recession. If we fail to raise additional funds, we may need to reduce our growth to</w:t>
      </w:r>
      <w:r>
        <w:rPr>
          <w:sz w:val="20"/>
          <w:szCs w:val="20"/>
        </w:rPr>
        <w:t xml:space="preserve"> a level that can be supported by our cash flow. Without additional capital, we may not be able to acquire necessary technologies, products or businesses, hire, train and retain employees, market our programs, services and products, or respond to competiti</w:t>
      </w:r>
      <w:r>
        <w:rPr>
          <w:sz w:val="20"/>
          <w:szCs w:val="20"/>
        </w:rPr>
        <w:t xml:space="preserve">ve pressures or unanticipated capital requirements. </w:t>
      </w:r>
    </w:p>
    <w:p w14:paraId="5B11884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AA58C9E"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xml:space="preserve">If securities or industry analysts publish negative reports about our business, the price and trading volume of our ADSs securities could decline. </w:t>
      </w:r>
    </w:p>
    <w:p w14:paraId="4C10632A"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BB90CF6"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trading market for our ADSs is influenced by th</w:t>
      </w:r>
      <w:r>
        <w:rPr>
          <w:sz w:val="20"/>
          <w:szCs w:val="20"/>
        </w:rPr>
        <w:t xml:space="preserve">e research reports and ratings that securities or industry analysts or ratings agencies publish about us, our business and the microfinancing lending market in China in general. We do not have any control over these analysts or agencies. If one or more of </w:t>
      </w:r>
      <w:r>
        <w:rPr>
          <w:sz w:val="20"/>
          <w:szCs w:val="20"/>
        </w:rPr>
        <w:t>the analysts or agencies who cover us downgrades us or our securities, the price of our ADSs may decline. If one or more of these analysts cease coverage of our company or fail to regularly publish reports on us, we could lose visibility in the financial m</w:t>
      </w:r>
      <w:r>
        <w:rPr>
          <w:sz w:val="20"/>
          <w:szCs w:val="20"/>
        </w:rPr>
        <w:t>arkets, which could cause the price of our ADSs or trading volume to decline.</w:t>
      </w:r>
    </w:p>
    <w:p w14:paraId="753316E0"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9220735" w14:textId="77777777">
        <w:trPr>
          <w:divId w:val="98525094"/>
          <w:trHeight w:val="225"/>
          <w:tblCellSpacing w:w="15" w:type="dxa"/>
        </w:trPr>
        <w:tc>
          <w:tcPr>
            <w:tcW w:w="0" w:type="auto"/>
            <w:vAlign w:val="center"/>
            <w:hideMark/>
          </w:tcPr>
          <w:p w14:paraId="44018397" w14:textId="77777777" w:rsidR="00000000" w:rsidRDefault="00EB4933">
            <w:pPr>
              <w:rPr>
                <w:rFonts w:eastAsia="Times New Roman"/>
                <w:sz w:val="20"/>
                <w:szCs w:val="20"/>
              </w:rPr>
            </w:pPr>
            <w:r>
              <w:rPr>
                <w:rFonts w:eastAsia="Times New Roman"/>
                <w:sz w:val="20"/>
                <w:szCs w:val="20"/>
              </w:rPr>
              <w:t> </w:t>
            </w:r>
          </w:p>
        </w:tc>
      </w:tr>
      <w:tr w:rsidR="00000000" w14:paraId="07F0F2F1" w14:textId="77777777">
        <w:trPr>
          <w:divId w:val="98525094"/>
          <w:trHeight w:val="225"/>
          <w:tblCellSpacing w:w="15" w:type="dxa"/>
        </w:trPr>
        <w:tc>
          <w:tcPr>
            <w:tcW w:w="0" w:type="auto"/>
            <w:tcBorders>
              <w:bottom w:val="single" w:sz="6" w:space="0" w:color="000000"/>
            </w:tcBorders>
            <w:vAlign w:val="center"/>
            <w:hideMark/>
          </w:tcPr>
          <w:p w14:paraId="797B3D70" w14:textId="77777777" w:rsidR="00000000" w:rsidRDefault="00EB4933">
            <w:pPr>
              <w:jc w:val="center"/>
              <w:rPr>
                <w:rFonts w:eastAsia="Times New Roman"/>
                <w:sz w:val="20"/>
                <w:szCs w:val="20"/>
              </w:rPr>
            </w:pPr>
            <w:r>
              <w:rPr>
                <w:rFonts w:eastAsia="Times New Roman"/>
                <w:sz w:val="20"/>
                <w:szCs w:val="20"/>
              </w:rPr>
              <w:t>34</w:t>
            </w:r>
          </w:p>
        </w:tc>
      </w:tr>
      <w:tr w:rsidR="00000000" w14:paraId="6990773A" w14:textId="77777777">
        <w:trPr>
          <w:divId w:val="98525094"/>
          <w:trHeight w:val="225"/>
          <w:tblCellSpacing w:w="15" w:type="dxa"/>
        </w:trPr>
        <w:tc>
          <w:tcPr>
            <w:tcW w:w="0" w:type="auto"/>
            <w:vAlign w:val="center"/>
            <w:hideMark/>
          </w:tcPr>
          <w:p w14:paraId="41A4C7C4" w14:textId="77777777" w:rsidR="00000000" w:rsidRDefault="00EB4933">
            <w:pPr>
              <w:rPr>
                <w:rFonts w:eastAsia="Times New Roman"/>
                <w:sz w:val="20"/>
                <w:szCs w:val="20"/>
              </w:rPr>
            </w:pPr>
          </w:p>
        </w:tc>
      </w:tr>
      <w:tr w:rsidR="00000000" w14:paraId="7BF49D34" w14:textId="77777777">
        <w:trPr>
          <w:divId w:val="98525094"/>
          <w:trHeight w:val="225"/>
          <w:tblCellSpacing w:w="15" w:type="dxa"/>
        </w:trPr>
        <w:tc>
          <w:tcPr>
            <w:tcW w:w="0" w:type="auto"/>
            <w:vAlign w:val="center"/>
            <w:hideMark/>
          </w:tcPr>
          <w:p w14:paraId="663AE1C8" w14:textId="77777777" w:rsidR="00000000" w:rsidRDefault="00EB4933">
            <w:pPr>
              <w:rPr>
                <w:rFonts w:eastAsia="Times New Roman"/>
                <w:sz w:val="20"/>
                <w:szCs w:val="20"/>
              </w:rPr>
            </w:pPr>
            <w:hyperlink r:id="rId94" w:anchor="toc" w:history="1">
              <w:r>
                <w:rPr>
                  <w:rStyle w:val="Hyperlink"/>
                  <w:rFonts w:eastAsia="Times New Roman"/>
                  <w:i/>
                  <w:iCs/>
                  <w:sz w:val="20"/>
                  <w:szCs w:val="20"/>
                </w:rPr>
                <w:t>Table of Contents</w:t>
              </w:r>
            </w:hyperlink>
          </w:p>
        </w:tc>
      </w:tr>
    </w:tbl>
    <w:p w14:paraId="723FD52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5E0ACA8"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Our ADSs would be subject to delisting from the NYSE American if we are unable to achieve and maintain co</w:t>
      </w:r>
      <w:r>
        <w:rPr>
          <w:rStyle w:val="Emphasis"/>
          <w:b/>
          <w:bCs/>
          <w:sz w:val="20"/>
          <w:szCs w:val="20"/>
        </w:rPr>
        <w:t xml:space="preserve">mpliance with the NYSE American’s continued listing standards. </w:t>
      </w:r>
    </w:p>
    <w:p w14:paraId="674C762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B5CCCAA" w14:textId="77777777" w:rsidR="00000000" w:rsidRDefault="00EB4933">
      <w:pPr>
        <w:pStyle w:val="NormalWeb"/>
        <w:spacing w:before="0" w:beforeAutospacing="0" w:after="0" w:afterAutospacing="0"/>
        <w:ind w:firstLine="675"/>
        <w:jc w:val="both"/>
        <w:divId w:val="98525094"/>
        <w:rPr>
          <w:sz w:val="20"/>
          <w:szCs w:val="20"/>
        </w:rPr>
      </w:pPr>
      <w:r>
        <w:rPr>
          <w:sz w:val="20"/>
          <w:szCs w:val="20"/>
        </w:rPr>
        <w:t>Under the NYSE American Company Guide (the “Company Guide”</w:t>
      </w:r>
      <w:r>
        <w:rPr>
          <w:sz w:val="20"/>
          <w:szCs w:val="20"/>
        </w:rPr>
        <w:t xml:space="preserve">), we are required to maintain a minimum continued listing standards on the NYSE American. If we are unable to maintain compliance with such Company Guide for continued listing, our ADSs would be subject to suspension and delisting. </w:t>
      </w:r>
    </w:p>
    <w:p w14:paraId="32249F8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209BF8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If we are unable to </w:t>
      </w:r>
      <w:r>
        <w:rPr>
          <w:sz w:val="20"/>
          <w:szCs w:val="20"/>
        </w:rPr>
        <w:t>comply with the NYSE American’s continued listing standards, there may be a significant decline in the trading price, trading volume and liquidity of our ADSs. In addition, the suspension and delisting of our ADSs would lead to decreases in analyst coverag</w:t>
      </w:r>
      <w:r>
        <w:rPr>
          <w:sz w:val="20"/>
          <w:szCs w:val="20"/>
        </w:rPr>
        <w:t>e and market-making activity relating to our ADSs, as well as reduced information about trading prices and volume. As a result, it could become significantly more difficult for our ADSs holders to sell their ADSs at prices comparable to those in effect pri</w:t>
      </w:r>
      <w:r>
        <w:rPr>
          <w:sz w:val="20"/>
          <w:szCs w:val="20"/>
        </w:rPr>
        <w:t xml:space="preserve">or to delisting or at all. </w:t>
      </w:r>
    </w:p>
    <w:p w14:paraId="0B06BAE7"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C3CDD41"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Substantial future sales or perceived sales of our ADSs or ordinary shares in the public market could cause the price of our ADSs to decline.</w:t>
      </w:r>
    </w:p>
    <w:p w14:paraId="6600B5F7"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451BD2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Sales of our ADSs or ordinary shares in the public market, or the perception that </w:t>
      </w:r>
      <w:r>
        <w:rPr>
          <w:sz w:val="20"/>
          <w:szCs w:val="20"/>
        </w:rPr>
        <w:t>these sales could occur, could cause the market price of our ADSs to decline. As of December 31, 2019, we had 1,001,131,400 ordinary shares outstanding, including 108,711,840 ordinary shares represented by 2,264,830 ADSs. All ADSs are freely transferable w</w:t>
      </w:r>
      <w:r>
        <w:rPr>
          <w:sz w:val="20"/>
          <w:szCs w:val="20"/>
        </w:rPr>
        <w:t xml:space="preserve">ithout restriction or additional registration under the Securities Act of 1933, as amended, or the Securities Act. The remaining ordinary shares outstanding will be available for sale and, in the case of the ordinary shares that certain </w:t>
      </w:r>
      <w:r>
        <w:rPr>
          <w:sz w:val="20"/>
          <w:szCs w:val="20"/>
        </w:rPr>
        <w:lastRenderedPageBreak/>
        <w:t>option holders will</w:t>
      </w:r>
      <w:r>
        <w:rPr>
          <w:sz w:val="20"/>
          <w:szCs w:val="20"/>
        </w:rPr>
        <w:t xml:space="preserve"> receive when they exercise their share options, until the later of (i) the first anniversary of the grant date, and (ii) the expiration of any relevant lock-up periods, subject to volume and other restrictions that may be applicable under Rule 144 and Rul</w:t>
      </w:r>
      <w:r>
        <w:rPr>
          <w:sz w:val="20"/>
          <w:szCs w:val="20"/>
        </w:rPr>
        <w:t>e 701 under the Securities Act. We cannot predict what effect, if any, market sales of securities held by our significant shareholders or any other shareholder or the availability of these securities for future sale will have on the market price of our ADS</w:t>
      </w:r>
      <w:r>
        <w:rPr>
          <w:sz w:val="20"/>
          <w:szCs w:val="20"/>
        </w:rPr>
        <w:t xml:space="preserve">s. </w:t>
      </w:r>
    </w:p>
    <w:p w14:paraId="0ED1E3F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5229AE6"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Our articles of association contain anti-takeover provisions that could have a material adverse effect on the rights of holders of our ADSs and ordinary shares.</w:t>
      </w:r>
    </w:p>
    <w:p w14:paraId="3B9D372E"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w:t>
      </w:r>
    </w:p>
    <w:p w14:paraId="195AC072"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Our currently effective articles of association is our amended and restated memorandum </w:t>
      </w:r>
      <w:r>
        <w:rPr>
          <w:sz w:val="20"/>
          <w:szCs w:val="20"/>
        </w:rPr>
        <w:t>and articles of association which limit the ability of third parties to acquire control of our company or cause us to engage in change-of-control transactions. These provisions could have the effect of depriving our shareholders of an opportunity to sell t</w:t>
      </w:r>
      <w:r>
        <w:rPr>
          <w:sz w:val="20"/>
          <w:szCs w:val="20"/>
        </w:rPr>
        <w:t>heir shares at a premium over prevailing market prices by discouraging third parties from seeking to obtain control of our company in a tender offer or similar transaction. For example, our board of directors has the authority, without further action by ou</w:t>
      </w:r>
      <w:r>
        <w:rPr>
          <w:sz w:val="20"/>
          <w:szCs w:val="20"/>
        </w:rPr>
        <w:t>r shareholders, to issue preferred shares in one or more series and to fix their designations, powers, preferences, privileges, and relative participating, optional or special rights and the qualifications, limitations or restrictions, including dividend r</w:t>
      </w:r>
      <w:r>
        <w:rPr>
          <w:sz w:val="20"/>
          <w:szCs w:val="20"/>
        </w:rPr>
        <w:t>ights, conversion rights, voting rights, terms of redemption and liquidation preferences, any or all of which may be greater than the rights associated with our ordinary shares, in the form of ADS or otherwise. Preferred shares could be issued quickly with</w:t>
      </w:r>
      <w:r>
        <w:rPr>
          <w:sz w:val="20"/>
          <w:szCs w:val="20"/>
        </w:rPr>
        <w:t xml:space="preserve"> terms calculated to delay or prevent a change in control of our company or make removal of management more difficult. If our board of directors decides to issue preferred shares, the price of our ADSs may fall and the voting and other rights of the holder</w:t>
      </w:r>
      <w:r>
        <w:rPr>
          <w:sz w:val="20"/>
          <w:szCs w:val="20"/>
        </w:rPr>
        <w:t>s of our ordinary shares and ADSs may be materially and adversely affected.</w:t>
      </w:r>
    </w:p>
    <w:p w14:paraId="49959BFF"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08CD602" w14:textId="77777777">
        <w:trPr>
          <w:divId w:val="98525094"/>
          <w:trHeight w:val="225"/>
          <w:tblCellSpacing w:w="15" w:type="dxa"/>
        </w:trPr>
        <w:tc>
          <w:tcPr>
            <w:tcW w:w="0" w:type="auto"/>
            <w:vAlign w:val="center"/>
            <w:hideMark/>
          </w:tcPr>
          <w:p w14:paraId="0B8E6387" w14:textId="77777777" w:rsidR="00000000" w:rsidRDefault="00EB4933">
            <w:pPr>
              <w:rPr>
                <w:rFonts w:eastAsia="Times New Roman"/>
                <w:sz w:val="20"/>
                <w:szCs w:val="20"/>
              </w:rPr>
            </w:pPr>
            <w:r>
              <w:rPr>
                <w:rFonts w:eastAsia="Times New Roman"/>
                <w:sz w:val="20"/>
                <w:szCs w:val="20"/>
              </w:rPr>
              <w:t> </w:t>
            </w:r>
          </w:p>
        </w:tc>
      </w:tr>
      <w:tr w:rsidR="00000000" w14:paraId="66335401" w14:textId="77777777">
        <w:trPr>
          <w:divId w:val="98525094"/>
          <w:trHeight w:val="225"/>
          <w:tblCellSpacing w:w="15" w:type="dxa"/>
        </w:trPr>
        <w:tc>
          <w:tcPr>
            <w:tcW w:w="0" w:type="auto"/>
            <w:tcBorders>
              <w:bottom w:val="single" w:sz="6" w:space="0" w:color="000000"/>
            </w:tcBorders>
            <w:vAlign w:val="center"/>
            <w:hideMark/>
          </w:tcPr>
          <w:p w14:paraId="65FAEBC2" w14:textId="77777777" w:rsidR="00000000" w:rsidRDefault="00EB4933">
            <w:pPr>
              <w:jc w:val="center"/>
              <w:rPr>
                <w:rFonts w:eastAsia="Times New Roman"/>
                <w:sz w:val="20"/>
                <w:szCs w:val="20"/>
              </w:rPr>
            </w:pPr>
            <w:r>
              <w:rPr>
                <w:rFonts w:eastAsia="Times New Roman"/>
                <w:sz w:val="20"/>
                <w:szCs w:val="20"/>
              </w:rPr>
              <w:t>35</w:t>
            </w:r>
          </w:p>
        </w:tc>
      </w:tr>
      <w:tr w:rsidR="00000000" w14:paraId="310C77CA" w14:textId="77777777">
        <w:trPr>
          <w:divId w:val="98525094"/>
          <w:trHeight w:val="225"/>
          <w:tblCellSpacing w:w="15" w:type="dxa"/>
        </w:trPr>
        <w:tc>
          <w:tcPr>
            <w:tcW w:w="0" w:type="auto"/>
            <w:vAlign w:val="center"/>
            <w:hideMark/>
          </w:tcPr>
          <w:p w14:paraId="5A2AA518" w14:textId="77777777" w:rsidR="00000000" w:rsidRDefault="00EB4933">
            <w:pPr>
              <w:rPr>
                <w:rFonts w:eastAsia="Times New Roman"/>
                <w:sz w:val="20"/>
                <w:szCs w:val="20"/>
              </w:rPr>
            </w:pPr>
          </w:p>
        </w:tc>
      </w:tr>
      <w:tr w:rsidR="00000000" w14:paraId="5F03F9A1" w14:textId="77777777">
        <w:trPr>
          <w:divId w:val="98525094"/>
          <w:trHeight w:val="225"/>
          <w:tblCellSpacing w:w="15" w:type="dxa"/>
        </w:trPr>
        <w:tc>
          <w:tcPr>
            <w:tcW w:w="0" w:type="auto"/>
            <w:vAlign w:val="center"/>
            <w:hideMark/>
          </w:tcPr>
          <w:p w14:paraId="465C53B4" w14:textId="77777777" w:rsidR="00000000" w:rsidRDefault="00EB4933">
            <w:pPr>
              <w:rPr>
                <w:rFonts w:eastAsia="Times New Roman"/>
                <w:sz w:val="20"/>
                <w:szCs w:val="20"/>
              </w:rPr>
            </w:pPr>
            <w:hyperlink r:id="rId95" w:anchor="toc" w:history="1">
              <w:r>
                <w:rPr>
                  <w:rStyle w:val="Hyperlink"/>
                  <w:rFonts w:eastAsia="Times New Roman"/>
                  <w:i/>
                  <w:iCs/>
                  <w:sz w:val="20"/>
                  <w:szCs w:val="20"/>
                </w:rPr>
                <w:t>Table of Contents</w:t>
              </w:r>
            </w:hyperlink>
          </w:p>
        </w:tc>
      </w:tr>
    </w:tbl>
    <w:p w14:paraId="368C7C24"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 </w:t>
      </w:r>
    </w:p>
    <w:p w14:paraId="46834513"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You may face difficulties in protecting your interests, and your ability to protect your rights through the U.S. federal courts may be limited, because we are incorporated under Cayman Islands law.</w:t>
      </w:r>
    </w:p>
    <w:p w14:paraId="34FDB522"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41A9AEB"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are an exempted company incorporated under the laws o</w:t>
      </w:r>
      <w:r>
        <w:rPr>
          <w:sz w:val="20"/>
          <w:szCs w:val="20"/>
        </w:rPr>
        <w:t>f the Cayman Islands. Our corporate affairs are governed by our amended and restated memorandum and articles of association, the Companies Law of the Cayman Islands (2013 Revision) and the common law of the Cayman Islands. The rights of shareholders to tak</w:t>
      </w:r>
      <w:r>
        <w:rPr>
          <w:sz w:val="20"/>
          <w:szCs w:val="20"/>
        </w:rPr>
        <w:t>e action against the directors, actions by minority shareholders and the fiduciary responsibilities of our directors to us under Cayman Islands law are to a large extent governed by the common law of the Cayman Islands. The common law of the Cayman Islands</w:t>
      </w:r>
      <w:r>
        <w:rPr>
          <w:sz w:val="20"/>
          <w:szCs w:val="20"/>
        </w:rPr>
        <w:t xml:space="preserve"> is derived in part from comparatively limited judicial precedent in the Cayman Islands as well as from English common law, the decisions of whose courts are of persuasive authority, but are not binding, on a court in the Cayman Islands. The rights of our </w:t>
      </w:r>
      <w:r>
        <w:rPr>
          <w:sz w:val="20"/>
          <w:szCs w:val="20"/>
        </w:rPr>
        <w:t>shareholders and the fiduciary responsibilities of our directors under Cayman Islands law are not as clearly established as they would be under statutes or judicial precedent in some jurisdictions in the United States. In particular, the Cayman Islands hav</w:t>
      </w:r>
      <w:r>
        <w:rPr>
          <w:sz w:val="20"/>
          <w:szCs w:val="20"/>
        </w:rPr>
        <w:t>e a less developed body of securities laws as compared to the United States. Some U.S. states, such as Delaware, have more fully developed and judicially interpreted bodies of corporate law than the Cayman Islands. In addition, Cayman Islands companies may</w:t>
      </w:r>
      <w:r>
        <w:rPr>
          <w:sz w:val="20"/>
          <w:szCs w:val="20"/>
        </w:rPr>
        <w:t xml:space="preserve"> not have standing to initiate a shareholder derivative action in a federal court of the United States.</w:t>
      </w:r>
    </w:p>
    <w:p w14:paraId="0BB5DA6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5A8766C5"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There is uncertainty as to whether the courts of the Cayman Islands would:</w:t>
      </w:r>
    </w:p>
    <w:p w14:paraId="177E81D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5F1BE414" w14:textId="77777777">
        <w:trPr>
          <w:divId w:val="98525094"/>
          <w:trHeight w:val="225"/>
          <w:tblCellSpacing w:w="15" w:type="dxa"/>
        </w:trPr>
        <w:tc>
          <w:tcPr>
            <w:tcW w:w="200" w:type="pct"/>
            <w:vAlign w:val="center"/>
            <w:hideMark/>
          </w:tcPr>
          <w:p w14:paraId="6B48BD25"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608D27AE"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22382623" w14:textId="77777777" w:rsidR="00000000" w:rsidRDefault="00EB4933">
            <w:pPr>
              <w:rPr>
                <w:rFonts w:eastAsia="Times New Roman"/>
                <w:sz w:val="20"/>
                <w:szCs w:val="20"/>
              </w:rPr>
            </w:pPr>
            <w:r>
              <w:rPr>
                <w:rFonts w:eastAsia="Times New Roman"/>
                <w:sz w:val="20"/>
                <w:szCs w:val="20"/>
              </w:rPr>
              <w:t>recognize or enforce judgments of courts of the United States obtaine</w:t>
            </w:r>
            <w:r>
              <w:rPr>
                <w:rFonts w:eastAsia="Times New Roman"/>
                <w:sz w:val="20"/>
                <w:szCs w:val="20"/>
              </w:rPr>
              <w:t>d against us based on certain civil liability provisions of U.S. securities laws; and</w:t>
            </w:r>
          </w:p>
        </w:tc>
      </w:tr>
      <w:tr w:rsidR="00000000" w14:paraId="0DE2E774" w14:textId="77777777">
        <w:trPr>
          <w:divId w:val="98525094"/>
          <w:trHeight w:val="225"/>
          <w:tblCellSpacing w:w="15" w:type="dxa"/>
        </w:trPr>
        <w:tc>
          <w:tcPr>
            <w:tcW w:w="0" w:type="auto"/>
            <w:vAlign w:val="center"/>
            <w:hideMark/>
          </w:tcPr>
          <w:p w14:paraId="4C09CB86"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2ED1C1FA"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400B55AF" w14:textId="77777777" w:rsidR="00000000" w:rsidRDefault="00EB4933">
            <w:pPr>
              <w:pStyle w:val="NormalWeb"/>
              <w:spacing w:before="0" w:beforeAutospacing="0" w:after="0" w:afterAutospacing="0"/>
              <w:rPr>
                <w:sz w:val="20"/>
                <w:szCs w:val="20"/>
              </w:rPr>
            </w:pPr>
            <w:r>
              <w:rPr>
                <w:sz w:val="20"/>
                <w:szCs w:val="20"/>
              </w:rPr>
              <w:t> </w:t>
            </w:r>
          </w:p>
        </w:tc>
      </w:tr>
      <w:tr w:rsidR="00000000" w14:paraId="7E82F466" w14:textId="77777777">
        <w:trPr>
          <w:divId w:val="98525094"/>
          <w:trHeight w:val="225"/>
          <w:tblCellSpacing w:w="15" w:type="dxa"/>
        </w:trPr>
        <w:tc>
          <w:tcPr>
            <w:tcW w:w="0" w:type="auto"/>
            <w:vAlign w:val="center"/>
            <w:hideMark/>
          </w:tcPr>
          <w:p w14:paraId="54D60E8D"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32F92704"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1B5A9E98" w14:textId="77777777" w:rsidR="00000000" w:rsidRDefault="00EB4933">
            <w:pPr>
              <w:rPr>
                <w:rFonts w:eastAsia="Times New Roman"/>
                <w:sz w:val="20"/>
                <w:szCs w:val="20"/>
              </w:rPr>
            </w:pPr>
            <w:r>
              <w:rPr>
                <w:rFonts w:eastAsia="Times New Roman"/>
                <w:sz w:val="20"/>
                <w:szCs w:val="20"/>
              </w:rPr>
              <w:t>entertain original actions brought against us predicated upon certain civil liability provisions of U.S. securities laws.</w:t>
            </w:r>
          </w:p>
        </w:tc>
      </w:tr>
    </w:tbl>
    <w:p w14:paraId="00E6DC5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39F2BF4"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There is no statutory recognition in the Cayman Islands of judgments obtained in the United States, although the courts of the Ca</w:t>
      </w:r>
      <w:r>
        <w:rPr>
          <w:sz w:val="20"/>
          <w:szCs w:val="20"/>
        </w:rPr>
        <w:t>yman Islands will in certain circumstances recognize and enforce a non-penal judgment of a foreign court of competent jurisdiction without retrial on the merits.</w:t>
      </w:r>
    </w:p>
    <w:p w14:paraId="7C65F446"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E59157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As a result of all of the above, public shareholders may have more difficulty in protecting </w:t>
      </w:r>
      <w:r>
        <w:rPr>
          <w:sz w:val="20"/>
          <w:szCs w:val="20"/>
        </w:rPr>
        <w:t>their interests in the face of actions taken by management, members of the board of directors or controlling shareholders than they would as public shareholders of a company incorporated in the United States.</w:t>
      </w:r>
    </w:p>
    <w:p w14:paraId="6A98FAA6"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9D4A7B9"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 xml:space="preserve">Certain judgments obtained against us by our </w:t>
      </w:r>
      <w:r>
        <w:rPr>
          <w:rStyle w:val="Emphasis"/>
          <w:b/>
          <w:bCs/>
          <w:sz w:val="20"/>
          <w:szCs w:val="20"/>
        </w:rPr>
        <w:t>shareholders may not be enforceable.</w:t>
      </w:r>
    </w:p>
    <w:p w14:paraId="3E330986"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7011EB0"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are a Cayman Islands company and all of our assets are located outside of the United States. Substantially all of our current operations are conducted in the PRC. In addition, most of our directors and officers are</w:t>
      </w:r>
      <w:r>
        <w:rPr>
          <w:sz w:val="20"/>
          <w:szCs w:val="20"/>
        </w:rPr>
        <w:t xml:space="preserve"> nationals and residents of countries other than the United States. A substantial portion of the assets of these persons are located outside the United States. As a result, it may be difficult or impossible for you to bring an action against us or against </w:t>
      </w:r>
      <w:r>
        <w:rPr>
          <w:sz w:val="20"/>
          <w:szCs w:val="20"/>
        </w:rPr>
        <w:t>these individuals in the United States in the event that you believe that your rights have been infringed under the United States federal securities laws or otherwise. Even if you are successful in bringing an action of this kind, the laws of the Cayman Is</w:t>
      </w:r>
      <w:r>
        <w:rPr>
          <w:sz w:val="20"/>
          <w:szCs w:val="20"/>
        </w:rPr>
        <w:t>lands and of the PRC may render you unable to enforce a judgment against our assets or the assets of our directors and officers.</w:t>
      </w:r>
    </w:p>
    <w:p w14:paraId="11032AF2"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7330CD4" w14:textId="77777777">
        <w:trPr>
          <w:divId w:val="98525094"/>
          <w:trHeight w:val="225"/>
          <w:tblCellSpacing w:w="15" w:type="dxa"/>
        </w:trPr>
        <w:tc>
          <w:tcPr>
            <w:tcW w:w="0" w:type="auto"/>
            <w:vAlign w:val="center"/>
            <w:hideMark/>
          </w:tcPr>
          <w:p w14:paraId="419333B2" w14:textId="77777777" w:rsidR="00000000" w:rsidRDefault="00EB4933">
            <w:pPr>
              <w:rPr>
                <w:rFonts w:eastAsia="Times New Roman"/>
                <w:sz w:val="20"/>
                <w:szCs w:val="20"/>
              </w:rPr>
            </w:pPr>
            <w:r>
              <w:rPr>
                <w:rFonts w:eastAsia="Times New Roman"/>
                <w:sz w:val="20"/>
                <w:szCs w:val="20"/>
              </w:rPr>
              <w:t> </w:t>
            </w:r>
          </w:p>
        </w:tc>
      </w:tr>
      <w:tr w:rsidR="00000000" w14:paraId="25A7AB25" w14:textId="77777777">
        <w:trPr>
          <w:divId w:val="98525094"/>
          <w:trHeight w:val="225"/>
          <w:tblCellSpacing w:w="15" w:type="dxa"/>
        </w:trPr>
        <w:tc>
          <w:tcPr>
            <w:tcW w:w="0" w:type="auto"/>
            <w:tcBorders>
              <w:bottom w:val="single" w:sz="6" w:space="0" w:color="000000"/>
            </w:tcBorders>
            <w:vAlign w:val="center"/>
            <w:hideMark/>
          </w:tcPr>
          <w:p w14:paraId="0C8000B4" w14:textId="77777777" w:rsidR="00000000" w:rsidRDefault="00EB4933">
            <w:pPr>
              <w:jc w:val="center"/>
              <w:rPr>
                <w:rFonts w:eastAsia="Times New Roman"/>
                <w:sz w:val="20"/>
                <w:szCs w:val="20"/>
              </w:rPr>
            </w:pPr>
            <w:r>
              <w:rPr>
                <w:rFonts w:eastAsia="Times New Roman"/>
                <w:sz w:val="20"/>
                <w:szCs w:val="20"/>
              </w:rPr>
              <w:t>36</w:t>
            </w:r>
          </w:p>
        </w:tc>
      </w:tr>
      <w:tr w:rsidR="00000000" w14:paraId="1869A9B2" w14:textId="77777777">
        <w:trPr>
          <w:divId w:val="98525094"/>
          <w:trHeight w:val="225"/>
          <w:tblCellSpacing w:w="15" w:type="dxa"/>
        </w:trPr>
        <w:tc>
          <w:tcPr>
            <w:tcW w:w="0" w:type="auto"/>
            <w:vAlign w:val="center"/>
            <w:hideMark/>
          </w:tcPr>
          <w:p w14:paraId="2C5D754C" w14:textId="77777777" w:rsidR="00000000" w:rsidRDefault="00EB4933">
            <w:pPr>
              <w:rPr>
                <w:rFonts w:eastAsia="Times New Roman"/>
                <w:sz w:val="20"/>
                <w:szCs w:val="20"/>
              </w:rPr>
            </w:pPr>
          </w:p>
        </w:tc>
      </w:tr>
      <w:tr w:rsidR="00000000" w14:paraId="17126875" w14:textId="77777777">
        <w:trPr>
          <w:divId w:val="98525094"/>
          <w:trHeight w:val="225"/>
          <w:tblCellSpacing w:w="15" w:type="dxa"/>
        </w:trPr>
        <w:tc>
          <w:tcPr>
            <w:tcW w:w="0" w:type="auto"/>
            <w:vAlign w:val="center"/>
            <w:hideMark/>
          </w:tcPr>
          <w:p w14:paraId="289FD746" w14:textId="77777777" w:rsidR="00000000" w:rsidRDefault="00EB4933">
            <w:pPr>
              <w:rPr>
                <w:rFonts w:eastAsia="Times New Roman"/>
                <w:sz w:val="20"/>
                <w:szCs w:val="20"/>
              </w:rPr>
            </w:pPr>
            <w:hyperlink r:id="rId96" w:anchor="toc" w:history="1">
              <w:r>
                <w:rPr>
                  <w:rStyle w:val="Hyperlink"/>
                  <w:rFonts w:eastAsia="Times New Roman"/>
                  <w:i/>
                  <w:iCs/>
                  <w:sz w:val="20"/>
                  <w:szCs w:val="20"/>
                </w:rPr>
                <w:t>Table of Contents</w:t>
              </w:r>
            </w:hyperlink>
          </w:p>
        </w:tc>
      </w:tr>
    </w:tbl>
    <w:p w14:paraId="383E03AE"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 xml:space="preserve">  </w:t>
      </w:r>
    </w:p>
    <w:p w14:paraId="3E200660"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The voting rights of holders of ADSs are limited by the terms of the deposit agreement, and you may not be able to exercise your right to vote your ordinary shares.</w:t>
      </w:r>
    </w:p>
    <w:p w14:paraId="6DA15462"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12F26B1"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a holder of our ADSs, you will only be able to exercise the voting rights with respect</w:t>
      </w:r>
      <w:r>
        <w:rPr>
          <w:sz w:val="20"/>
          <w:szCs w:val="20"/>
        </w:rPr>
        <w:t xml:space="preserve"> to the underlying ordinary shares in accordance with the provisions of the deposit agreement. Under the deposit agreement, you must vote by giving voting instructions to the depositary. Upon receipt of your voting instructions, the depositary will vote th</w:t>
      </w:r>
      <w:r>
        <w:rPr>
          <w:sz w:val="20"/>
          <w:szCs w:val="20"/>
        </w:rPr>
        <w:t>e underlying ordinary shares in accordance with these instructions. You will not be able to directly exercise your right to vote with respect to the underlying shares unless you withdraw the shares. Under our currently effective articles of association, th</w:t>
      </w:r>
      <w:r>
        <w:rPr>
          <w:sz w:val="20"/>
          <w:szCs w:val="20"/>
        </w:rPr>
        <w:t xml:space="preserve">e minimum notice period required for convening a general meeting is seven days. When a general meeting is convened, you may not receive sufficient advance notice to withdraw the shares underlying your ADSs to allow you to vote with respect to any specific </w:t>
      </w:r>
      <w:r>
        <w:rPr>
          <w:sz w:val="20"/>
          <w:szCs w:val="20"/>
        </w:rPr>
        <w:t>matter. If we ask for your instructions, the depositary will notify you of the upcoming vote and will arrange to deliver our voting materials to you. We cannot assure you that you will receive the voting materials in time to ensure that you can instruct th</w:t>
      </w:r>
      <w:r>
        <w:rPr>
          <w:sz w:val="20"/>
          <w:szCs w:val="20"/>
        </w:rPr>
        <w:t>e depositary to vote your shares. In addition, the depositary and its agents are not responsible for failing to carry out voting instructions or for their manner of carrying out your voting instructions. This means that you may not be able to exercise your</w:t>
      </w:r>
      <w:r>
        <w:rPr>
          <w:sz w:val="20"/>
          <w:szCs w:val="20"/>
        </w:rPr>
        <w:t xml:space="preserve"> right to vote and you may have no legal remedy if the shares underlying your ADSs are not voted as you requested.</w:t>
      </w:r>
    </w:p>
    <w:p w14:paraId="68EC2E2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7B2ECC0"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The depositary for our ADSs will give us a discretionary proxy to vote our ordinary shares underlying your ADSs if you do not vote at share</w:t>
      </w:r>
      <w:r>
        <w:rPr>
          <w:rStyle w:val="Emphasis"/>
          <w:b/>
          <w:bCs/>
          <w:sz w:val="20"/>
          <w:szCs w:val="20"/>
        </w:rPr>
        <w:t>holders’ meetings, except in limited circumstances, which could adversely affect your interests.</w:t>
      </w:r>
    </w:p>
    <w:p w14:paraId="36315B2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E82424E" w14:textId="77777777" w:rsidR="00000000" w:rsidRDefault="00EB4933">
      <w:pPr>
        <w:pStyle w:val="NormalWeb"/>
        <w:spacing w:before="0" w:beforeAutospacing="0" w:after="0" w:afterAutospacing="0"/>
        <w:ind w:firstLine="675"/>
        <w:jc w:val="both"/>
        <w:divId w:val="98525094"/>
        <w:rPr>
          <w:sz w:val="20"/>
          <w:szCs w:val="20"/>
        </w:rPr>
      </w:pPr>
      <w:r>
        <w:rPr>
          <w:sz w:val="20"/>
          <w:szCs w:val="20"/>
        </w:rPr>
        <w:t>Under the deposit agreement for the ADSs, if you do not vote at shareholders’ meetings, the depositary will give us a discretionary proxy to vote our ordinar</w:t>
      </w:r>
      <w:r>
        <w:rPr>
          <w:sz w:val="20"/>
          <w:szCs w:val="20"/>
        </w:rPr>
        <w:t>y shares underlying your ADSs at shareholders’ meetings unless:</w:t>
      </w:r>
    </w:p>
    <w:p w14:paraId="06367618"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18090903" w14:textId="77777777">
        <w:trPr>
          <w:divId w:val="98525094"/>
          <w:trHeight w:val="225"/>
          <w:tblCellSpacing w:w="15" w:type="dxa"/>
        </w:trPr>
        <w:tc>
          <w:tcPr>
            <w:tcW w:w="200" w:type="pct"/>
            <w:vAlign w:val="center"/>
            <w:hideMark/>
          </w:tcPr>
          <w:p w14:paraId="725D1C54"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7914C9C2"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2D8D126F" w14:textId="77777777" w:rsidR="00000000" w:rsidRDefault="00EB4933">
            <w:pPr>
              <w:rPr>
                <w:rFonts w:eastAsia="Times New Roman"/>
                <w:sz w:val="20"/>
                <w:szCs w:val="20"/>
              </w:rPr>
            </w:pPr>
            <w:r>
              <w:rPr>
                <w:rFonts w:eastAsia="Times New Roman"/>
                <w:sz w:val="20"/>
                <w:szCs w:val="20"/>
              </w:rPr>
              <w:t>we have instructed the depositary that we do not wish a discretionary proxy to be given;</w:t>
            </w:r>
          </w:p>
        </w:tc>
      </w:tr>
      <w:tr w:rsidR="00000000" w14:paraId="274D3503" w14:textId="77777777">
        <w:trPr>
          <w:divId w:val="98525094"/>
          <w:trHeight w:val="225"/>
          <w:tblCellSpacing w:w="15" w:type="dxa"/>
        </w:trPr>
        <w:tc>
          <w:tcPr>
            <w:tcW w:w="0" w:type="auto"/>
            <w:vAlign w:val="center"/>
            <w:hideMark/>
          </w:tcPr>
          <w:p w14:paraId="2DAB8604"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28411DB3"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651D1220" w14:textId="77777777" w:rsidR="00000000" w:rsidRDefault="00EB4933">
            <w:pPr>
              <w:pStyle w:val="NormalWeb"/>
              <w:spacing w:before="0" w:beforeAutospacing="0" w:after="0" w:afterAutospacing="0"/>
              <w:rPr>
                <w:sz w:val="20"/>
                <w:szCs w:val="20"/>
              </w:rPr>
            </w:pPr>
            <w:r>
              <w:rPr>
                <w:sz w:val="20"/>
                <w:szCs w:val="20"/>
              </w:rPr>
              <w:t> </w:t>
            </w:r>
          </w:p>
        </w:tc>
      </w:tr>
      <w:tr w:rsidR="00000000" w14:paraId="014F3129" w14:textId="77777777">
        <w:trPr>
          <w:divId w:val="98525094"/>
          <w:trHeight w:val="225"/>
          <w:tblCellSpacing w:w="15" w:type="dxa"/>
        </w:trPr>
        <w:tc>
          <w:tcPr>
            <w:tcW w:w="0" w:type="auto"/>
            <w:vAlign w:val="center"/>
            <w:hideMark/>
          </w:tcPr>
          <w:p w14:paraId="57F77055"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4A9D4837"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0EE84FEF" w14:textId="77777777" w:rsidR="00000000" w:rsidRDefault="00EB4933">
            <w:pPr>
              <w:rPr>
                <w:rFonts w:eastAsia="Times New Roman"/>
                <w:sz w:val="20"/>
                <w:szCs w:val="20"/>
              </w:rPr>
            </w:pPr>
            <w:r>
              <w:rPr>
                <w:rFonts w:eastAsia="Times New Roman"/>
                <w:sz w:val="20"/>
                <w:szCs w:val="20"/>
              </w:rPr>
              <w:t>we have informed the depositary that there is substantial opposition as to a matter to be voted on at the meeting; or</w:t>
            </w:r>
          </w:p>
        </w:tc>
      </w:tr>
      <w:tr w:rsidR="00000000" w14:paraId="3B933F84" w14:textId="77777777">
        <w:trPr>
          <w:divId w:val="98525094"/>
          <w:trHeight w:val="225"/>
          <w:tblCellSpacing w:w="15" w:type="dxa"/>
        </w:trPr>
        <w:tc>
          <w:tcPr>
            <w:tcW w:w="0" w:type="auto"/>
            <w:vAlign w:val="center"/>
            <w:hideMark/>
          </w:tcPr>
          <w:p w14:paraId="561DA140"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49BFE64C"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61F2D2F1" w14:textId="77777777" w:rsidR="00000000" w:rsidRDefault="00EB4933">
            <w:pPr>
              <w:pStyle w:val="NormalWeb"/>
              <w:spacing w:before="0" w:beforeAutospacing="0" w:after="0" w:afterAutospacing="0"/>
              <w:rPr>
                <w:sz w:val="20"/>
                <w:szCs w:val="20"/>
              </w:rPr>
            </w:pPr>
            <w:r>
              <w:rPr>
                <w:sz w:val="20"/>
                <w:szCs w:val="20"/>
              </w:rPr>
              <w:t> </w:t>
            </w:r>
          </w:p>
        </w:tc>
      </w:tr>
      <w:tr w:rsidR="00000000" w14:paraId="1BA6E51E" w14:textId="77777777">
        <w:trPr>
          <w:divId w:val="98525094"/>
          <w:trHeight w:val="225"/>
          <w:tblCellSpacing w:w="15" w:type="dxa"/>
        </w:trPr>
        <w:tc>
          <w:tcPr>
            <w:tcW w:w="0" w:type="auto"/>
            <w:vAlign w:val="center"/>
            <w:hideMark/>
          </w:tcPr>
          <w:p w14:paraId="1AF88E3C"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4C75611F"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E1BCD7C" w14:textId="77777777" w:rsidR="00000000" w:rsidRDefault="00EB4933">
            <w:pPr>
              <w:rPr>
                <w:rFonts w:eastAsia="Times New Roman"/>
                <w:sz w:val="20"/>
                <w:szCs w:val="20"/>
              </w:rPr>
            </w:pPr>
            <w:r>
              <w:rPr>
                <w:rFonts w:eastAsia="Times New Roman"/>
                <w:sz w:val="20"/>
                <w:szCs w:val="20"/>
              </w:rPr>
              <w:t>a matter to be voted on at the meeting would have a material adverse impact on shareholders.</w:t>
            </w:r>
          </w:p>
        </w:tc>
      </w:tr>
    </w:tbl>
    <w:p w14:paraId="6CB065EB"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p w14:paraId="4642E726"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effect of this discretionary proxy is that if you do not vote at shareholders’ meetings, you cannot prevent our ordinary shares underlying your ADSs from being voted, except under the circumstances described above. This may make it more difficult for s</w:t>
      </w:r>
      <w:r>
        <w:rPr>
          <w:sz w:val="20"/>
          <w:szCs w:val="20"/>
        </w:rPr>
        <w:t>hareholders to influence the management of our company. Holders of our ordinary shares are not subject to this discretionary proxy.</w:t>
      </w:r>
    </w:p>
    <w:p w14:paraId="0FAA838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B84D35F"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You may not receive dividends or other distributions on our ordinary shares and you may not receive any value for them, if</w:t>
      </w:r>
      <w:r>
        <w:rPr>
          <w:rStyle w:val="Emphasis"/>
          <w:b/>
          <w:bCs/>
          <w:sz w:val="20"/>
          <w:szCs w:val="20"/>
        </w:rPr>
        <w:t xml:space="preserve"> it is illegal or impractical to make them available to you.</w:t>
      </w:r>
    </w:p>
    <w:p w14:paraId="51ADAA9E"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E7757B4"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depositary of our ADSs has agreed to pay to you the cash dividends or other distributions it or the custodian receives on ordinary shares or other deposited securities underlying our ADSs, after deducting its fees and expenses. You will receive these d</w:t>
      </w:r>
      <w:r>
        <w:rPr>
          <w:sz w:val="20"/>
          <w:szCs w:val="20"/>
        </w:rPr>
        <w:t>istributions in proportion to the number of ordinary shares your ADSs represent. However, the depositary is not responsible if it decides that it is unlawful or impractical to make a distribution available to any holders of ADSs. For example, it would be u</w:t>
      </w:r>
      <w:r>
        <w:rPr>
          <w:sz w:val="20"/>
          <w:szCs w:val="20"/>
        </w:rPr>
        <w:t xml:space="preserve">nlawful to make a distribution to a holder of ADSs if it consists of securities that require registration under the Securities Act but that are not properly registered or distributed under an applicable exemption from registration. The depositary may also </w:t>
      </w:r>
      <w:r>
        <w:rPr>
          <w:sz w:val="20"/>
          <w:szCs w:val="20"/>
        </w:rPr>
        <w:t xml:space="preserve">determine that it is not feasible to distribute certain property through the mail. Additionally, the value of certain distributions may be less than the cost of mailing them. In these cases, the depositary may determine not to distribute such property. We </w:t>
      </w:r>
      <w:r>
        <w:rPr>
          <w:sz w:val="20"/>
          <w:szCs w:val="20"/>
        </w:rPr>
        <w:t>have no obligation to register under U.S. securities laws any ADSs, ordinary shares, rights or other securities received through such distributions. We also have no obligation to take any other action to permit the distribution of ADSs, ordinary shares, ri</w:t>
      </w:r>
      <w:r>
        <w:rPr>
          <w:sz w:val="20"/>
          <w:szCs w:val="20"/>
        </w:rPr>
        <w:t>ghts or anything else to holders of ADSs. This means that you may not receive distributions we make on our ordinary shares or any value for them if it is illegal or impractical for us to make them available to you. These restrictions may cause a material d</w:t>
      </w:r>
      <w:r>
        <w:rPr>
          <w:sz w:val="20"/>
          <w:szCs w:val="20"/>
        </w:rPr>
        <w:t>ecline in the value of our ADSs.</w:t>
      </w:r>
    </w:p>
    <w:p w14:paraId="136C41E0"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588C8EE" w14:textId="77777777">
        <w:trPr>
          <w:divId w:val="98525094"/>
          <w:trHeight w:val="225"/>
          <w:tblCellSpacing w:w="15" w:type="dxa"/>
        </w:trPr>
        <w:tc>
          <w:tcPr>
            <w:tcW w:w="0" w:type="auto"/>
            <w:vAlign w:val="center"/>
            <w:hideMark/>
          </w:tcPr>
          <w:p w14:paraId="3B27EBAB" w14:textId="77777777" w:rsidR="00000000" w:rsidRDefault="00EB4933">
            <w:pPr>
              <w:rPr>
                <w:rFonts w:eastAsia="Times New Roman"/>
                <w:sz w:val="20"/>
                <w:szCs w:val="20"/>
              </w:rPr>
            </w:pPr>
            <w:r>
              <w:rPr>
                <w:rFonts w:eastAsia="Times New Roman"/>
                <w:sz w:val="20"/>
                <w:szCs w:val="20"/>
              </w:rPr>
              <w:t> </w:t>
            </w:r>
          </w:p>
        </w:tc>
      </w:tr>
      <w:tr w:rsidR="00000000" w14:paraId="3521FF6C" w14:textId="77777777">
        <w:trPr>
          <w:divId w:val="98525094"/>
          <w:trHeight w:val="225"/>
          <w:tblCellSpacing w:w="15" w:type="dxa"/>
        </w:trPr>
        <w:tc>
          <w:tcPr>
            <w:tcW w:w="0" w:type="auto"/>
            <w:tcBorders>
              <w:bottom w:val="single" w:sz="6" w:space="0" w:color="000000"/>
            </w:tcBorders>
            <w:vAlign w:val="center"/>
            <w:hideMark/>
          </w:tcPr>
          <w:p w14:paraId="6B9102B6" w14:textId="77777777" w:rsidR="00000000" w:rsidRDefault="00EB4933">
            <w:pPr>
              <w:jc w:val="center"/>
              <w:rPr>
                <w:rFonts w:eastAsia="Times New Roman"/>
                <w:sz w:val="20"/>
                <w:szCs w:val="20"/>
              </w:rPr>
            </w:pPr>
            <w:r>
              <w:rPr>
                <w:rFonts w:eastAsia="Times New Roman"/>
                <w:sz w:val="20"/>
                <w:szCs w:val="20"/>
              </w:rPr>
              <w:t>37</w:t>
            </w:r>
          </w:p>
        </w:tc>
      </w:tr>
      <w:tr w:rsidR="00000000" w14:paraId="53A74070" w14:textId="77777777">
        <w:trPr>
          <w:divId w:val="98525094"/>
          <w:trHeight w:val="225"/>
          <w:tblCellSpacing w:w="15" w:type="dxa"/>
        </w:trPr>
        <w:tc>
          <w:tcPr>
            <w:tcW w:w="0" w:type="auto"/>
            <w:vAlign w:val="center"/>
            <w:hideMark/>
          </w:tcPr>
          <w:p w14:paraId="74509D16" w14:textId="77777777" w:rsidR="00000000" w:rsidRDefault="00EB4933">
            <w:pPr>
              <w:rPr>
                <w:rFonts w:eastAsia="Times New Roman"/>
                <w:sz w:val="20"/>
                <w:szCs w:val="20"/>
              </w:rPr>
            </w:pPr>
          </w:p>
        </w:tc>
      </w:tr>
      <w:tr w:rsidR="00000000" w14:paraId="463F8729" w14:textId="77777777">
        <w:trPr>
          <w:divId w:val="98525094"/>
          <w:trHeight w:val="225"/>
          <w:tblCellSpacing w:w="15" w:type="dxa"/>
        </w:trPr>
        <w:tc>
          <w:tcPr>
            <w:tcW w:w="0" w:type="auto"/>
            <w:vAlign w:val="center"/>
            <w:hideMark/>
          </w:tcPr>
          <w:p w14:paraId="525FF4CF" w14:textId="77777777" w:rsidR="00000000" w:rsidRDefault="00EB4933">
            <w:pPr>
              <w:rPr>
                <w:rFonts w:eastAsia="Times New Roman"/>
                <w:sz w:val="20"/>
                <w:szCs w:val="20"/>
              </w:rPr>
            </w:pPr>
            <w:hyperlink r:id="rId97" w:anchor="toc" w:history="1">
              <w:r>
                <w:rPr>
                  <w:rStyle w:val="Hyperlink"/>
                  <w:rFonts w:eastAsia="Times New Roman"/>
                  <w:i/>
                  <w:iCs/>
                  <w:sz w:val="20"/>
                  <w:szCs w:val="20"/>
                </w:rPr>
                <w:t>Table of Contents</w:t>
              </w:r>
            </w:hyperlink>
          </w:p>
        </w:tc>
      </w:tr>
    </w:tbl>
    <w:p w14:paraId="0E310132"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090791B7"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You may be subject to limitations on transfer of your ADSs.</w:t>
      </w:r>
    </w:p>
    <w:p w14:paraId="026DD5F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AB59528"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Your ADSs represented by American depositary receipts, or ADRs, are transferable on the books of the depositary. However, the depositary may close its books at any time or from time to time when it deems expedient in connection with the performance of its </w:t>
      </w:r>
      <w:r>
        <w:rPr>
          <w:sz w:val="20"/>
          <w:szCs w:val="20"/>
        </w:rPr>
        <w:t>duties. The depositary may close its books from time to time for a number of reasons, including in connection with corporate events such as a rights offering, during which time the depositary needs to maintain an exact number of ADS holders on its books fo</w:t>
      </w:r>
      <w:r>
        <w:rPr>
          <w:sz w:val="20"/>
          <w:szCs w:val="20"/>
        </w:rPr>
        <w:t>r a specified period. The depositary may also close its books in emergencies, and on weekends and public holidays. The depositary may refuse to deliver, transfer or register transfers of our ADSs generally when our share register or the books of the deposi</w:t>
      </w:r>
      <w:r>
        <w:rPr>
          <w:sz w:val="20"/>
          <w:szCs w:val="20"/>
        </w:rPr>
        <w:t>tary are closed, or at any time if we or the depositary thinks it is advisable to do so because of any requirement of law or of any government or governmental body, or under any provision of the deposit agreement, or for any other reason.</w:t>
      </w:r>
    </w:p>
    <w:p w14:paraId="3327FD1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02653B9"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Your right to p</w:t>
      </w:r>
      <w:r>
        <w:rPr>
          <w:rStyle w:val="Emphasis"/>
          <w:b/>
          <w:bCs/>
          <w:sz w:val="20"/>
          <w:szCs w:val="20"/>
        </w:rPr>
        <w:t>articipate in any future rights offerings may be limited, which may cause dilution to your holdings and you may not receive distributions with respect to the underlying ordinary shares if it is impractical to make them available to you.</w:t>
      </w:r>
    </w:p>
    <w:p w14:paraId="7966A24A"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16CF906"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We may from time </w:t>
      </w:r>
      <w:r>
        <w:rPr>
          <w:sz w:val="20"/>
          <w:szCs w:val="20"/>
        </w:rPr>
        <w:t>to time distribute rights to our shareholders, including rights to acquire our securities. However, we cannot make rights available to you in the United States unless we register the rights and the securities to which the rights relate under the Securities</w:t>
      </w:r>
      <w:r>
        <w:rPr>
          <w:sz w:val="20"/>
          <w:szCs w:val="20"/>
        </w:rPr>
        <w:t xml:space="preserve"> Act or an exemption from the registration requirements is available. Also, under the deposit agreement, the depositary will not make rights available to you unless the distribution to ADS holders of both the rights and any related securities are either re</w:t>
      </w:r>
      <w:r>
        <w:rPr>
          <w:sz w:val="20"/>
          <w:szCs w:val="20"/>
        </w:rPr>
        <w:t xml:space="preserve">gistered under the Securities Act or exempted from registration under the Securities Act. We are under no obligation to file a registration statement with respect to any such rights or securities or to endeavor to cause such a registration statement to be </w:t>
      </w:r>
      <w:r>
        <w:rPr>
          <w:sz w:val="20"/>
          <w:szCs w:val="20"/>
        </w:rPr>
        <w:t>declared effective. Moreover, we may not be able to establish an exemption from registration under the Securities Act. Accordingly, you may be unable to participate in our rights offerings and may experience dilution in your holdings.</w:t>
      </w:r>
    </w:p>
    <w:p w14:paraId="7C9A5D07"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8EFCD81"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In addition, the de</w:t>
      </w:r>
      <w:r>
        <w:rPr>
          <w:sz w:val="20"/>
          <w:szCs w:val="20"/>
        </w:rPr>
        <w:t>positary of our ADSs has agreed to pay to you the cash dividends or other distributions it or the custodian receives on our ordinary shares or other deposited securities after deducting its fees and expenses. You will receive these distributions in proport</w:t>
      </w:r>
      <w:r>
        <w:rPr>
          <w:sz w:val="20"/>
          <w:szCs w:val="20"/>
        </w:rPr>
        <w:t>ion to the number of ordinary shares your ADSs represent. However, the depositary may, at its discretion, decide that it is inequitable or impractical to make a distribution available to any holders of ADSs. For example, the depositary may determine that i</w:t>
      </w:r>
      <w:r>
        <w:rPr>
          <w:sz w:val="20"/>
          <w:szCs w:val="20"/>
        </w:rPr>
        <w:t>t is not practicable to distribute certain property through the mail, or that the value of certain distributions may be less than the cost of mailing them. In these cases, the depositary may decide not to distribute such property and you will not receive s</w:t>
      </w:r>
      <w:r>
        <w:rPr>
          <w:sz w:val="20"/>
          <w:szCs w:val="20"/>
        </w:rPr>
        <w:t>uch distribution.</w:t>
      </w:r>
    </w:p>
    <w:p w14:paraId="32ABA05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5C293EB" w14:textId="77777777">
        <w:trPr>
          <w:divId w:val="98525094"/>
          <w:trHeight w:val="225"/>
          <w:tblCellSpacing w:w="15" w:type="dxa"/>
        </w:trPr>
        <w:tc>
          <w:tcPr>
            <w:tcW w:w="0" w:type="auto"/>
            <w:vAlign w:val="center"/>
            <w:hideMark/>
          </w:tcPr>
          <w:p w14:paraId="7D33C2BC" w14:textId="77777777" w:rsidR="00000000" w:rsidRDefault="00EB4933">
            <w:pPr>
              <w:rPr>
                <w:rFonts w:eastAsia="Times New Roman"/>
                <w:sz w:val="20"/>
                <w:szCs w:val="20"/>
              </w:rPr>
            </w:pPr>
            <w:r>
              <w:rPr>
                <w:rFonts w:eastAsia="Times New Roman"/>
                <w:sz w:val="20"/>
                <w:szCs w:val="20"/>
              </w:rPr>
              <w:t> </w:t>
            </w:r>
          </w:p>
        </w:tc>
      </w:tr>
      <w:tr w:rsidR="00000000" w14:paraId="35E2125C" w14:textId="77777777">
        <w:trPr>
          <w:divId w:val="98525094"/>
          <w:trHeight w:val="225"/>
          <w:tblCellSpacing w:w="15" w:type="dxa"/>
        </w:trPr>
        <w:tc>
          <w:tcPr>
            <w:tcW w:w="0" w:type="auto"/>
            <w:tcBorders>
              <w:bottom w:val="single" w:sz="6" w:space="0" w:color="000000"/>
            </w:tcBorders>
            <w:vAlign w:val="center"/>
            <w:hideMark/>
          </w:tcPr>
          <w:p w14:paraId="54B16E52" w14:textId="77777777" w:rsidR="00000000" w:rsidRDefault="00EB4933">
            <w:pPr>
              <w:jc w:val="center"/>
              <w:rPr>
                <w:rFonts w:eastAsia="Times New Roman"/>
                <w:sz w:val="20"/>
                <w:szCs w:val="20"/>
              </w:rPr>
            </w:pPr>
            <w:r>
              <w:rPr>
                <w:rFonts w:eastAsia="Times New Roman"/>
                <w:sz w:val="20"/>
                <w:szCs w:val="20"/>
              </w:rPr>
              <w:t>38</w:t>
            </w:r>
          </w:p>
        </w:tc>
      </w:tr>
      <w:tr w:rsidR="00000000" w14:paraId="0CB769E5" w14:textId="77777777">
        <w:trPr>
          <w:divId w:val="98525094"/>
          <w:trHeight w:val="225"/>
          <w:tblCellSpacing w:w="15" w:type="dxa"/>
        </w:trPr>
        <w:tc>
          <w:tcPr>
            <w:tcW w:w="0" w:type="auto"/>
            <w:vAlign w:val="center"/>
            <w:hideMark/>
          </w:tcPr>
          <w:p w14:paraId="3CE733B5" w14:textId="77777777" w:rsidR="00000000" w:rsidRDefault="00EB4933">
            <w:pPr>
              <w:rPr>
                <w:rFonts w:eastAsia="Times New Roman"/>
                <w:sz w:val="20"/>
                <w:szCs w:val="20"/>
              </w:rPr>
            </w:pPr>
          </w:p>
        </w:tc>
      </w:tr>
      <w:tr w:rsidR="00000000" w14:paraId="2FE96759" w14:textId="77777777">
        <w:trPr>
          <w:divId w:val="98525094"/>
          <w:trHeight w:val="225"/>
          <w:tblCellSpacing w:w="15" w:type="dxa"/>
        </w:trPr>
        <w:tc>
          <w:tcPr>
            <w:tcW w:w="0" w:type="auto"/>
            <w:vAlign w:val="center"/>
            <w:hideMark/>
          </w:tcPr>
          <w:p w14:paraId="73662013" w14:textId="77777777" w:rsidR="00000000" w:rsidRDefault="00EB4933">
            <w:pPr>
              <w:rPr>
                <w:rFonts w:eastAsia="Times New Roman"/>
                <w:sz w:val="20"/>
                <w:szCs w:val="20"/>
              </w:rPr>
            </w:pPr>
            <w:hyperlink r:id="rId98" w:anchor="toc" w:history="1">
              <w:r>
                <w:rPr>
                  <w:rStyle w:val="Hyperlink"/>
                  <w:rFonts w:eastAsia="Times New Roman"/>
                  <w:i/>
                  <w:iCs/>
                  <w:sz w:val="20"/>
                  <w:szCs w:val="20"/>
                </w:rPr>
                <w:t>Table of Contents</w:t>
              </w:r>
            </w:hyperlink>
          </w:p>
        </w:tc>
      </w:tr>
    </w:tbl>
    <w:p w14:paraId="282E914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D8849BB" w14:textId="77777777" w:rsidR="00000000" w:rsidRDefault="00EB4933">
      <w:pPr>
        <w:pStyle w:val="NormalWeb"/>
        <w:spacing w:before="0" w:beforeAutospacing="0" w:after="0" w:afterAutospacing="0"/>
        <w:jc w:val="both"/>
        <w:divId w:val="98525094"/>
        <w:rPr>
          <w:sz w:val="20"/>
          <w:szCs w:val="20"/>
        </w:rPr>
      </w:pPr>
      <w:bookmarkStart w:id="7" w:name="i4"/>
      <w:r>
        <w:rPr>
          <w:rStyle w:val="Strong"/>
          <w:sz w:val="20"/>
          <w:szCs w:val="20"/>
        </w:rPr>
        <w:t>ITEM 4. INFORMATION ON THE COMPANY</w:t>
      </w:r>
      <w:bookmarkEnd w:id="7"/>
    </w:p>
    <w:p w14:paraId="108144DB" w14:textId="77777777" w:rsidR="00000000" w:rsidRDefault="00EB4933">
      <w:pPr>
        <w:pStyle w:val="NormalWeb"/>
        <w:spacing w:before="0" w:beforeAutospacing="0" w:after="0" w:afterAutospacing="0"/>
        <w:ind w:firstLine="675"/>
        <w:jc w:val="both"/>
        <w:divId w:val="98525094"/>
        <w:rPr>
          <w:sz w:val="20"/>
          <w:szCs w:val="20"/>
        </w:rPr>
      </w:pPr>
      <w:r>
        <w:rPr>
          <w:rStyle w:val="Strong"/>
          <w:sz w:val="20"/>
          <w:szCs w:val="20"/>
        </w:rPr>
        <w:t> </w:t>
      </w:r>
    </w:p>
    <w:p w14:paraId="4A3B48B2" w14:textId="77777777" w:rsidR="00000000" w:rsidRDefault="00EB4933">
      <w:pPr>
        <w:pStyle w:val="NormalWeb"/>
        <w:spacing w:before="0" w:beforeAutospacing="0" w:after="0" w:afterAutospacing="0"/>
        <w:jc w:val="both"/>
        <w:divId w:val="98525094"/>
        <w:rPr>
          <w:sz w:val="20"/>
          <w:szCs w:val="20"/>
        </w:rPr>
      </w:pPr>
      <w:r>
        <w:rPr>
          <w:rStyle w:val="Strong"/>
          <w:sz w:val="20"/>
          <w:szCs w:val="20"/>
        </w:rPr>
        <w:t>A. History and Development of the Company</w:t>
      </w:r>
    </w:p>
    <w:p w14:paraId="5F60A4E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9A36D17"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holding company, Dunxin Financial Holdings Limited (formerly known as China Xiniya Fashion Limited), was incorporated in the Cayman Islands as an exempted limited liability company on June 24, 2010. On December 28, 2017, we completed the Divestiture an</w:t>
      </w:r>
      <w:r>
        <w:rPr>
          <w:sz w:val="20"/>
          <w:szCs w:val="20"/>
        </w:rPr>
        <w:t>d Acquisition. In connection with the Acquisition, we purchased all of the issued and outstanding ordinary shares of True Silver for a cash payment of RMB228,000,000 ($34,588,428) and the issuance of 772,283,308 of our ordinary shares at RMB1.00 ($0.15) pe</w:t>
      </w:r>
      <w:r>
        <w:rPr>
          <w:sz w:val="20"/>
          <w:szCs w:val="20"/>
        </w:rPr>
        <w:t xml:space="preserve">r share, and True Silver became our wholly owned subsidiary. True Silver utilizes a VIE structure to operate and consolidate 80% of the financial results of Chutian. </w:t>
      </w:r>
    </w:p>
    <w:p w14:paraId="2D9CDB28"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590522A"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a result of the CIB Transaction, Honest Plus and Perfect Lead, the former shareholde</w:t>
      </w:r>
      <w:r>
        <w:rPr>
          <w:sz w:val="20"/>
          <w:szCs w:val="20"/>
        </w:rPr>
        <w:t>rs of True Silver, became the controlling shareholders of the Company. The CIB Transaction was accounted for as a reverse acquisition, wherein True Silver is considered the acquirer for accounting and financial reporting purposes. Accordingly, we changed o</w:t>
      </w:r>
      <w:r>
        <w:rPr>
          <w:sz w:val="20"/>
          <w:szCs w:val="20"/>
        </w:rPr>
        <w:t>ur business from an apparel business to a microfinance lending business in Hubei Province, China. We currently operate our microfinance lending business through Chutian.</w:t>
      </w:r>
    </w:p>
    <w:p w14:paraId="3CACFDC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5390CA7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The following is a brief description of each of the Company’s subsidiaries: </w:t>
      </w:r>
    </w:p>
    <w:p w14:paraId="74B4AEF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31877CC2" w14:textId="77777777">
        <w:trPr>
          <w:divId w:val="98525094"/>
          <w:trHeight w:val="225"/>
          <w:tblCellSpacing w:w="15" w:type="dxa"/>
        </w:trPr>
        <w:tc>
          <w:tcPr>
            <w:tcW w:w="200" w:type="pct"/>
            <w:vAlign w:val="center"/>
            <w:hideMark/>
          </w:tcPr>
          <w:p w14:paraId="52A840B8"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1BC7C5B6"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59F89C0D" w14:textId="77777777" w:rsidR="00000000" w:rsidRDefault="00EB4933">
            <w:pPr>
              <w:jc w:val="both"/>
              <w:rPr>
                <w:rFonts w:eastAsia="Times New Roman"/>
                <w:sz w:val="20"/>
                <w:szCs w:val="20"/>
              </w:rPr>
            </w:pPr>
            <w:r>
              <w:rPr>
                <w:rFonts w:eastAsia="Times New Roman"/>
                <w:sz w:val="20"/>
                <w:szCs w:val="20"/>
                <w:u w:val="single"/>
              </w:rPr>
              <w:t>Chutian HK</w:t>
            </w:r>
            <w:r>
              <w:rPr>
                <w:rFonts w:eastAsia="Times New Roman"/>
                <w:sz w:val="20"/>
                <w:szCs w:val="20"/>
              </w:rPr>
              <w:t>. Chutian Financial Holdings (Hong Kong) Limited (“Chutian HK”) is a limited company incorporated on August 12, 2016, under the Companies Ordinance of Hong Kong. The total amount of paid-up share capital of Chutian HK is HKD10,000 with 100 ordin</w:t>
            </w:r>
            <w:r>
              <w:rPr>
                <w:rFonts w:eastAsia="Times New Roman"/>
                <w:sz w:val="20"/>
                <w:szCs w:val="20"/>
              </w:rPr>
              <w:t>ary shares. Chutian HK is wholly owned by True Silver.</w:t>
            </w:r>
          </w:p>
        </w:tc>
      </w:tr>
      <w:tr w:rsidR="00000000" w14:paraId="5E9EC8EC" w14:textId="77777777">
        <w:trPr>
          <w:divId w:val="98525094"/>
          <w:trHeight w:val="225"/>
          <w:tblCellSpacing w:w="15" w:type="dxa"/>
        </w:trPr>
        <w:tc>
          <w:tcPr>
            <w:tcW w:w="0" w:type="auto"/>
            <w:vAlign w:val="center"/>
            <w:hideMark/>
          </w:tcPr>
          <w:p w14:paraId="35C9F6BE"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200BAFD1"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7B64A1C4"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13A5ABDF" w14:textId="77777777">
        <w:trPr>
          <w:divId w:val="98525094"/>
          <w:trHeight w:val="225"/>
          <w:tblCellSpacing w:w="15" w:type="dxa"/>
        </w:trPr>
        <w:tc>
          <w:tcPr>
            <w:tcW w:w="0" w:type="auto"/>
            <w:vAlign w:val="center"/>
            <w:hideMark/>
          </w:tcPr>
          <w:p w14:paraId="0C8EF528"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635FB6D4"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69F5BECD" w14:textId="77777777" w:rsidR="00000000" w:rsidRDefault="00EB4933">
            <w:pPr>
              <w:jc w:val="both"/>
              <w:rPr>
                <w:rFonts w:eastAsia="Times New Roman"/>
                <w:sz w:val="20"/>
                <w:szCs w:val="20"/>
              </w:rPr>
            </w:pPr>
            <w:r>
              <w:rPr>
                <w:rFonts w:eastAsia="Times New Roman"/>
                <w:sz w:val="20"/>
                <w:szCs w:val="20"/>
                <w:u w:val="single"/>
              </w:rPr>
              <w:t>Chutian Holding</w:t>
            </w:r>
            <w:r>
              <w:rPr>
                <w:rFonts w:eastAsia="Times New Roman"/>
                <w:sz w:val="20"/>
                <w:szCs w:val="20"/>
              </w:rPr>
              <w:t>. Wuhan Chutian Investment Holding Limited (“Chutian Holding”</w:t>
            </w:r>
            <w:r>
              <w:rPr>
                <w:rFonts w:eastAsia="Times New Roman"/>
                <w:sz w:val="20"/>
                <w:szCs w:val="20"/>
              </w:rPr>
              <w:t>) is a wholly foreign owned enterprise established by Chutian HK on November 4, 2016. Chutian Holding has been issued a Business License (unified social credit code: 91420100MA4KPA0H54) by Wuhan Administration for Industry and Commerce on November 4, 2016,</w:t>
            </w:r>
            <w:r>
              <w:rPr>
                <w:rFonts w:eastAsia="Times New Roman"/>
                <w:sz w:val="20"/>
                <w:szCs w:val="20"/>
              </w:rPr>
              <w:t xml:space="preserve"> and a Recordation Receipt for Establishment of Foreign-Invested Enterprises (recordation No.: Wu Shang Zi Bei 201600006) issued by the Wuhan Commercial Bureau on October 19, 2016.</w:t>
            </w:r>
          </w:p>
        </w:tc>
      </w:tr>
      <w:tr w:rsidR="00000000" w14:paraId="3EC96B52" w14:textId="77777777">
        <w:trPr>
          <w:divId w:val="98525094"/>
          <w:trHeight w:val="225"/>
          <w:tblCellSpacing w:w="15" w:type="dxa"/>
        </w:trPr>
        <w:tc>
          <w:tcPr>
            <w:tcW w:w="0" w:type="auto"/>
            <w:vAlign w:val="center"/>
            <w:hideMark/>
          </w:tcPr>
          <w:p w14:paraId="55BF44FB"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25C62927"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E257A16"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7C3957F8" w14:textId="77777777">
        <w:trPr>
          <w:divId w:val="98525094"/>
          <w:trHeight w:val="225"/>
          <w:tblCellSpacing w:w="15" w:type="dxa"/>
        </w:trPr>
        <w:tc>
          <w:tcPr>
            <w:tcW w:w="0" w:type="auto"/>
            <w:vAlign w:val="center"/>
            <w:hideMark/>
          </w:tcPr>
          <w:p w14:paraId="5026EDA6"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0077D060"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0F81A8E7" w14:textId="77777777" w:rsidR="00000000" w:rsidRDefault="00EB4933">
            <w:pPr>
              <w:jc w:val="both"/>
              <w:rPr>
                <w:rFonts w:eastAsia="Times New Roman"/>
                <w:sz w:val="20"/>
                <w:szCs w:val="20"/>
              </w:rPr>
            </w:pPr>
            <w:r>
              <w:rPr>
                <w:rFonts w:eastAsia="Times New Roman"/>
                <w:sz w:val="20"/>
                <w:szCs w:val="20"/>
                <w:u w:val="single"/>
              </w:rPr>
              <w:t>Chutian</w:t>
            </w:r>
            <w:r>
              <w:rPr>
                <w:rFonts w:eastAsia="Times New Roman"/>
                <w:sz w:val="20"/>
                <w:szCs w:val="20"/>
              </w:rPr>
              <w:t xml:space="preserve">. Hubei Chutian Microfinance Co., Ltd. is a joint stock </w:t>
            </w:r>
            <w:r>
              <w:rPr>
                <w:rFonts w:eastAsia="Times New Roman"/>
                <w:sz w:val="20"/>
                <w:szCs w:val="20"/>
              </w:rPr>
              <w:t>company incorporated under laws of PRC on February 20, 2013. Chutian currently holds a business license issued by the Administrative Approval Bureau of Wuchang District, Wuhan Municipality on April 25, 2017, which allows it to operate a microfinance busine</w:t>
            </w:r>
            <w:r>
              <w:rPr>
                <w:rFonts w:eastAsia="Times New Roman"/>
                <w:sz w:val="20"/>
                <w:szCs w:val="20"/>
              </w:rPr>
              <w:t>ss and provides individual and business loans to persons residing in and businesses operating in Hubei Province, China. Through a series of contractual agreements (VIE Agreements), Chutian Holding is deemed to control 80% of Chutian and have rights to cons</w:t>
            </w:r>
            <w:r>
              <w:rPr>
                <w:rFonts w:eastAsia="Times New Roman"/>
                <w:sz w:val="20"/>
                <w:szCs w:val="20"/>
              </w:rPr>
              <w:t>olidate 80% of Chutian’s financial results.</w:t>
            </w:r>
          </w:p>
        </w:tc>
      </w:tr>
    </w:tbl>
    <w:p w14:paraId="3EF0B753"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33B5AE84"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 xml:space="preserve">An entity, Hubei Kai Wu Small and Micro Economic Research Institute Co. Ltd, was set up in May 2018 with a registered share capital of RMB5 million, where Chutian should subscribe RMB1.365 million of the </w:t>
      </w:r>
      <w:r>
        <w:rPr>
          <w:sz w:val="20"/>
          <w:szCs w:val="20"/>
        </w:rPr>
        <w:t>registered share capital and held 27.3% of the equity interest of this company. However, all shareholders, including Chutian, did not subscribe to the share capital and this company remain dormant as of December 31, 2019.</w:t>
      </w:r>
    </w:p>
    <w:p w14:paraId="5BF4BCBE"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28C87BB" w14:textId="77777777">
        <w:trPr>
          <w:divId w:val="98525094"/>
          <w:trHeight w:val="225"/>
          <w:tblCellSpacing w:w="15" w:type="dxa"/>
        </w:trPr>
        <w:tc>
          <w:tcPr>
            <w:tcW w:w="0" w:type="auto"/>
            <w:vAlign w:val="center"/>
            <w:hideMark/>
          </w:tcPr>
          <w:p w14:paraId="56F9A71A" w14:textId="77777777" w:rsidR="00000000" w:rsidRDefault="00EB4933">
            <w:pPr>
              <w:rPr>
                <w:rFonts w:eastAsia="Times New Roman"/>
                <w:sz w:val="20"/>
                <w:szCs w:val="20"/>
              </w:rPr>
            </w:pPr>
            <w:r>
              <w:rPr>
                <w:rFonts w:eastAsia="Times New Roman"/>
                <w:sz w:val="20"/>
                <w:szCs w:val="20"/>
              </w:rPr>
              <w:t> </w:t>
            </w:r>
          </w:p>
        </w:tc>
      </w:tr>
      <w:tr w:rsidR="00000000" w14:paraId="441B7439" w14:textId="77777777">
        <w:trPr>
          <w:divId w:val="98525094"/>
          <w:trHeight w:val="225"/>
          <w:tblCellSpacing w:w="15" w:type="dxa"/>
        </w:trPr>
        <w:tc>
          <w:tcPr>
            <w:tcW w:w="0" w:type="auto"/>
            <w:tcBorders>
              <w:bottom w:val="single" w:sz="6" w:space="0" w:color="000000"/>
            </w:tcBorders>
            <w:vAlign w:val="center"/>
            <w:hideMark/>
          </w:tcPr>
          <w:p w14:paraId="243FF15E" w14:textId="77777777" w:rsidR="00000000" w:rsidRDefault="00EB4933">
            <w:pPr>
              <w:jc w:val="center"/>
              <w:rPr>
                <w:rFonts w:eastAsia="Times New Roman"/>
                <w:sz w:val="20"/>
                <w:szCs w:val="20"/>
              </w:rPr>
            </w:pPr>
            <w:r>
              <w:rPr>
                <w:rFonts w:eastAsia="Times New Roman"/>
                <w:sz w:val="20"/>
                <w:szCs w:val="20"/>
              </w:rPr>
              <w:t>39</w:t>
            </w:r>
          </w:p>
        </w:tc>
      </w:tr>
      <w:tr w:rsidR="00000000" w14:paraId="6645134F" w14:textId="77777777">
        <w:trPr>
          <w:divId w:val="98525094"/>
          <w:trHeight w:val="225"/>
          <w:tblCellSpacing w:w="15" w:type="dxa"/>
        </w:trPr>
        <w:tc>
          <w:tcPr>
            <w:tcW w:w="0" w:type="auto"/>
            <w:vAlign w:val="center"/>
            <w:hideMark/>
          </w:tcPr>
          <w:p w14:paraId="6C4676B6" w14:textId="77777777" w:rsidR="00000000" w:rsidRDefault="00EB4933">
            <w:pPr>
              <w:rPr>
                <w:rFonts w:eastAsia="Times New Roman"/>
                <w:sz w:val="20"/>
                <w:szCs w:val="20"/>
              </w:rPr>
            </w:pPr>
          </w:p>
        </w:tc>
      </w:tr>
      <w:tr w:rsidR="00000000" w14:paraId="18ACB614" w14:textId="77777777">
        <w:trPr>
          <w:divId w:val="98525094"/>
          <w:trHeight w:val="225"/>
          <w:tblCellSpacing w:w="15" w:type="dxa"/>
        </w:trPr>
        <w:tc>
          <w:tcPr>
            <w:tcW w:w="0" w:type="auto"/>
            <w:vAlign w:val="center"/>
            <w:hideMark/>
          </w:tcPr>
          <w:p w14:paraId="0302ACD2" w14:textId="77777777" w:rsidR="00000000" w:rsidRDefault="00EB4933">
            <w:pPr>
              <w:rPr>
                <w:rFonts w:eastAsia="Times New Roman"/>
                <w:sz w:val="20"/>
                <w:szCs w:val="20"/>
              </w:rPr>
            </w:pPr>
            <w:hyperlink r:id="rId99" w:anchor="toc" w:history="1">
              <w:r>
                <w:rPr>
                  <w:rStyle w:val="Hyperlink"/>
                  <w:rFonts w:eastAsia="Times New Roman"/>
                  <w:i/>
                  <w:iCs/>
                  <w:sz w:val="20"/>
                  <w:szCs w:val="20"/>
                </w:rPr>
                <w:t>Table of Contents</w:t>
              </w:r>
            </w:hyperlink>
          </w:p>
        </w:tc>
      </w:tr>
    </w:tbl>
    <w:p w14:paraId="34D1E32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30511E2"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following is a brief description of the VIE Agreements entered into on August 10, 2017, between Chutian Holding and Chutian, through which we control 80% of Chutian:</w:t>
      </w:r>
    </w:p>
    <w:p w14:paraId="248BF175"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47CC4D7B" w14:textId="77777777">
        <w:trPr>
          <w:divId w:val="98525094"/>
          <w:trHeight w:val="225"/>
          <w:tblCellSpacing w:w="15" w:type="dxa"/>
        </w:trPr>
        <w:tc>
          <w:tcPr>
            <w:tcW w:w="200" w:type="pct"/>
            <w:vAlign w:val="center"/>
            <w:hideMark/>
          </w:tcPr>
          <w:p w14:paraId="27BACDC7"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44750E94"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59BD21F3" w14:textId="77777777" w:rsidR="00000000" w:rsidRDefault="00EB4933">
            <w:pPr>
              <w:jc w:val="both"/>
              <w:rPr>
                <w:rFonts w:eastAsia="Times New Roman"/>
                <w:sz w:val="20"/>
                <w:szCs w:val="20"/>
              </w:rPr>
            </w:pPr>
            <w:r>
              <w:rPr>
                <w:rFonts w:eastAsia="Times New Roman"/>
                <w:sz w:val="20"/>
                <w:szCs w:val="20"/>
                <w:u w:val="single"/>
              </w:rPr>
              <w:t>Exclusive Consigned</w:t>
            </w:r>
            <w:r>
              <w:rPr>
                <w:rFonts w:eastAsia="Times New Roman"/>
                <w:sz w:val="20"/>
                <w:szCs w:val="20"/>
                <w:u w:val="single"/>
              </w:rPr>
              <w:t xml:space="preserve"> Management Service Agreement</w:t>
            </w:r>
            <w:r>
              <w:rPr>
                <w:rFonts w:eastAsia="Times New Roman"/>
                <w:sz w:val="20"/>
                <w:szCs w:val="20"/>
              </w:rPr>
              <w:t>. Pursuant to the Exclusive Consigned Management Service Agreement between Chutian and Chutian Holding, Chutian Holding was appointed as the exclusive services provider to Chutian (including its subsidiaries, branches and any o</w:t>
            </w:r>
            <w:r>
              <w:rPr>
                <w:rFonts w:eastAsia="Times New Roman"/>
                <w:sz w:val="20"/>
                <w:szCs w:val="20"/>
              </w:rPr>
              <w:t>ther invested entities) for the following services: comprehensive business support, including but not limited to, daily business management consulting, financial consulting, professionals and technical training during the term of this Agreement in accordan</w:t>
            </w:r>
            <w:r>
              <w:rPr>
                <w:rFonts w:eastAsia="Times New Roman"/>
                <w:sz w:val="20"/>
                <w:szCs w:val="20"/>
              </w:rPr>
              <w:t>ce with the terms and conditions of this Agreement. For services rendered to Chutian by Chutian Holding under this Agreement, Chutian Holding is entitled to collect a service fee equal to 80% of the net operating income of Chutian (the “Service Fees”). The</w:t>
            </w:r>
            <w:r>
              <w:rPr>
                <w:rFonts w:eastAsia="Times New Roman"/>
                <w:sz w:val="20"/>
                <w:szCs w:val="20"/>
              </w:rPr>
              <w:t xml:space="preserve"> Service Fees are due and payable on a quarterly basis; provided, however, in principle, the payment of the Service Fees should not cause any difficulty to the operation of either party to this Agreement. The exclusive Consigned Management Service Agreemen</w:t>
            </w:r>
            <w:r>
              <w:rPr>
                <w:rFonts w:eastAsia="Times New Roman"/>
                <w:sz w:val="20"/>
                <w:szCs w:val="20"/>
              </w:rPr>
              <w:t>t has a term of five (5) years. Chutian is not entitled to unilaterally terminate this Agreement.Chutian Holding has the right to terminate this Agreement by giving a thirty (30) day prior notice to Chutian. This Agreement could be extended based on the or</w:t>
            </w:r>
            <w:r>
              <w:rPr>
                <w:rFonts w:eastAsia="Times New Roman"/>
                <w:sz w:val="20"/>
                <w:szCs w:val="20"/>
              </w:rPr>
              <w:t>iginally agreed terms upon expiration if Chutian Holding gives written confirmation before expiration of the agreement. The period of extension will be decided by Chutian Holding, which Chutian is required to unconditionally accept.</w:t>
            </w:r>
          </w:p>
        </w:tc>
      </w:tr>
      <w:tr w:rsidR="00000000" w14:paraId="34B35A13" w14:textId="77777777">
        <w:trPr>
          <w:divId w:val="98525094"/>
          <w:trHeight w:val="225"/>
          <w:tblCellSpacing w:w="15" w:type="dxa"/>
        </w:trPr>
        <w:tc>
          <w:tcPr>
            <w:tcW w:w="0" w:type="auto"/>
            <w:vAlign w:val="center"/>
            <w:hideMark/>
          </w:tcPr>
          <w:p w14:paraId="03C5383C"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400B1363"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03F3A2A6"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65BF24EE" w14:textId="77777777">
        <w:trPr>
          <w:divId w:val="98525094"/>
          <w:trHeight w:val="225"/>
          <w:tblCellSpacing w:w="15" w:type="dxa"/>
        </w:trPr>
        <w:tc>
          <w:tcPr>
            <w:tcW w:w="0" w:type="auto"/>
            <w:vAlign w:val="center"/>
            <w:hideMark/>
          </w:tcPr>
          <w:p w14:paraId="5F936557"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34A39DA9"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03E43B2F" w14:textId="77777777" w:rsidR="00000000" w:rsidRDefault="00EB4933">
            <w:pPr>
              <w:jc w:val="both"/>
              <w:rPr>
                <w:rFonts w:eastAsia="Times New Roman"/>
                <w:sz w:val="20"/>
                <w:szCs w:val="20"/>
              </w:rPr>
            </w:pPr>
            <w:r>
              <w:rPr>
                <w:rFonts w:eastAsia="Times New Roman"/>
                <w:sz w:val="20"/>
                <w:szCs w:val="20"/>
                <w:u w:val="single"/>
              </w:rPr>
              <w:t>Exclusive Purchase Option Agreement</w:t>
            </w:r>
            <w:r>
              <w:rPr>
                <w:rFonts w:eastAsia="Times New Roman"/>
                <w:sz w:val="20"/>
                <w:szCs w:val="20"/>
              </w:rPr>
              <w:t>. Under the Exclusive Purchase Option Agreement, Hubei New Nature Investment Co., Ltd, Qizhi Wei, Sizhi Yang, Yuyou Hu, Wanxin Deng, Jing Liang, Hailin Wang, and Wenting (Tina) Xiao (collectively “Shareholders holding 80%</w:t>
            </w:r>
            <w:r>
              <w:rPr>
                <w:rFonts w:eastAsia="Times New Roman"/>
                <w:sz w:val="20"/>
                <w:szCs w:val="20"/>
              </w:rPr>
              <w:t xml:space="preserve"> Equity Interests of Chutian”) irrevocably granted to Chutian Holding, or any third party designated by WFOE, an exclusive purchase option right, at any time to purchase all or part of such shareholders’ current and future equity interests in Chutian, to t</w:t>
            </w:r>
            <w:r>
              <w:rPr>
                <w:rFonts w:eastAsia="Times New Roman"/>
                <w:sz w:val="20"/>
                <w:szCs w:val="20"/>
              </w:rPr>
              <w:t>he extent permitted by PRC laws and regulations. Apart from Chutian Holding or any third party designated by Chutian Holding, no other person has the right to purchase such equity interests in Chutian. Shareholders holding 80% Equity Interests of Chutian a</w:t>
            </w:r>
            <w:r>
              <w:rPr>
                <w:rFonts w:eastAsia="Times New Roman"/>
                <w:sz w:val="20"/>
                <w:szCs w:val="20"/>
              </w:rPr>
              <w:t>re required to transfer their respective equity interests in Chutian to Chutian Holding in accordance with their percentage ownership of such equity interests provided Chutian Holding selects to purchase such shareholders’equity interests. Chutian irrevoca</w:t>
            </w:r>
            <w:r>
              <w:rPr>
                <w:rFonts w:eastAsia="Times New Roman"/>
                <w:sz w:val="20"/>
                <w:szCs w:val="20"/>
              </w:rPr>
              <w:t>bly granted to Chutian Holding or any third party designated by Chutian Holding an exclusive purchase option right, at any time to purchase all or a substantial part of Chutian’s assets, to the extent permitted by PRC laws and regulations.</w:t>
            </w:r>
          </w:p>
        </w:tc>
      </w:tr>
      <w:tr w:rsidR="00000000" w14:paraId="52A13A1E" w14:textId="77777777">
        <w:trPr>
          <w:divId w:val="98525094"/>
          <w:trHeight w:val="225"/>
          <w:tblCellSpacing w:w="15" w:type="dxa"/>
        </w:trPr>
        <w:tc>
          <w:tcPr>
            <w:tcW w:w="0" w:type="auto"/>
            <w:vAlign w:val="center"/>
            <w:hideMark/>
          </w:tcPr>
          <w:p w14:paraId="70F8BAC4"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1121D828"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5A6E402F"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1CBAD2A" w14:textId="77777777">
        <w:trPr>
          <w:divId w:val="98525094"/>
          <w:trHeight w:val="225"/>
          <w:tblCellSpacing w:w="15" w:type="dxa"/>
        </w:trPr>
        <w:tc>
          <w:tcPr>
            <w:tcW w:w="0" w:type="auto"/>
            <w:vAlign w:val="center"/>
            <w:hideMark/>
          </w:tcPr>
          <w:p w14:paraId="0E3F7215"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330859A9"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62646D8D" w14:textId="77777777" w:rsidR="00000000" w:rsidRDefault="00EB4933">
            <w:pPr>
              <w:jc w:val="both"/>
              <w:rPr>
                <w:rFonts w:eastAsia="Times New Roman"/>
                <w:sz w:val="20"/>
                <w:szCs w:val="20"/>
              </w:rPr>
            </w:pPr>
            <w:r>
              <w:rPr>
                <w:rFonts w:eastAsia="Times New Roman"/>
                <w:sz w:val="20"/>
                <w:szCs w:val="20"/>
                <w:u w:val="single"/>
              </w:rPr>
              <w:t>Shareholders’ Voting Proxy Agreement</w:t>
            </w:r>
            <w:r>
              <w:rPr>
                <w:rFonts w:eastAsia="Times New Roman"/>
                <w:sz w:val="20"/>
                <w:szCs w:val="20"/>
              </w:rPr>
              <w:t>. Under the Voting Proxy Agreement, the Shareholders holding 80% Equity Interests of Chutian irrevocably granted and entrusted Chutian Holding or their designee to be their exclusive proxy to exercise their voting rights</w:t>
            </w:r>
            <w:r>
              <w:rPr>
                <w:rFonts w:eastAsia="Times New Roman"/>
                <w:sz w:val="20"/>
                <w:szCs w:val="20"/>
              </w:rPr>
              <w:t xml:space="preserve"> that they would have at a shareholders’ meeting or by written consent for the maximum period permitted pursuant to the PRC laws and in accordance with and within the limitations of the PRC laws and the then effective articles of association of Chutian, in</w:t>
            </w:r>
            <w:r>
              <w:rPr>
                <w:rFonts w:eastAsia="Times New Roman"/>
                <w:sz w:val="20"/>
                <w:szCs w:val="20"/>
              </w:rPr>
              <w:t>cluding but not limited to, the following rights:</w:t>
            </w:r>
          </w:p>
        </w:tc>
      </w:tr>
    </w:tbl>
    <w:p w14:paraId="3DBEF029"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719"/>
        <w:gridCol w:w="530"/>
        <w:gridCol w:w="8111"/>
      </w:tblGrid>
      <w:tr w:rsidR="00000000" w14:paraId="3841557A" w14:textId="77777777">
        <w:trPr>
          <w:divId w:val="98525094"/>
          <w:trHeight w:val="225"/>
          <w:tblCellSpacing w:w="15" w:type="dxa"/>
        </w:trPr>
        <w:tc>
          <w:tcPr>
            <w:tcW w:w="400" w:type="pct"/>
            <w:vAlign w:val="center"/>
            <w:hideMark/>
          </w:tcPr>
          <w:p w14:paraId="61102ECF"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44E093D7" w14:textId="77777777" w:rsidR="00000000" w:rsidRDefault="00EB4933">
            <w:pPr>
              <w:pStyle w:val="NormalWeb"/>
              <w:spacing w:before="0" w:beforeAutospacing="0" w:after="0" w:afterAutospacing="0"/>
              <w:rPr>
                <w:sz w:val="20"/>
                <w:szCs w:val="20"/>
              </w:rPr>
            </w:pPr>
            <w:r>
              <w:rPr>
                <w:sz w:val="20"/>
                <w:szCs w:val="20"/>
              </w:rPr>
              <w:t xml:space="preserve">(a) </w:t>
            </w:r>
          </w:p>
        </w:tc>
        <w:tc>
          <w:tcPr>
            <w:tcW w:w="0" w:type="auto"/>
            <w:hideMark/>
          </w:tcPr>
          <w:p w14:paraId="7694745F" w14:textId="77777777" w:rsidR="00000000" w:rsidRDefault="00EB4933">
            <w:pPr>
              <w:rPr>
                <w:rFonts w:eastAsia="Times New Roman"/>
                <w:sz w:val="20"/>
                <w:szCs w:val="20"/>
              </w:rPr>
            </w:pPr>
            <w:r>
              <w:rPr>
                <w:rFonts w:eastAsia="Times New Roman"/>
                <w:sz w:val="20"/>
                <w:szCs w:val="20"/>
              </w:rPr>
              <w:t xml:space="preserve">to attend and participate in the shareholders’ meetings of Chutian as the voting proxy of the Shareholders holding 80% Equity Interests of Chutian; </w:t>
            </w:r>
          </w:p>
        </w:tc>
      </w:tr>
      <w:tr w:rsidR="00000000" w14:paraId="170C03F5" w14:textId="77777777">
        <w:trPr>
          <w:divId w:val="98525094"/>
          <w:trHeight w:val="225"/>
          <w:tblCellSpacing w:w="15" w:type="dxa"/>
        </w:trPr>
        <w:tc>
          <w:tcPr>
            <w:tcW w:w="0" w:type="auto"/>
            <w:vAlign w:val="center"/>
            <w:hideMark/>
          </w:tcPr>
          <w:p w14:paraId="3D78F1A0"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63DA6BD4"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4D6782A6" w14:textId="77777777" w:rsidR="00000000" w:rsidRDefault="00EB4933">
            <w:pPr>
              <w:pStyle w:val="NormalWeb"/>
              <w:spacing w:before="0" w:beforeAutospacing="0" w:after="0" w:afterAutospacing="0"/>
              <w:rPr>
                <w:sz w:val="20"/>
                <w:szCs w:val="20"/>
              </w:rPr>
            </w:pPr>
            <w:r>
              <w:rPr>
                <w:sz w:val="20"/>
                <w:szCs w:val="20"/>
              </w:rPr>
              <w:t> </w:t>
            </w:r>
          </w:p>
        </w:tc>
      </w:tr>
      <w:tr w:rsidR="00000000" w14:paraId="460306C3" w14:textId="77777777">
        <w:trPr>
          <w:divId w:val="98525094"/>
          <w:trHeight w:val="225"/>
          <w:tblCellSpacing w:w="15" w:type="dxa"/>
        </w:trPr>
        <w:tc>
          <w:tcPr>
            <w:tcW w:w="0" w:type="auto"/>
            <w:vAlign w:val="center"/>
            <w:hideMark/>
          </w:tcPr>
          <w:p w14:paraId="430085D3" w14:textId="77777777" w:rsidR="00000000" w:rsidRDefault="00EB4933">
            <w:pPr>
              <w:pStyle w:val="NormalWeb"/>
              <w:spacing w:before="0" w:beforeAutospacing="0" w:after="0" w:afterAutospacing="0"/>
              <w:rPr>
                <w:sz w:val="20"/>
                <w:szCs w:val="20"/>
              </w:rPr>
            </w:pPr>
            <w:r>
              <w:rPr>
                <w:sz w:val="20"/>
                <w:szCs w:val="20"/>
              </w:rPr>
              <w:lastRenderedPageBreak/>
              <w:t> </w:t>
            </w:r>
          </w:p>
        </w:tc>
        <w:tc>
          <w:tcPr>
            <w:tcW w:w="0" w:type="auto"/>
            <w:hideMark/>
          </w:tcPr>
          <w:p w14:paraId="061AD5DC" w14:textId="77777777" w:rsidR="00000000" w:rsidRDefault="00EB4933">
            <w:pPr>
              <w:pStyle w:val="NormalWeb"/>
              <w:spacing w:before="0" w:beforeAutospacing="0" w:after="0" w:afterAutospacing="0"/>
              <w:rPr>
                <w:sz w:val="20"/>
                <w:szCs w:val="20"/>
              </w:rPr>
            </w:pPr>
            <w:r>
              <w:rPr>
                <w:sz w:val="20"/>
                <w:szCs w:val="20"/>
              </w:rPr>
              <w:t xml:space="preserve">(b) </w:t>
            </w:r>
          </w:p>
        </w:tc>
        <w:tc>
          <w:tcPr>
            <w:tcW w:w="0" w:type="auto"/>
            <w:hideMark/>
          </w:tcPr>
          <w:p w14:paraId="4E8B031B" w14:textId="77777777" w:rsidR="00000000" w:rsidRDefault="00EB4933">
            <w:pPr>
              <w:rPr>
                <w:rFonts w:eastAsia="Times New Roman"/>
                <w:sz w:val="20"/>
                <w:szCs w:val="20"/>
              </w:rPr>
            </w:pPr>
            <w:r>
              <w:rPr>
                <w:rFonts w:eastAsia="Times New Roman"/>
                <w:sz w:val="20"/>
                <w:szCs w:val="20"/>
              </w:rPr>
              <w:t xml:space="preserve">to vote on the matters proposed at the shareholders’ meetings, including, but not limited to, voting on the appointment and election of the directors and supervisors of Chutian; </w:t>
            </w:r>
          </w:p>
        </w:tc>
      </w:tr>
      <w:tr w:rsidR="00000000" w14:paraId="72FCEF08" w14:textId="77777777">
        <w:trPr>
          <w:divId w:val="98525094"/>
          <w:trHeight w:val="225"/>
          <w:tblCellSpacing w:w="15" w:type="dxa"/>
        </w:trPr>
        <w:tc>
          <w:tcPr>
            <w:tcW w:w="0" w:type="auto"/>
            <w:vAlign w:val="center"/>
            <w:hideMark/>
          </w:tcPr>
          <w:p w14:paraId="7D274C84"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67AF5072"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4BAE2637" w14:textId="77777777" w:rsidR="00000000" w:rsidRDefault="00EB4933">
            <w:pPr>
              <w:pStyle w:val="NormalWeb"/>
              <w:spacing w:before="0" w:beforeAutospacing="0" w:after="0" w:afterAutospacing="0"/>
              <w:rPr>
                <w:sz w:val="20"/>
                <w:szCs w:val="20"/>
              </w:rPr>
            </w:pPr>
            <w:r>
              <w:rPr>
                <w:sz w:val="20"/>
                <w:szCs w:val="20"/>
              </w:rPr>
              <w:t> </w:t>
            </w:r>
          </w:p>
        </w:tc>
      </w:tr>
      <w:tr w:rsidR="00000000" w14:paraId="3214314B" w14:textId="77777777">
        <w:trPr>
          <w:divId w:val="98525094"/>
          <w:trHeight w:val="225"/>
          <w:tblCellSpacing w:w="15" w:type="dxa"/>
        </w:trPr>
        <w:tc>
          <w:tcPr>
            <w:tcW w:w="0" w:type="auto"/>
            <w:vAlign w:val="center"/>
            <w:hideMark/>
          </w:tcPr>
          <w:p w14:paraId="6C6B0B0D"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6193E962" w14:textId="77777777" w:rsidR="00000000" w:rsidRDefault="00EB4933">
            <w:pPr>
              <w:pStyle w:val="NormalWeb"/>
              <w:spacing w:before="0" w:beforeAutospacing="0" w:after="0" w:afterAutospacing="0"/>
              <w:rPr>
                <w:sz w:val="20"/>
                <w:szCs w:val="20"/>
              </w:rPr>
            </w:pPr>
            <w:r>
              <w:rPr>
                <w:sz w:val="20"/>
                <w:szCs w:val="20"/>
              </w:rPr>
              <w:t xml:space="preserve">(c) </w:t>
            </w:r>
          </w:p>
        </w:tc>
        <w:tc>
          <w:tcPr>
            <w:tcW w:w="0" w:type="auto"/>
            <w:hideMark/>
          </w:tcPr>
          <w:p w14:paraId="026D3197" w14:textId="77777777" w:rsidR="00000000" w:rsidRDefault="00EB4933">
            <w:pPr>
              <w:rPr>
                <w:rFonts w:eastAsia="Times New Roman"/>
                <w:sz w:val="20"/>
                <w:szCs w:val="20"/>
              </w:rPr>
            </w:pPr>
            <w:r>
              <w:rPr>
                <w:rFonts w:eastAsia="Times New Roman"/>
                <w:sz w:val="20"/>
                <w:szCs w:val="20"/>
              </w:rPr>
              <w:t>to suggest convening the shareholders’ meetings of Chutian; an</w:t>
            </w:r>
            <w:r>
              <w:rPr>
                <w:rFonts w:eastAsia="Times New Roman"/>
                <w:sz w:val="20"/>
                <w:szCs w:val="20"/>
              </w:rPr>
              <w:t>d</w:t>
            </w:r>
          </w:p>
        </w:tc>
      </w:tr>
      <w:tr w:rsidR="00000000" w14:paraId="2B90E620" w14:textId="77777777">
        <w:trPr>
          <w:divId w:val="98525094"/>
          <w:trHeight w:val="225"/>
          <w:tblCellSpacing w:w="15" w:type="dxa"/>
        </w:trPr>
        <w:tc>
          <w:tcPr>
            <w:tcW w:w="0" w:type="auto"/>
            <w:vAlign w:val="center"/>
            <w:hideMark/>
          </w:tcPr>
          <w:p w14:paraId="4BB3D002"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4C3FAB53"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419C7DBF" w14:textId="77777777" w:rsidR="00000000" w:rsidRDefault="00EB4933">
            <w:pPr>
              <w:pStyle w:val="NormalWeb"/>
              <w:spacing w:before="0" w:beforeAutospacing="0" w:after="0" w:afterAutospacing="0"/>
              <w:rPr>
                <w:sz w:val="20"/>
                <w:szCs w:val="20"/>
              </w:rPr>
            </w:pPr>
            <w:r>
              <w:rPr>
                <w:sz w:val="20"/>
                <w:szCs w:val="20"/>
              </w:rPr>
              <w:t> </w:t>
            </w:r>
          </w:p>
        </w:tc>
      </w:tr>
      <w:tr w:rsidR="00000000" w14:paraId="2990F51C" w14:textId="77777777">
        <w:trPr>
          <w:divId w:val="98525094"/>
          <w:trHeight w:val="225"/>
          <w:tblCellSpacing w:w="15" w:type="dxa"/>
        </w:trPr>
        <w:tc>
          <w:tcPr>
            <w:tcW w:w="0" w:type="auto"/>
            <w:vAlign w:val="center"/>
            <w:hideMark/>
          </w:tcPr>
          <w:p w14:paraId="70D91604"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532E80BA" w14:textId="77777777" w:rsidR="00000000" w:rsidRDefault="00EB4933">
            <w:pPr>
              <w:pStyle w:val="NormalWeb"/>
              <w:spacing w:before="0" w:beforeAutospacing="0" w:after="0" w:afterAutospacing="0"/>
              <w:rPr>
                <w:sz w:val="20"/>
                <w:szCs w:val="20"/>
              </w:rPr>
            </w:pPr>
            <w:r>
              <w:rPr>
                <w:sz w:val="20"/>
                <w:szCs w:val="20"/>
              </w:rPr>
              <w:t xml:space="preserve">(d) </w:t>
            </w:r>
          </w:p>
        </w:tc>
        <w:tc>
          <w:tcPr>
            <w:tcW w:w="0" w:type="auto"/>
            <w:hideMark/>
          </w:tcPr>
          <w:p w14:paraId="3A0D415A" w14:textId="77777777" w:rsidR="00000000" w:rsidRDefault="00EB4933">
            <w:pPr>
              <w:rPr>
                <w:rFonts w:eastAsia="Times New Roman"/>
                <w:sz w:val="20"/>
                <w:szCs w:val="20"/>
              </w:rPr>
            </w:pPr>
            <w:r>
              <w:rPr>
                <w:rFonts w:eastAsia="Times New Roman"/>
                <w:sz w:val="20"/>
                <w:szCs w:val="20"/>
              </w:rPr>
              <w:t xml:space="preserve">all other voting rights entitled to the shareholders of Chutian as stipulated in the articles of association of Chutian, as amended from time to time. </w:t>
            </w:r>
          </w:p>
        </w:tc>
      </w:tr>
    </w:tbl>
    <w:p w14:paraId="3917FDBA"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F729989" w14:textId="77777777">
        <w:trPr>
          <w:divId w:val="98525094"/>
          <w:trHeight w:val="225"/>
          <w:tblCellSpacing w:w="15" w:type="dxa"/>
        </w:trPr>
        <w:tc>
          <w:tcPr>
            <w:tcW w:w="0" w:type="auto"/>
            <w:vAlign w:val="center"/>
            <w:hideMark/>
          </w:tcPr>
          <w:p w14:paraId="686D9824" w14:textId="77777777" w:rsidR="00000000" w:rsidRDefault="00EB4933">
            <w:pPr>
              <w:rPr>
                <w:rFonts w:eastAsia="Times New Roman"/>
                <w:sz w:val="20"/>
                <w:szCs w:val="20"/>
              </w:rPr>
            </w:pPr>
            <w:r>
              <w:rPr>
                <w:rFonts w:eastAsia="Times New Roman"/>
                <w:sz w:val="20"/>
                <w:szCs w:val="20"/>
              </w:rPr>
              <w:t> </w:t>
            </w:r>
          </w:p>
        </w:tc>
      </w:tr>
      <w:tr w:rsidR="00000000" w14:paraId="0BE783E0" w14:textId="77777777">
        <w:trPr>
          <w:divId w:val="98525094"/>
          <w:trHeight w:val="225"/>
          <w:tblCellSpacing w:w="15" w:type="dxa"/>
        </w:trPr>
        <w:tc>
          <w:tcPr>
            <w:tcW w:w="0" w:type="auto"/>
            <w:tcBorders>
              <w:bottom w:val="single" w:sz="6" w:space="0" w:color="000000"/>
            </w:tcBorders>
            <w:vAlign w:val="center"/>
            <w:hideMark/>
          </w:tcPr>
          <w:p w14:paraId="7A78EB4B" w14:textId="77777777" w:rsidR="00000000" w:rsidRDefault="00EB4933">
            <w:pPr>
              <w:jc w:val="center"/>
              <w:rPr>
                <w:rFonts w:eastAsia="Times New Roman"/>
                <w:sz w:val="20"/>
                <w:szCs w:val="20"/>
              </w:rPr>
            </w:pPr>
            <w:r>
              <w:rPr>
                <w:rFonts w:eastAsia="Times New Roman"/>
                <w:sz w:val="20"/>
                <w:szCs w:val="20"/>
              </w:rPr>
              <w:t>40</w:t>
            </w:r>
          </w:p>
        </w:tc>
      </w:tr>
      <w:tr w:rsidR="00000000" w14:paraId="5BC77DE6" w14:textId="77777777">
        <w:trPr>
          <w:divId w:val="98525094"/>
          <w:trHeight w:val="225"/>
          <w:tblCellSpacing w:w="15" w:type="dxa"/>
        </w:trPr>
        <w:tc>
          <w:tcPr>
            <w:tcW w:w="0" w:type="auto"/>
            <w:vAlign w:val="center"/>
            <w:hideMark/>
          </w:tcPr>
          <w:p w14:paraId="4BBAE3F1" w14:textId="77777777" w:rsidR="00000000" w:rsidRDefault="00EB4933">
            <w:pPr>
              <w:rPr>
                <w:rFonts w:eastAsia="Times New Roman"/>
                <w:sz w:val="20"/>
                <w:szCs w:val="20"/>
              </w:rPr>
            </w:pPr>
          </w:p>
        </w:tc>
      </w:tr>
      <w:tr w:rsidR="00000000" w14:paraId="1D75ACC2" w14:textId="77777777">
        <w:trPr>
          <w:divId w:val="98525094"/>
          <w:trHeight w:val="225"/>
          <w:tblCellSpacing w:w="15" w:type="dxa"/>
        </w:trPr>
        <w:tc>
          <w:tcPr>
            <w:tcW w:w="0" w:type="auto"/>
            <w:vAlign w:val="center"/>
            <w:hideMark/>
          </w:tcPr>
          <w:p w14:paraId="0F35C93C" w14:textId="77777777" w:rsidR="00000000" w:rsidRDefault="00EB4933">
            <w:pPr>
              <w:rPr>
                <w:rFonts w:eastAsia="Times New Roman"/>
                <w:sz w:val="20"/>
                <w:szCs w:val="20"/>
              </w:rPr>
            </w:pPr>
            <w:hyperlink r:id="rId100" w:anchor="toc" w:history="1">
              <w:r>
                <w:rPr>
                  <w:rStyle w:val="Hyperlink"/>
                  <w:rFonts w:eastAsia="Times New Roman"/>
                  <w:i/>
                  <w:iCs/>
                  <w:sz w:val="20"/>
                  <w:szCs w:val="20"/>
                </w:rPr>
                <w:t>Table of Contents</w:t>
              </w:r>
            </w:hyperlink>
          </w:p>
        </w:tc>
      </w:tr>
    </w:tbl>
    <w:p w14:paraId="46715D87"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5409EAB1" w14:textId="77777777">
        <w:trPr>
          <w:divId w:val="98525094"/>
          <w:trHeight w:val="225"/>
          <w:tblCellSpacing w:w="15" w:type="dxa"/>
        </w:trPr>
        <w:tc>
          <w:tcPr>
            <w:tcW w:w="200" w:type="pct"/>
            <w:vAlign w:val="center"/>
            <w:hideMark/>
          </w:tcPr>
          <w:p w14:paraId="061DCFB9"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40B6B137"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3BB96FFC" w14:textId="77777777" w:rsidR="00000000" w:rsidRDefault="00EB4933">
            <w:pPr>
              <w:jc w:val="both"/>
              <w:rPr>
                <w:rFonts w:eastAsia="Times New Roman"/>
                <w:sz w:val="20"/>
                <w:szCs w:val="20"/>
              </w:rPr>
            </w:pPr>
            <w:r>
              <w:rPr>
                <w:rFonts w:eastAsia="Times New Roman"/>
                <w:sz w:val="20"/>
                <w:szCs w:val="20"/>
                <w:u w:val="single"/>
              </w:rPr>
              <w:t>Share Pledge Agreement</w:t>
            </w:r>
            <w:r>
              <w:rPr>
                <w:rFonts w:eastAsia="Times New Roman"/>
                <w:sz w:val="20"/>
                <w:szCs w:val="20"/>
              </w:rPr>
              <w:t>. Under the Share Pledge Agreement, the Shareholders holding 80% Equity Interests of Chutian pledged all of their equity interests in Chutian to Chutian Holding to guarantee the performance of Chutian’s obligations under the Exclusive</w:t>
            </w:r>
            <w:r>
              <w:rPr>
                <w:rFonts w:eastAsia="Times New Roman"/>
                <w:sz w:val="20"/>
                <w:szCs w:val="20"/>
              </w:rPr>
              <w:t xml:space="preserve"> Consigned Management Agreement, Shareholders Voting Proxy Agreement and Exclusive Purchase Option Agreement (the “Main Agreements”). The equity pledge under the agreement constitutes a continuous guarantee and remains effective before fulfillment of the o</w:t>
            </w:r>
            <w:r>
              <w:rPr>
                <w:rFonts w:eastAsia="Times New Roman"/>
                <w:sz w:val="20"/>
                <w:szCs w:val="20"/>
              </w:rPr>
              <w:t>bligations under the Main Agreements or full repayment of the guaranteed liability.</w:t>
            </w:r>
          </w:p>
        </w:tc>
      </w:tr>
    </w:tbl>
    <w:p w14:paraId="1B7D617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410F1EA"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ADSs were listed on the New York Stock Exchange on November 23, 2010 and transitioned to the NYSE American on December 28, 2017. Our current ratio of our ADS to or</w:t>
      </w:r>
      <w:r>
        <w:rPr>
          <w:sz w:val="20"/>
          <w:szCs w:val="20"/>
        </w:rPr>
        <w:t>dinary shares is 1:48. We were traded under the symbol “XNY” from November 23, 2010 to March 4, 2018, and on March 5, 2018, we began trading under the symbol “DXF.”</w:t>
      </w:r>
    </w:p>
    <w:p w14:paraId="091D762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A49747A"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The following diagram illustrates our current corporate structure: </w:t>
      </w:r>
    </w:p>
    <w:p w14:paraId="7F0657C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tbl>
      <w:tblPr>
        <w:tblW w:w="4250" w:type="pct"/>
        <w:tblCellSpacing w:w="15" w:type="dxa"/>
        <w:tblCellMar>
          <w:left w:w="0" w:type="dxa"/>
          <w:right w:w="0" w:type="dxa"/>
        </w:tblCellMar>
        <w:tblLook w:val="04A0" w:firstRow="1" w:lastRow="0" w:firstColumn="1" w:lastColumn="0" w:noHBand="0" w:noVBand="1"/>
      </w:tblPr>
      <w:tblGrid>
        <w:gridCol w:w="2378"/>
        <w:gridCol w:w="1585"/>
        <w:gridCol w:w="30"/>
        <w:gridCol w:w="1585"/>
        <w:gridCol w:w="2378"/>
      </w:tblGrid>
      <w:tr w:rsidR="00000000" w14:paraId="4E6E4DC9" w14:textId="77777777">
        <w:trPr>
          <w:divId w:val="98525094"/>
          <w:trHeight w:val="225"/>
          <w:tblCellSpacing w:w="15" w:type="dxa"/>
        </w:trPr>
        <w:tc>
          <w:tcPr>
            <w:tcW w:w="0" w:type="auto"/>
            <w:vAlign w:val="center"/>
            <w:hideMark/>
          </w:tcPr>
          <w:p w14:paraId="3161E62D" w14:textId="77777777" w:rsidR="00000000" w:rsidRDefault="00EB4933">
            <w:pPr>
              <w:pStyle w:val="NormalWeb"/>
              <w:spacing w:before="0" w:beforeAutospacing="0" w:after="0" w:afterAutospacing="0"/>
              <w:ind w:firstLine="675"/>
              <w:jc w:val="both"/>
              <w:rPr>
                <w:sz w:val="20"/>
                <w:szCs w:val="20"/>
              </w:rPr>
            </w:pPr>
            <w:r>
              <w:rPr>
                <w:sz w:val="20"/>
                <w:szCs w:val="20"/>
              </w:rPr>
              <w:t>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3C81C73" w14:textId="77777777" w:rsidR="00000000" w:rsidRDefault="00EB4933">
            <w:pPr>
              <w:pStyle w:val="NormalWeb"/>
              <w:spacing w:before="0" w:beforeAutospacing="0" w:after="0" w:afterAutospacing="0"/>
              <w:ind w:firstLine="675"/>
              <w:jc w:val="center"/>
              <w:rPr>
                <w:sz w:val="20"/>
                <w:szCs w:val="20"/>
              </w:rPr>
            </w:pPr>
            <w:r>
              <w:rPr>
                <w:sz w:val="20"/>
                <w:szCs w:val="20"/>
              </w:rPr>
              <w:t xml:space="preserve">DUNXIN FINANCIAL </w:t>
            </w:r>
          </w:p>
          <w:p w14:paraId="7EF821EB" w14:textId="77777777" w:rsidR="00000000" w:rsidRDefault="00EB4933">
            <w:pPr>
              <w:pStyle w:val="NormalWeb"/>
              <w:spacing w:before="0" w:beforeAutospacing="0" w:after="0" w:afterAutospacing="0"/>
              <w:ind w:firstLine="675"/>
              <w:jc w:val="center"/>
              <w:rPr>
                <w:sz w:val="20"/>
                <w:szCs w:val="20"/>
              </w:rPr>
            </w:pPr>
            <w:r>
              <w:rPr>
                <w:sz w:val="20"/>
                <w:szCs w:val="20"/>
              </w:rPr>
              <w:t xml:space="preserve">HOLDINGS LIMITED </w:t>
            </w:r>
          </w:p>
          <w:p w14:paraId="103A32C7" w14:textId="77777777" w:rsidR="00000000" w:rsidRDefault="00EB4933">
            <w:pPr>
              <w:pStyle w:val="NormalWeb"/>
              <w:spacing w:before="0" w:beforeAutospacing="0" w:after="0" w:afterAutospacing="0"/>
              <w:ind w:firstLine="675"/>
              <w:jc w:val="center"/>
              <w:rPr>
                <w:sz w:val="20"/>
                <w:szCs w:val="20"/>
              </w:rPr>
            </w:pPr>
            <w:r>
              <w:rPr>
                <w:sz w:val="20"/>
                <w:szCs w:val="20"/>
              </w:rPr>
              <w:t>(CAYMAN ISLANDS)</w:t>
            </w:r>
          </w:p>
        </w:tc>
        <w:tc>
          <w:tcPr>
            <w:tcW w:w="0" w:type="auto"/>
            <w:vAlign w:val="center"/>
            <w:hideMark/>
          </w:tcPr>
          <w:p w14:paraId="23BAC041" w14:textId="77777777" w:rsidR="00000000" w:rsidRDefault="00EB4933">
            <w:pPr>
              <w:pStyle w:val="NormalWeb"/>
              <w:spacing w:before="0" w:beforeAutospacing="0" w:after="0" w:afterAutospacing="0"/>
              <w:ind w:firstLine="675"/>
              <w:jc w:val="center"/>
              <w:rPr>
                <w:sz w:val="20"/>
                <w:szCs w:val="20"/>
              </w:rPr>
            </w:pPr>
            <w:r>
              <w:rPr>
                <w:sz w:val="20"/>
                <w:szCs w:val="20"/>
              </w:rPr>
              <w:t> </w:t>
            </w:r>
          </w:p>
        </w:tc>
      </w:tr>
      <w:tr w:rsidR="00000000" w14:paraId="6B0C649D" w14:textId="77777777">
        <w:trPr>
          <w:divId w:val="98525094"/>
          <w:trHeight w:val="225"/>
          <w:tblCellSpacing w:w="15" w:type="dxa"/>
        </w:trPr>
        <w:tc>
          <w:tcPr>
            <w:tcW w:w="1500" w:type="pct"/>
            <w:vAlign w:val="center"/>
            <w:hideMark/>
          </w:tcPr>
          <w:p w14:paraId="78AAFF7E" w14:textId="77777777" w:rsidR="00000000" w:rsidRDefault="00EB4933">
            <w:pPr>
              <w:pStyle w:val="NormalWeb"/>
              <w:spacing w:before="0" w:beforeAutospacing="0" w:after="0" w:afterAutospacing="0"/>
              <w:ind w:firstLine="675"/>
              <w:jc w:val="center"/>
              <w:rPr>
                <w:sz w:val="20"/>
                <w:szCs w:val="20"/>
              </w:rPr>
            </w:pPr>
            <w:r>
              <w:rPr>
                <w:sz w:val="20"/>
                <w:szCs w:val="20"/>
              </w:rPr>
              <w:t> </w:t>
            </w:r>
          </w:p>
        </w:tc>
        <w:tc>
          <w:tcPr>
            <w:tcW w:w="1000" w:type="pct"/>
            <w:tcBorders>
              <w:right w:val="single" w:sz="6" w:space="0" w:color="000000"/>
            </w:tcBorders>
            <w:vAlign w:val="center"/>
            <w:hideMark/>
          </w:tcPr>
          <w:p w14:paraId="53187F0E" w14:textId="77777777" w:rsidR="00000000" w:rsidRDefault="00EB4933">
            <w:pPr>
              <w:pStyle w:val="NormalWeb"/>
              <w:spacing w:before="0" w:beforeAutospacing="0" w:after="0" w:afterAutospacing="0"/>
              <w:ind w:firstLine="675"/>
              <w:jc w:val="center"/>
              <w:rPr>
                <w:sz w:val="20"/>
                <w:szCs w:val="20"/>
              </w:rPr>
            </w:pPr>
            <w:r>
              <w:rPr>
                <w:sz w:val="20"/>
                <w:szCs w:val="20"/>
              </w:rPr>
              <w:t> </w:t>
            </w:r>
          </w:p>
        </w:tc>
        <w:tc>
          <w:tcPr>
            <w:tcW w:w="1000" w:type="pct"/>
            <w:gridSpan w:val="2"/>
            <w:vAlign w:val="center"/>
            <w:hideMark/>
          </w:tcPr>
          <w:p w14:paraId="6DCF26B5" w14:textId="77777777" w:rsidR="00000000" w:rsidRDefault="00EB4933">
            <w:pPr>
              <w:pStyle w:val="NormalWeb"/>
              <w:spacing w:before="0" w:beforeAutospacing="0" w:after="0" w:afterAutospacing="0"/>
              <w:ind w:firstLine="675"/>
              <w:jc w:val="center"/>
              <w:rPr>
                <w:sz w:val="20"/>
                <w:szCs w:val="20"/>
              </w:rPr>
            </w:pPr>
            <w:r>
              <w:rPr>
                <w:sz w:val="20"/>
                <w:szCs w:val="20"/>
              </w:rPr>
              <w:t>100%</w:t>
            </w:r>
          </w:p>
        </w:tc>
        <w:tc>
          <w:tcPr>
            <w:tcW w:w="1500" w:type="pct"/>
            <w:vAlign w:val="center"/>
            <w:hideMark/>
          </w:tcPr>
          <w:p w14:paraId="3F0CD9CD" w14:textId="77777777" w:rsidR="00000000" w:rsidRDefault="00EB4933">
            <w:pPr>
              <w:pStyle w:val="NormalWeb"/>
              <w:spacing w:before="0" w:beforeAutospacing="0" w:after="0" w:afterAutospacing="0"/>
              <w:ind w:firstLine="675"/>
              <w:jc w:val="center"/>
              <w:rPr>
                <w:sz w:val="20"/>
                <w:szCs w:val="20"/>
              </w:rPr>
            </w:pPr>
            <w:r>
              <w:rPr>
                <w:sz w:val="20"/>
                <w:szCs w:val="20"/>
              </w:rPr>
              <w:t> </w:t>
            </w:r>
          </w:p>
        </w:tc>
      </w:tr>
      <w:tr w:rsidR="00000000" w14:paraId="744D91D7" w14:textId="77777777">
        <w:trPr>
          <w:divId w:val="98525094"/>
          <w:trHeight w:val="225"/>
          <w:tblCellSpacing w:w="15" w:type="dxa"/>
        </w:trPr>
        <w:tc>
          <w:tcPr>
            <w:tcW w:w="0" w:type="auto"/>
            <w:vAlign w:val="center"/>
            <w:hideMark/>
          </w:tcPr>
          <w:p w14:paraId="557CBE64" w14:textId="77777777" w:rsidR="00000000" w:rsidRDefault="00EB4933">
            <w:pPr>
              <w:pStyle w:val="NormalWeb"/>
              <w:spacing w:before="0" w:beforeAutospacing="0" w:after="0" w:afterAutospacing="0"/>
              <w:ind w:firstLine="675"/>
              <w:jc w:val="center"/>
              <w:rPr>
                <w:sz w:val="20"/>
                <w:szCs w:val="20"/>
              </w:rPr>
            </w:pPr>
            <w:r>
              <w:rPr>
                <w:sz w:val="20"/>
                <w:szCs w:val="20"/>
              </w:rPr>
              <w:t>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DA0D6C6" w14:textId="77777777" w:rsidR="00000000" w:rsidRDefault="00EB4933">
            <w:pPr>
              <w:pStyle w:val="NormalWeb"/>
              <w:spacing w:before="0" w:beforeAutospacing="0" w:after="0" w:afterAutospacing="0"/>
              <w:ind w:firstLine="675"/>
              <w:jc w:val="center"/>
              <w:rPr>
                <w:sz w:val="20"/>
                <w:szCs w:val="20"/>
              </w:rPr>
            </w:pPr>
            <w:r>
              <w:rPr>
                <w:sz w:val="20"/>
                <w:szCs w:val="20"/>
              </w:rPr>
              <w:t>TRUE SILVER LIMITED</w:t>
            </w:r>
          </w:p>
          <w:p w14:paraId="0E5C389C" w14:textId="77777777" w:rsidR="00000000" w:rsidRDefault="00EB4933">
            <w:pPr>
              <w:pStyle w:val="NormalWeb"/>
              <w:spacing w:before="0" w:beforeAutospacing="0" w:after="0" w:afterAutospacing="0"/>
              <w:ind w:firstLine="675"/>
              <w:jc w:val="center"/>
              <w:rPr>
                <w:sz w:val="20"/>
                <w:szCs w:val="20"/>
              </w:rPr>
            </w:pPr>
            <w:r>
              <w:rPr>
                <w:sz w:val="20"/>
                <w:szCs w:val="20"/>
              </w:rPr>
              <w:t>(BRITISH VIRGIN ISLANDS)</w:t>
            </w:r>
          </w:p>
        </w:tc>
        <w:tc>
          <w:tcPr>
            <w:tcW w:w="0" w:type="auto"/>
            <w:vAlign w:val="center"/>
            <w:hideMark/>
          </w:tcPr>
          <w:p w14:paraId="02F46183" w14:textId="77777777" w:rsidR="00000000" w:rsidRDefault="00EB4933">
            <w:pPr>
              <w:pStyle w:val="NormalWeb"/>
              <w:spacing w:before="0" w:beforeAutospacing="0" w:after="0" w:afterAutospacing="0"/>
              <w:ind w:firstLine="675"/>
              <w:jc w:val="center"/>
              <w:rPr>
                <w:sz w:val="20"/>
                <w:szCs w:val="20"/>
              </w:rPr>
            </w:pPr>
            <w:r>
              <w:rPr>
                <w:sz w:val="20"/>
                <w:szCs w:val="20"/>
              </w:rPr>
              <w:t> </w:t>
            </w:r>
          </w:p>
        </w:tc>
      </w:tr>
      <w:tr w:rsidR="00000000" w14:paraId="34501046" w14:textId="77777777">
        <w:trPr>
          <w:divId w:val="98525094"/>
          <w:trHeight w:val="225"/>
          <w:tblCellSpacing w:w="15" w:type="dxa"/>
        </w:trPr>
        <w:tc>
          <w:tcPr>
            <w:tcW w:w="0" w:type="auto"/>
            <w:vAlign w:val="center"/>
            <w:hideMark/>
          </w:tcPr>
          <w:p w14:paraId="5EE0C83D" w14:textId="77777777" w:rsidR="00000000" w:rsidRDefault="00EB4933">
            <w:pPr>
              <w:pStyle w:val="NormalWeb"/>
              <w:spacing w:before="0" w:beforeAutospacing="0" w:after="0" w:afterAutospacing="0"/>
              <w:ind w:firstLine="675"/>
              <w:jc w:val="center"/>
              <w:rPr>
                <w:sz w:val="20"/>
                <w:szCs w:val="20"/>
              </w:rPr>
            </w:pPr>
            <w:r>
              <w:rPr>
                <w:sz w:val="20"/>
                <w:szCs w:val="20"/>
              </w:rPr>
              <w:t> </w:t>
            </w:r>
          </w:p>
        </w:tc>
        <w:tc>
          <w:tcPr>
            <w:tcW w:w="0" w:type="auto"/>
            <w:tcBorders>
              <w:right w:val="single" w:sz="6" w:space="0" w:color="000000"/>
            </w:tcBorders>
            <w:vAlign w:val="center"/>
            <w:hideMark/>
          </w:tcPr>
          <w:p w14:paraId="706EA28D" w14:textId="77777777" w:rsidR="00000000" w:rsidRDefault="00EB4933">
            <w:pPr>
              <w:pStyle w:val="NormalWeb"/>
              <w:spacing w:before="0" w:beforeAutospacing="0" w:after="0" w:afterAutospacing="0"/>
              <w:ind w:firstLine="675"/>
              <w:jc w:val="center"/>
              <w:rPr>
                <w:sz w:val="20"/>
                <w:szCs w:val="20"/>
              </w:rPr>
            </w:pPr>
            <w:r>
              <w:rPr>
                <w:sz w:val="20"/>
                <w:szCs w:val="20"/>
              </w:rPr>
              <w:t> </w:t>
            </w:r>
          </w:p>
        </w:tc>
        <w:tc>
          <w:tcPr>
            <w:tcW w:w="0" w:type="auto"/>
            <w:gridSpan w:val="2"/>
            <w:vAlign w:val="center"/>
            <w:hideMark/>
          </w:tcPr>
          <w:p w14:paraId="5F5EE59F" w14:textId="77777777" w:rsidR="00000000" w:rsidRDefault="00EB4933">
            <w:pPr>
              <w:pStyle w:val="NormalWeb"/>
              <w:spacing w:before="0" w:beforeAutospacing="0" w:after="0" w:afterAutospacing="0"/>
              <w:ind w:firstLine="675"/>
              <w:jc w:val="center"/>
              <w:rPr>
                <w:sz w:val="20"/>
                <w:szCs w:val="20"/>
              </w:rPr>
            </w:pPr>
            <w:r>
              <w:rPr>
                <w:sz w:val="20"/>
                <w:szCs w:val="20"/>
              </w:rPr>
              <w:t>100%</w:t>
            </w:r>
          </w:p>
        </w:tc>
        <w:tc>
          <w:tcPr>
            <w:tcW w:w="0" w:type="auto"/>
            <w:vAlign w:val="center"/>
            <w:hideMark/>
          </w:tcPr>
          <w:p w14:paraId="569BDBE7" w14:textId="77777777" w:rsidR="00000000" w:rsidRDefault="00EB4933">
            <w:pPr>
              <w:pStyle w:val="NormalWeb"/>
              <w:spacing w:before="0" w:beforeAutospacing="0" w:after="0" w:afterAutospacing="0"/>
              <w:ind w:firstLine="675"/>
              <w:jc w:val="center"/>
              <w:rPr>
                <w:sz w:val="20"/>
                <w:szCs w:val="20"/>
              </w:rPr>
            </w:pPr>
            <w:r>
              <w:rPr>
                <w:sz w:val="20"/>
                <w:szCs w:val="20"/>
              </w:rPr>
              <w:t> </w:t>
            </w:r>
          </w:p>
        </w:tc>
      </w:tr>
      <w:tr w:rsidR="00000000" w14:paraId="7736A4CE" w14:textId="77777777">
        <w:trPr>
          <w:divId w:val="98525094"/>
          <w:trHeight w:val="225"/>
          <w:tblCellSpacing w:w="15" w:type="dxa"/>
        </w:trPr>
        <w:tc>
          <w:tcPr>
            <w:tcW w:w="0" w:type="auto"/>
            <w:vAlign w:val="center"/>
            <w:hideMark/>
          </w:tcPr>
          <w:p w14:paraId="7E8D21B8" w14:textId="77777777" w:rsidR="00000000" w:rsidRDefault="00EB4933">
            <w:pPr>
              <w:pStyle w:val="NormalWeb"/>
              <w:spacing w:before="0" w:beforeAutospacing="0" w:after="0" w:afterAutospacing="0"/>
              <w:ind w:firstLine="675"/>
              <w:jc w:val="center"/>
              <w:rPr>
                <w:sz w:val="20"/>
                <w:szCs w:val="20"/>
              </w:rPr>
            </w:pPr>
            <w:r>
              <w:rPr>
                <w:sz w:val="20"/>
                <w:szCs w:val="20"/>
              </w:rPr>
              <w:t>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7539D50" w14:textId="77777777" w:rsidR="00000000" w:rsidRDefault="00EB4933">
            <w:pPr>
              <w:pStyle w:val="NormalWeb"/>
              <w:spacing w:before="0" w:beforeAutospacing="0" w:after="0" w:afterAutospacing="0"/>
              <w:ind w:firstLine="675"/>
              <w:jc w:val="center"/>
              <w:rPr>
                <w:sz w:val="20"/>
                <w:szCs w:val="20"/>
              </w:rPr>
            </w:pPr>
            <w:r>
              <w:rPr>
                <w:sz w:val="20"/>
                <w:szCs w:val="20"/>
              </w:rPr>
              <w:t>CHUTIAN FINANCIAL HOLDINGS</w:t>
            </w:r>
          </w:p>
          <w:p w14:paraId="2DC6B724" w14:textId="77777777" w:rsidR="00000000" w:rsidRDefault="00EB4933">
            <w:pPr>
              <w:pStyle w:val="NormalWeb"/>
              <w:spacing w:before="0" w:beforeAutospacing="0" w:after="0" w:afterAutospacing="0"/>
              <w:ind w:firstLine="675"/>
              <w:jc w:val="center"/>
              <w:rPr>
                <w:sz w:val="20"/>
                <w:szCs w:val="20"/>
              </w:rPr>
            </w:pPr>
            <w:r>
              <w:rPr>
                <w:sz w:val="20"/>
                <w:szCs w:val="20"/>
              </w:rPr>
              <w:t>(HONG KONG) LIMITED</w:t>
            </w:r>
          </w:p>
          <w:p w14:paraId="3B6CB8F2" w14:textId="77777777" w:rsidR="00000000" w:rsidRDefault="00EB4933">
            <w:pPr>
              <w:pStyle w:val="NormalWeb"/>
              <w:spacing w:before="0" w:beforeAutospacing="0" w:after="0" w:afterAutospacing="0"/>
              <w:ind w:firstLine="675"/>
              <w:jc w:val="center"/>
              <w:rPr>
                <w:sz w:val="20"/>
                <w:szCs w:val="20"/>
              </w:rPr>
            </w:pPr>
            <w:r>
              <w:rPr>
                <w:sz w:val="20"/>
                <w:szCs w:val="20"/>
              </w:rPr>
              <w:t>(HONG KONG)</w:t>
            </w:r>
          </w:p>
        </w:tc>
        <w:tc>
          <w:tcPr>
            <w:tcW w:w="0" w:type="auto"/>
            <w:vAlign w:val="center"/>
            <w:hideMark/>
          </w:tcPr>
          <w:p w14:paraId="54FFDFB9" w14:textId="77777777" w:rsidR="00000000" w:rsidRDefault="00EB4933">
            <w:pPr>
              <w:pStyle w:val="NormalWeb"/>
              <w:spacing w:before="0" w:beforeAutospacing="0" w:after="0" w:afterAutospacing="0"/>
              <w:ind w:firstLine="675"/>
              <w:jc w:val="center"/>
              <w:rPr>
                <w:sz w:val="20"/>
                <w:szCs w:val="20"/>
              </w:rPr>
            </w:pPr>
            <w:r>
              <w:rPr>
                <w:sz w:val="20"/>
                <w:szCs w:val="20"/>
              </w:rPr>
              <w:t> </w:t>
            </w:r>
          </w:p>
        </w:tc>
      </w:tr>
      <w:tr w:rsidR="00000000" w14:paraId="133B7AE3" w14:textId="77777777">
        <w:trPr>
          <w:divId w:val="98525094"/>
          <w:trHeight w:val="225"/>
          <w:tblCellSpacing w:w="15" w:type="dxa"/>
        </w:trPr>
        <w:tc>
          <w:tcPr>
            <w:tcW w:w="0" w:type="auto"/>
            <w:vAlign w:val="center"/>
            <w:hideMark/>
          </w:tcPr>
          <w:p w14:paraId="065D628F" w14:textId="77777777" w:rsidR="00000000" w:rsidRDefault="00EB4933">
            <w:pPr>
              <w:pStyle w:val="NormalWeb"/>
              <w:spacing w:before="0" w:beforeAutospacing="0" w:after="0" w:afterAutospacing="0"/>
              <w:ind w:firstLine="675"/>
              <w:jc w:val="center"/>
              <w:rPr>
                <w:sz w:val="20"/>
                <w:szCs w:val="20"/>
              </w:rPr>
            </w:pPr>
            <w:r>
              <w:rPr>
                <w:sz w:val="20"/>
                <w:szCs w:val="20"/>
              </w:rPr>
              <w:t> </w:t>
            </w:r>
          </w:p>
        </w:tc>
        <w:tc>
          <w:tcPr>
            <w:tcW w:w="0" w:type="auto"/>
            <w:gridSpan w:val="2"/>
            <w:tcBorders>
              <w:right w:val="single" w:sz="6" w:space="0" w:color="000000"/>
            </w:tcBorders>
            <w:vAlign w:val="center"/>
            <w:hideMark/>
          </w:tcPr>
          <w:p w14:paraId="479AB4D5" w14:textId="77777777" w:rsidR="00000000" w:rsidRDefault="00EB4933">
            <w:pPr>
              <w:pStyle w:val="NormalWeb"/>
              <w:spacing w:before="0" w:beforeAutospacing="0" w:after="0" w:afterAutospacing="0"/>
              <w:ind w:firstLine="675"/>
              <w:jc w:val="center"/>
              <w:rPr>
                <w:sz w:val="20"/>
                <w:szCs w:val="20"/>
              </w:rPr>
            </w:pPr>
            <w:r>
              <w:rPr>
                <w:sz w:val="20"/>
                <w:szCs w:val="20"/>
              </w:rPr>
              <w:t> </w:t>
            </w:r>
          </w:p>
        </w:tc>
        <w:tc>
          <w:tcPr>
            <w:tcW w:w="0" w:type="auto"/>
            <w:vAlign w:val="center"/>
            <w:hideMark/>
          </w:tcPr>
          <w:p w14:paraId="151821A7" w14:textId="77777777" w:rsidR="00000000" w:rsidRDefault="00EB4933">
            <w:pPr>
              <w:pStyle w:val="NormalWeb"/>
              <w:spacing w:before="0" w:beforeAutospacing="0" w:after="0" w:afterAutospacing="0"/>
              <w:ind w:firstLine="675"/>
              <w:jc w:val="center"/>
              <w:rPr>
                <w:sz w:val="20"/>
                <w:szCs w:val="20"/>
              </w:rPr>
            </w:pPr>
            <w:r>
              <w:rPr>
                <w:sz w:val="20"/>
                <w:szCs w:val="20"/>
              </w:rPr>
              <w:t>100%</w:t>
            </w:r>
          </w:p>
        </w:tc>
        <w:tc>
          <w:tcPr>
            <w:tcW w:w="0" w:type="auto"/>
            <w:vAlign w:val="center"/>
            <w:hideMark/>
          </w:tcPr>
          <w:p w14:paraId="59CFC814" w14:textId="77777777" w:rsidR="00000000" w:rsidRDefault="00EB4933">
            <w:pPr>
              <w:pStyle w:val="NormalWeb"/>
              <w:spacing w:before="0" w:beforeAutospacing="0" w:after="0" w:afterAutospacing="0"/>
              <w:ind w:firstLine="675"/>
              <w:jc w:val="center"/>
              <w:rPr>
                <w:sz w:val="20"/>
                <w:szCs w:val="20"/>
              </w:rPr>
            </w:pPr>
            <w:r>
              <w:rPr>
                <w:sz w:val="20"/>
                <w:szCs w:val="20"/>
              </w:rPr>
              <w:t> </w:t>
            </w:r>
          </w:p>
        </w:tc>
      </w:tr>
      <w:tr w:rsidR="00000000" w14:paraId="5D04516B" w14:textId="77777777">
        <w:trPr>
          <w:divId w:val="98525094"/>
          <w:trHeight w:val="225"/>
          <w:tblCellSpacing w:w="15" w:type="dxa"/>
        </w:trPr>
        <w:tc>
          <w:tcPr>
            <w:tcW w:w="0" w:type="auto"/>
            <w:tcBorders>
              <w:bottom w:val="single" w:sz="24" w:space="0" w:color="000000"/>
            </w:tcBorders>
            <w:shd w:val="clear" w:color="auto" w:fill="FFFFFF"/>
            <w:vAlign w:val="center"/>
            <w:hideMark/>
          </w:tcPr>
          <w:p w14:paraId="6BE62536" w14:textId="77777777" w:rsidR="00000000" w:rsidRDefault="00EB4933">
            <w:pPr>
              <w:pStyle w:val="NormalWeb"/>
              <w:spacing w:before="0" w:beforeAutospacing="0" w:after="0" w:afterAutospacing="0"/>
              <w:ind w:firstLine="675"/>
              <w:jc w:val="center"/>
              <w:rPr>
                <w:sz w:val="20"/>
                <w:szCs w:val="20"/>
              </w:rPr>
            </w:pPr>
            <w:r>
              <w:rPr>
                <w:sz w:val="20"/>
                <w:szCs w:val="20"/>
              </w:rPr>
              <w:t> </w:t>
            </w:r>
          </w:p>
        </w:tc>
        <w:tc>
          <w:tcPr>
            <w:tcW w:w="0" w:type="auto"/>
            <w:gridSpan w:val="2"/>
            <w:tcBorders>
              <w:bottom w:val="single" w:sz="24" w:space="0" w:color="000000"/>
              <w:right w:val="single" w:sz="6" w:space="0" w:color="000000"/>
            </w:tcBorders>
            <w:shd w:val="clear" w:color="auto" w:fill="FFFFFF"/>
            <w:vAlign w:val="center"/>
            <w:hideMark/>
          </w:tcPr>
          <w:p w14:paraId="772E8525" w14:textId="77777777" w:rsidR="00000000" w:rsidRDefault="00EB4933">
            <w:pPr>
              <w:pStyle w:val="NormalWeb"/>
              <w:spacing w:before="0" w:beforeAutospacing="0" w:after="0" w:afterAutospacing="0"/>
              <w:ind w:firstLine="675"/>
              <w:jc w:val="center"/>
              <w:rPr>
                <w:sz w:val="20"/>
                <w:szCs w:val="20"/>
              </w:rPr>
            </w:pPr>
            <w:r>
              <w:rPr>
                <w:sz w:val="20"/>
                <w:szCs w:val="20"/>
              </w:rPr>
              <w:t> </w:t>
            </w:r>
          </w:p>
        </w:tc>
        <w:tc>
          <w:tcPr>
            <w:tcW w:w="0" w:type="auto"/>
            <w:tcBorders>
              <w:bottom w:val="single" w:sz="24" w:space="0" w:color="000000"/>
            </w:tcBorders>
            <w:shd w:val="clear" w:color="auto" w:fill="FFFFFF"/>
            <w:vAlign w:val="center"/>
            <w:hideMark/>
          </w:tcPr>
          <w:p w14:paraId="4EB6D872" w14:textId="77777777" w:rsidR="00000000" w:rsidRDefault="00EB4933">
            <w:pPr>
              <w:pStyle w:val="NormalWeb"/>
              <w:spacing w:before="0" w:beforeAutospacing="0" w:after="0" w:afterAutospacing="0"/>
              <w:ind w:firstLine="675"/>
              <w:jc w:val="center"/>
              <w:rPr>
                <w:sz w:val="20"/>
                <w:szCs w:val="20"/>
              </w:rPr>
            </w:pPr>
            <w:r>
              <w:rPr>
                <w:sz w:val="20"/>
                <w:szCs w:val="20"/>
              </w:rPr>
              <w:t> </w:t>
            </w:r>
          </w:p>
        </w:tc>
        <w:tc>
          <w:tcPr>
            <w:tcW w:w="0" w:type="auto"/>
            <w:tcBorders>
              <w:bottom w:val="single" w:sz="24" w:space="0" w:color="000000"/>
            </w:tcBorders>
            <w:shd w:val="clear" w:color="auto" w:fill="FFFFFF"/>
            <w:hideMark/>
          </w:tcPr>
          <w:p w14:paraId="579A7EEE" w14:textId="77777777" w:rsidR="00000000" w:rsidRDefault="00EB4933">
            <w:pPr>
              <w:pStyle w:val="NormalWeb"/>
              <w:spacing w:before="0" w:beforeAutospacing="0" w:after="0" w:afterAutospacing="0"/>
              <w:ind w:firstLine="675"/>
              <w:rPr>
                <w:sz w:val="20"/>
                <w:szCs w:val="20"/>
              </w:rPr>
            </w:pPr>
            <w:r>
              <w:rPr>
                <w:sz w:val="20"/>
                <w:szCs w:val="20"/>
              </w:rPr>
              <w:t>Outside China</w:t>
            </w:r>
          </w:p>
        </w:tc>
      </w:tr>
      <w:tr w:rsidR="00000000" w14:paraId="0C2E1E68" w14:textId="77777777">
        <w:trPr>
          <w:divId w:val="98525094"/>
          <w:trHeight w:val="225"/>
          <w:tblCellSpacing w:w="15" w:type="dxa"/>
        </w:trPr>
        <w:tc>
          <w:tcPr>
            <w:tcW w:w="0" w:type="auto"/>
            <w:vAlign w:val="center"/>
            <w:hideMark/>
          </w:tcPr>
          <w:p w14:paraId="09B4515D" w14:textId="77777777" w:rsidR="00000000" w:rsidRDefault="00EB4933">
            <w:pPr>
              <w:pStyle w:val="NormalWeb"/>
              <w:spacing w:before="0" w:beforeAutospacing="0" w:after="0" w:afterAutospacing="0"/>
              <w:ind w:firstLine="675"/>
              <w:jc w:val="center"/>
              <w:rPr>
                <w:sz w:val="20"/>
                <w:szCs w:val="20"/>
              </w:rPr>
            </w:pPr>
            <w:r>
              <w:rPr>
                <w:sz w:val="20"/>
                <w:szCs w:val="20"/>
              </w:rPr>
              <w:t> </w:t>
            </w:r>
          </w:p>
        </w:tc>
        <w:tc>
          <w:tcPr>
            <w:tcW w:w="0" w:type="auto"/>
            <w:gridSpan w:val="2"/>
            <w:tcBorders>
              <w:right w:val="single" w:sz="6" w:space="0" w:color="000000"/>
            </w:tcBorders>
            <w:vAlign w:val="center"/>
            <w:hideMark/>
          </w:tcPr>
          <w:p w14:paraId="65A207F1" w14:textId="77777777" w:rsidR="00000000" w:rsidRDefault="00EB4933">
            <w:pPr>
              <w:pStyle w:val="NormalWeb"/>
              <w:spacing w:before="0" w:beforeAutospacing="0" w:after="0" w:afterAutospacing="0"/>
              <w:ind w:firstLine="675"/>
              <w:jc w:val="center"/>
              <w:rPr>
                <w:sz w:val="20"/>
                <w:szCs w:val="20"/>
              </w:rPr>
            </w:pPr>
            <w:r>
              <w:rPr>
                <w:sz w:val="20"/>
                <w:szCs w:val="20"/>
              </w:rPr>
              <w:t> </w:t>
            </w:r>
          </w:p>
        </w:tc>
        <w:tc>
          <w:tcPr>
            <w:tcW w:w="0" w:type="auto"/>
            <w:vAlign w:val="center"/>
            <w:hideMark/>
          </w:tcPr>
          <w:p w14:paraId="14179A5F" w14:textId="77777777" w:rsidR="00000000" w:rsidRDefault="00EB4933">
            <w:pPr>
              <w:pStyle w:val="NormalWeb"/>
              <w:spacing w:before="0" w:beforeAutospacing="0" w:after="0" w:afterAutospacing="0"/>
              <w:ind w:firstLine="675"/>
              <w:jc w:val="center"/>
              <w:rPr>
                <w:sz w:val="20"/>
                <w:szCs w:val="20"/>
              </w:rPr>
            </w:pPr>
            <w:r>
              <w:rPr>
                <w:sz w:val="20"/>
                <w:szCs w:val="20"/>
              </w:rPr>
              <w:t> </w:t>
            </w:r>
          </w:p>
        </w:tc>
        <w:tc>
          <w:tcPr>
            <w:tcW w:w="0" w:type="auto"/>
            <w:hideMark/>
          </w:tcPr>
          <w:p w14:paraId="6889DE9D" w14:textId="77777777" w:rsidR="00000000" w:rsidRDefault="00EB4933">
            <w:pPr>
              <w:pStyle w:val="NormalWeb"/>
              <w:spacing w:before="0" w:beforeAutospacing="0" w:after="0" w:afterAutospacing="0"/>
              <w:ind w:firstLine="675"/>
              <w:rPr>
                <w:sz w:val="20"/>
                <w:szCs w:val="20"/>
              </w:rPr>
            </w:pPr>
            <w:r>
              <w:rPr>
                <w:sz w:val="20"/>
                <w:szCs w:val="20"/>
              </w:rPr>
              <w:t>Inside China</w:t>
            </w:r>
          </w:p>
        </w:tc>
      </w:tr>
      <w:tr w:rsidR="00000000" w14:paraId="4BBB649F" w14:textId="77777777">
        <w:trPr>
          <w:divId w:val="98525094"/>
          <w:trHeight w:val="225"/>
          <w:tblCellSpacing w:w="15" w:type="dxa"/>
        </w:trPr>
        <w:tc>
          <w:tcPr>
            <w:tcW w:w="0" w:type="auto"/>
            <w:vAlign w:val="center"/>
            <w:hideMark/>
          </w:tcPr>
          <w:p w14:paraId="60512870" w14:textId="77777777" w:rsidR="00000000" w:rsidRDefault="00EB4933">
            <w:pPr>
              <w:pStyle w:val="NormalWeb"/>
              <w:spacing w:before="0" w:beforeAutospacing="0" w:after="0" w:afterAutospacing="0"/>
              <w:ind w:firstLine="675"/>
              <w:jc w:val="center"/>
              <w:rPr>
                <w:sz w:val="20"/>
                <w:szCs w:val="20"/>
              </w:rPr>
            </w:pPr>
            <w:r>
              <w:rPr>
                <w:sz w:val="20"/>
                <w:szCs w:val="20"/>
              </w:rPr>
              <w:t>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489346B" w14:textId="77777777" w:rsidR="00000000" w:rsidRDefault="00EB4933">
            <w:pPr>
              <w:pStyle w:val="NormalWeb"/>
              <w:spacing w:before="0" w:beforeAutospacing="0" w:after="0" w:afterAutospacing="0"/>
              <w:ind w:firstLine="675"/>
              <w:jc w:val="center"/>
              <w:rPr>
                <w:sz w:val="20"/>
                <w:szCs w:val="20"/>
              </w:rPr>
            </w:pPr>
            <w:r>
              <w:rPr>
                <w:sz w:val="20"/>
                <w:szCs w:val="20"/>
              </w:rPr>
              <w:t>WUHAN CHUTIAN INVESTMENT</w:t>
            </w:r>
          </w:p>
          <w:p w14:paraId="3EACBDA5" w14:textId="77777777" w:rsidR="00000000" w:rsidRDefault="00EB4933">
            <w:pPr>
              <w:pStyle w:val="NormalWeb"/>
              <w:spacing w:before="0" w:beforeAutospacing="0" w:after="0" w:afterAutospacing="0"/>
              <w:ind w:firstLine="675"/>
              <w:jc w:val="center"/>
              <w:rPr>
                <w:sz w:val="20"/>
                <w:szCs w:val="20"/>
              </w:rPr>
            </w:pPr>
            <w:r>
              <w:rPr>
                <w:sz w:val="20"/>
                <w:szCs w:val="20"/>
              </w:rPr>
              <w:t>HOLDINGS CO. LTD. (WFOE)</w:t>
            </w:r>
          </w:p>
          <w:p w14:paraId="03F43571" w14:textId="77777777" w:rsidR="00000000" w:rsidRDefault="00EB4933">
            <w:pPr>
              <w:pStyle w:val="NormalWeb"/>
              <w:spacing w:before="0" w:beforeAutospacing="0" w:after="0" w:afterAutospacing="0"/>
              <w:ind w:firstLine="675"/>
              <w:jc w:val="center"/>
              <w:rPr>
                <w:sz w:val="20"/>
                <w:szCs w:val="20"/>
              </w:rPr>
            </w:pPr>
            <w:r>
              <w:rPr>
                <w:sz w:val="20"/>
                <w:szCs w:val="20"/>
              </w:rPr>
              <w:t>(PRC)</w:t>
            </w:r>
          </w:p>
        </w:tc>
        <w:tc>
          <w:tcPr>
            <w:tcW w:w="0" w:type="auto"/>
            <w:vAlign w:val="center"/>
            <w:hideMark/>
          </w:tcPr>
          <w:p w14:paraId="4AB2E300" w14:textId="77777777" w:rsidR="00000000" w:rsidRDefault="00EB4933">
            <w:pPr>
              <w:pStyle w:val="NormalWeb"/>
              <w:spacing w:before="0" w:beforeAutospacing="0" w:after="0" w:afterAutospacing="0"/>
              <w:ind w:firstLine="675"/>
              <w:jc w:val="center"/>
              <w:rPr>
                <w:sz w:val="20"/>
                <w:szCs w:val="20"/>
              </w:rPr>
            </w:pPr>
            <w:r>
              <w:rPr>
                <w:sz w:val="20"/>
                <w:szCs w:val="20"/>
              </w:rPr>
              <w:t> </w:t>
            </w:r>
          </w:p>
        </w:tc>
      </w:tr>
      <w:tr w:rsidR="00000000" w14:paraId="2A01193E" w14:textId="77777777">
        <w:trPr>
          <w:divId w:val="98525094"/>
          <w:trHeight w:val="225"/>
          <w:tblCellSpacing w:w="15" w:type="dxa"/>
        </w:trPr>
        <w:tc>
          <w:tcPr>
            <w:tcW w:w="0" w:type="auto"/>
            <w:vAlign w:val="center"/>
            <w:hideMark/>
          </w:tcPr>
          <w:p w14:paraId="6F0FF7A2" w14:textId="77777777" w:rsidR="00000000" w:rsidRDefault="00EB4933">
            <w:pPr>
              <w:pStyle w:val="NormalWeb"/>
              <w:spacing w:before="0" w:beforeAutospacing="0" w:after="0" w:afterAutospacing="0"/>
              <w:ind w:firstLine="675"/>
              <w:jc w:val="center"/>
              <w:rPr>
                <w:sz w:val="20"/>
                <w:szCs w:val="20"/>
              </w:rPr>
            </w:pPr>
            <w:r>
              <w:rPr>
                <w:sz w:val="20"/>
                <w:szCs w:val="20"/>
              </w:rPr>
              <w:t> </w:t>
            </w:r>
          </w:p>
        </w:tc>
        <w:tc>
          <w:tcPr>
            <w:tcW w:w="0" w:type="auto"/>
            <w:gridSpan w:val="2"/>
            <w:tcBorders>
              <w:right w:val="single" w:sz="6" w:space="0" w:color="000000"/>
            </w:tcBorders>
            <w:vAlign w:val="center"/>
            <w:hideMark/>
          </w:tcPr>
          <w:p w14:paraId="529BF3D1" w14:textId="77777777" w:rsidR="00000000" w:rsidRDefault="00EB4933">
            <w:pPr>
              <w:pStyle w:val="NormalWeb"/>
              <w:spacing w:before="0" w:beforeAutospacing="0" w:after="0" w:afterAutospacing="0"/>
              <w:ind w:firstLine="675"/>
              <w:jc w:val="center"/>
              <w:rPr>
                <w:sz w:val="20"/>
                <w:szCs w:val="20"/>
              </w:rPr>
            </w:pPr>
            <w:r>
              <w:rPr>
                <w:sz w:val="20"/>
                <w:szCs w:val="20"/>
              </w:rPr>
              <w:t> </w:t>
            </w:r>
          </w:p>
        </w:tc>
        <w:tc>
          <w:tcPr>
            <w:tcW w:w="0" w:type="auto"/>
            <w:vAlign w:val="center"/>
            <w:hideMark/>
          </w:tcPr>
          <w:p w14:paraId="43E57D68" w14:textId="77777777" w:rsidR="00000000" w:rsidRDefault="00EB4933">
            <w:pPr>
              <w:pStyle w:val="NormalWeb"/>
              <w:spacing w:before="0" w:beforeAutospacing="0" w:after="0" w:afterAutospacing="0"/>
              <w:ind w:firstLine="675"/>
              <w:jc w:val="center"/>
              <w:rPr>
                <w:sz w:val="20"/>
                <w:szCs w:val="20"/>
              </w:rPr>
            </w:pPr>
            <w:r>
              <w:rPr>
                <w:sz w:val="20"/>
                <w:szCs w:val="20"/>
              </w:rPr>
              <w:t>80% VIE arrangement</w:t>
            </w:r>
          </w:p>
        </w:tc>
        <w:tc>
          <w:tcPr>
            <w:tcW w:w="0" w:type="auto"/>
            <w:vAlign w:val="center"/>
            <w:hideMark/>
          </w:tcPr>
          <w:p w14:paraId="5608C882" w14:textId="77777777" w:rsidR="00000000" w:rsidRDefault="00EB4933">
            <w:pPr>
              <w:pStyle w:val="NormalWeb"/>
              <w:spacing w:before="0" w:beforeAutospacing="0" w:after="0" w:afterAutospacing="0"/>
              <w:ind w:firstLine="675"/>
              <w:jc w:val="center"/>
              <w:rPr>
                <w:sz w:val="20"/>
                <w:szCs w:val="20"/>
              </w:rPr>
            </w:pPr>
            <w:r>
              <w:rPr>
                <w:sz w:val="20"/>
                <w:szCs w:val="20"/>
              </w:rPr>
              <w:t> </w:t>
            </w:r>
          </w:p>
        </w:tc>
      </w:tr>
      <w:tr w:rsidR="00000000" w14:paraId="5FD8C8FB" w14:textId="77777777">
        <w:trPr>
          <w:divId w:val="98525094"/>
          <w:trHeight w:val="225"/>
          <w:tblCellSpacing w:w="15" w:type="dxa"/>
        </w:trPr>
        <w:tc>
          <w:tcPr>
            <w:tcW w:w="0" w:type="auto"/>
            <w:vAlign w:val="center"/>
            <w:hideMark/>
          </w:tcPr>
          <w:p w14:paraId="0732163A" w14:textId="77777777" w:rsidR="00000000" w:rsidRDefault="00EB4933">
            <w:pPr>
              <w:pStyle w:val="NormalWeb"/>
              <w:spacing w:before="0" w:beforeAutospacing="0" w:after="0" w:afterAutospacing="0"/>
              <w:ind w:firstLine="675"/>
              <w:jc w:val="center"/>
              <w:rPr>
                <w:sz w:val="20"/>
                <w:szCs w:val="20"/>
              </w:rPr>
            </w:pPr>
            <w:r>
              <w:rPr>
                <w:sz w:val="20"/>
                <w:szCs w:val="20"/>
              </w:rPr>
              <w:t>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78B531D" w14:textId="77777777" w:rsidR="00000000" w:rsidRDefault="00EB4933">
            <w:pPr>
              <w:pStyle w:val="NormalWeb"/>
              <w:spacing w:before="0" w:beforeAutospacing="0" w:after="0" w:afterAutospacing="0"/>
              <w:ind w:firstLine="675"/>
              <w:jc w:val="center"/>
              <w:rPr>
                <w:sz w:val="20"/>
                <w:szCs w:val="20"/>
              </w:rPr>
            </w:pPr>
            <w:r>
              <w:rPr>
                <w:sz w:val="20"/>
                <w:szCs w:val="20"/>
              </w:rPr>
              <w:t>HUBEI CHUTIAN</w:t>
            </w:r>
          </w:p>
          <w:p w14:paraId="2700412D" w14:textId="77777777" w:rsidR="00000000" w:rsidRDefault="00EB4933">
            <w:pPr>
              <w:pStyle w:val="NormalWeb"/>
              <w:spacing w:before="0" w:beforeAutospacing="0" w:after="0" w:afterAutospacing="0"/>
              <w:ind w:firstLine="675"/>
              <w:jc w:val="center"/>
              <w:rPr>
                <w:sz w:val="20"/>
                <w:szCs w:val="20"/>
              </w:rPr>
            </w:pPr>
            <w:r>
              <w:rPr>
                <w:sz w:val="20"/>
                <w:szCs w:val="20"/>
              </w:rPr>
              <w:t>MICROFINANCE CO., LTD.</w:t>
            </w:r>
          </w:p>
          <w:p w14:paraId="4FD11352" w14:textId="77777777" w:rsidR="00000000" w:rsidRDefault="00EB4933">
            <w:pPr>
              <w:pStyle w:val="NormalWeb"/>
              <w:spacing w:before="0" w:beforeAutospacing="0" w:after="0" w:afterAutospacing="0"/>
              <w:ind w:firstLine="675"/>
              <w:jc w:val="center"/>
              <w:rPr>
                <w:sz w:val="20"/>
                <w:szCs w:val="20"/>
              </w:rPr>
            </w:pPr>
            <w:r>
              <w:rPr>
                <w:sz w:val="20"/>
                <w:szCs w:val="20"/>
              </w:rPr>
              <w:lastRenderedPageBreak/>
              <w:t>(PRC)</w:t>
            </w:r>
          </w:p>
        </w:tc>
        <w:tc>
          <w:tcPr>
            <w:tcW w:w="0" w:type="auto"/>
            <w:vAlign w:val="center"/>
            <w:hideMark/>
          </w:tcPr>
          <w:p w14:paraId="22DEFE91" w14:textId="77777777" w:rsidR="00000000" w:rsidRDefault="00EB4933">
            <w:pPr>
              <w:pStyle w:val="NormalWeb"/>
              <w:spacing w:before="0" w:beforeAutospacing="0" w:after="0" w:afterAutospacing="0"/>
              <w:ind w:firstLine="675"/>
              <w:jc w:val="center"/>
              <w:rPr>
                <w:sz w:val="20"/>
                <w:szCs w:val="20"/>
              </w:rPr>
            </w:pPr>
            <w:r>
              <w:rPr>
                <w:sz w:val="20"/>
                <w:szCs w:val="20"/>
              </w:rPr>
              <w:lastRenderedPageBreak/>
              <w:t> </w:t>
            </w:r>
          </w:p>
        </w:tc>
      </w:tr>
    </w:tbl>
    <w:p w14:paraId="1AA329E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08AC81A"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principal executive offices are currently located at 23rd Floor, LianFa International Building, 128 Xu Dong Road, Wuchang District, Wuhan City, Hubei Province, the People’s Republic of China. The Company’s current telephone number at this address is +8</w:t>
      </w:r>
      <w:r>
        <w:rPr>
          <w:sz w:val="20"/>
          <w:szCs w:val="20"/>
        </w:rPr>
        <w:t>6-27-88517899. The Company’s registered office in the Cayman Islands is located at Maples Corporate Services Limited, PO Box 309, Ugland House, Grand Cayman, KY1-1104, Cayman Islands. Our current website is www.hbctf.com. The information contained on our w</w:t>
      </w:r>
      <w:r>
        <w:rPr>
          <w:sz w:val="20"/>
          <w:szCs w:val="20"/>
        </w:rPr>
        <w:t>ebsite does not constitute a part of this document. Our agent for service of process in the United States is Corporation Service Company, located at 1180 Avenue of the Americas, Suite 210, New York, NY 10036.</w:t>
      </w:r>
    </w:p>
    <w:p w14:paraId="672B50BB"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5D61491" w14:textId="77777777">
        <w:trPr>
          <w:divId w:val="98525094"/>
          <w:trHeight w:val="225"/>
          <w:tblCellSpacing w:w="15" w:type="dxa"/>
        </w:trPr>
        <w:tc>
          <w:tcPr>
            <w:tcW w:w="0" w:type="auto"/>
            <w:vAlign w:val="center"/>
            <w:hideMark/>
          </w:tcPr>
          <w:p w14:paraId="03C4F420" w14:textId="77777777" w:rsidR="00000000" w:rsidRDefault="00EB4933">
            <w:pPr>
              <w:rPr>
                <w:rFonts w:eastAsia="Times New Roman"/>
                <w:sz w:val="20"/>
                <w:szCs w:val="20"/>
              </w:rPr>
            </w:pPr>
            <w:r>
              <w:rPr>
                <w:rFonts w:eastAsia="Times New Roman"/>
                <w:sz w:val="20"/>
                <w:szCs w:val="20"/>
              </w:rPr>
              <w:t> </w:t>
            </w:r>
          </w:p>
        </w:tc>
      </w:tr>
      <w:tr w:rsidR="00000000" w14:paraId="53EA0F80" w14:textId="77777777">
        <w:trPr>
          <w:divId w:val="98525094"/>
          <w:trHeight w:val="225"/>
          <w:tblCellSpacing w:w="15" w:type="dxa"/>
        </w:trPr>
        <w:tc>
          <w:tcPr>
            <w:tcW w:w="0" w:type="auto"/>
            <w:tcBorders>
              <w:bottom w:val="single" w:sz="6" w:space="0" w:color="000000"/>
            </w:tcBorders>
            <w:vAlign w:val="center"/>
            <w:hideMark/>
          </w:tcPr>
          <w:p w14:paraId="70DFC734" w14:textId="77777777" w:rsidR="00000000" w:rsidRDefault="00EB4933">
            <w:pPr>
              <w:jc w:val="center"/>
              <w:rPr>
                <w:rFonts w:eastAsia="Times New Roman"/>
                <w:sz w:val="20"/>
                <w:szCs w:val="20"/>
              </w:rPr>
            </w:pPr>
            <w:r>
              <w:rPr>
                <w:rFonts w:eastAsia="Times New Roman"/>
                <w:sz w:val="20"/>
                <w:szCs w:val="20"/>
              </w:rPr>
              <w:t>41</w:t>
            </w:r>
          </w:p>
        </w:tc>
      </w:tr>
      <w:tr w:rsidR="00000000" w14:paraId="16A61736" w14:textId="77777777">
        <w:trPr>
          <w:divId w:val="98525094"/>
          <w:trHeight w:val="225"/>
          <w:tblCellSpacing w:w="15" w:type="dxa"/>
        </w:trPr>
        <w:tc>
          <w:tcPr>
            <w:tcW w:w="0" w:type="auto"/>
            <w:vAlign w:val="center"/>
            <w:hideMark/>
          </w:tcPr>
          <w:p w14:paraId="556173D8" w14:textId="77777777" w:rsidR="00000000" w:rsidRDefault="00EB4933">
            <w:pPr>
              <w:rPr>
                <w:rFonts w:eastAsia="Times New Roman"/>
                <w:sz w:val="20"/>
                <w:szCs w:val="20"/>
              </w:rPr>
            </w:pPr>
          </w:p>
        </w:tc>
      </w:tr>
      <w:tr w:rsidR="00000000" w14:paraId="1C564806" w14:textId="77777777">
        <w:trPr>
          <w:divId w:val="98525094"/>
          <w:trHeight w:val="225"/>
          <w:tblCellSpacing w:w="15" w:type="dxa"/>
        </w:trPr>
        <w:tc>
          <w:tcPr>
            <w:tcW w:w="0" w:type="auto"/>
            <w:vAlign w:val="center"/>
            <w:hideMark/>
          </w:tcPr>
          <w:p w14:paraId="7CD5421D" w14:textId="77777777" w:rsidR="00000000" w:rsidRDefault="00EB4933">
            <w:pPr>
              <w:rPr>
                <w:rFonts w:eastAsia="Times New Roman"/>
                <w:sz w:val="20"/>
                <w:szCs w:val="20"/>
              </w:rPr>
            </w:pPr>
            <w:hyperlink r:id="rId101" w:anchor="toc" w:history="1">
              <w:r>
                <w:rPr>
                  <w:rStyle w:val="Hyperlink"/>
                  <w:rFonts w:eastAsia="Times New Roman"/>
                  <w:i/>
                  <w:iCs/>
                  <w:sz w:val="20"/>
                  <w:szCs w:val="20"/>
                </w:rPr>
                <w:t>Table of Contents</w:t>
              </w:r>
            </w:hyperlink>
          </w:p>
        </w:tc>
      </w:tr>
    </w:tbl>
    <w:p w14:paraId="3515E0D4"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235EE5E8" w14:textId="77777777" w:rsidR="00000000" w:rsidRDefault="00EB4933">
      <w:pPr>
        <w:pStyle w:val="NormalWeb"/>
        <w:spacing w:before="0" w:beforeAutospacing="0" w:after="0" w:afterAutospacing="0"/>
        <w:jc w:val="both"/>
        <w:divId w:val="98525094"/>
        <w:rPr>
          <w:sz w:val="20"/>
          <w:szCs w:val="20"/>
        </w:rPr>
      </w:pPr>
      <w:r>
        <w:rPr>
          <w:rStyle w:val="Strong"/>
          <w:sz w:val="20"/>
          <w:szCs w:val="20"/>
        </w:rPr>
        <w:t>B. Business Overview</w:t>
      </w:r>
    </w:p>
    <w:p w14:paraId="0AA6B44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85F983C" w14:textId="77777777" w:rsidR="00000000" w:rsidRDefault="00EB4933">
      <w:pPr>
        <w:pStyle w:val="NormalWeb"/>
        <w:spacing w:before="0" w:beforeAutospacing="0" w:after="0" w:afterAutospacing="0"/>
        <w:jc w:val="both"/>
        <w:divId w:val="98525094"/>
        <w:rPr>
          <w:sz w:val="20"/>
          <w:szCs w:val="20"/>
        </w:rPr>
      </w:pPr>
      <w:r>
        <w:rPr>
          <w:rStyle w:val="Strong"/>
          <w:sz w:val="20"/>
          <w:szCs w:val="20"/>
        </w:rPr>
        <w:t>Overview</w:t>
      </w:r>
    </w:p>
    <w:p w14:paraId="465FFA5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B14569D"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are a lending company primarily engaged in the business of providing loan facilities to micro, small and medium sized enterprises and sole proprietors in Hubei</w:t>
      </w:r>
      <w:r>
        <w:rPr>
          <w:sz w:val="20"/>
          <w:szCs w:val="20"/>
        </w:rPr>
        <w:t xml:space="preserve"> province of the People’s Republic of China. We operate our microfinance lending business through our 80% VIE operating company, Chutian. All of our operations are conducted in the PRC through Chutian. We operate our microfinance lending business in the PR</w:t>
      </w:r>
      <w:r>
        <w:rPr>
          <w:sz w:val="20"/>
          <w:szCs w:val="20"/>
        </w:rPr>
        <w:t>C on the basis of the approval certificates, business license and other requisite licenses held by Chutian. We conduct our microfinance lending business in the PRC and generate virtually all of our revenues for our business through the VIE Agreements.</w:t>
      </w:r>
    </w:p>
    <w:p w14:paraId="064BB1E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0F4E846"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w:t>
      </w:r>
      <w:r>
        <w:rPr>
          <w:sz w:val="20"/>
          <w:szCs w:val="20"/>
        </w:rPr>
        <w:t xml:space="preserve"> typically provide family-run businesses, farmers and individual borrowers with working capital and bridge financing support, primarily through means of short-term loans based upon their needs and qualifications. Based on our business environment and fundi</w:t>
      </w:r>
      <w:r>
        <w:rPr>
          <w:sz w:val="20"/>
          <w:szCs w:val="20"/>
        </w:rPr>
        <w:t>ng demands, we focus on maintaining short term loan facilities that are small in size and plan to diversify our customer base into multiple industries.</w:t>
      </w:r>
    </w:p>
    <w:p w14:paraId="6E7F9AD8"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064535F" w14:textId="77777777" w:rsidR="00000000" w:rsidRDefault="00EB4933">
      <w:pPr>
        <w:pStyle w:val="NormalWeb"/>
        <w:spacing w:before="0" w:beforeAutospacing="0" w:after="0" w:afterAutospacing="0"/>
        <w:jc w:val="both"/>
        <w:divId w:val="98525094"/>
        <w:rPr>
          <w:sz w:val="20"/>
          <w:szCs w:val="20"/>
        </w:rPr>
      </w:pPr>
      <w:r>
        <w:rPr>
          <w:rStyle w:val="Strong"/>
          <w:sz w:val="20"/>
          <w:szCs w:val="20"/>
        </w:rPr>
        <w:t>Industry and Market</w:t>
      </w:r>
    </w:p>
    <w:p w14:paraId="13DF239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264A3DA" w14:textId="77777777" w:rsidR="00000000" w:rsidRDefault="00EB4933">
      <w:pPr>
        <w:pStyle w:val="NormalWeb"/>
        <w:spacing w:before="0" w:beforeAutospacing="0" w:after="0" w:afterAutospacing="0"/>
        <w:ind w:firstLine="675"/>
        <w:jc w:val="both"/>
        <w:divId w:val="98525094"/>
        <w:rPr>
          <w:sz w:val="20"/>
          <w:szCs w:val="20"/>
        </w:rPr>
      </w:pPr>
      <w:r>
        <w:rPr>
          <w:sz w:val="20"/>
          <w:szCs w:val="20"/>
        </w:rPr>
        <w:t>Under China’</w:t>
      </w:r>
      <w:r>
        <w:rPr>
          <w:sz w:val="20"/>
          <w:szCs w:val="20"/>
        </w:rPr>
        <w:t>s current financial systems, most commercial loans are made by China’s state-owned banks and commercial banks. However, due to concerns over payment risks, the banks in China tend to only lend to large private companies and state-owned companies. The small</w:t>
      </w:r>
      <w:r>
        <w:rPr>
          <w:sz w:val="20"/>
          <w:szCs w:val="20"/>
        </w:rPr>
        <w:t xml:space="preserve"> and medium-sized enterprises (“SMEs”) and individuals have historically been an underserved segment of the Chinese banking market while SME’s represent a significant part of China’s economy. </w:t>
      </w:r>
    </w:p>
    <w:p w14:paraId="19EEE027"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C19F8AE"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The number of SMEs in China is significant. They account for </w:t>
      </w:r>
      <w:r>
        <w:rPr>
          <w:sz w:val="20"/>
          <w:szCs w:val="20"/>
        </w:rPr>
        <w:t>over 48% of China’s total enterprises, with micro-businesses making up over 50%. According to data compiled by the Development and Research Center of the State Council, SMEs account for nearly 60% of the GDP, 80% of the overall employment and more than hal</w:t>
      </w:r>
      <w:r>
        <w:rPr>
          <w:sz w:val="20"/>
          <w:szCs w:val="20"/>
        </w:rPr>
        <w:t xml:space="preserve">f of the economic output of China as of 2012. As a result, SME financing demands are on the rise. In some degree, the microfinance lending companies fill the gaps in China’s financial system by serving farmers, individuals and the SMEs. </w:t>
      </w:r>
    </w:p>
    <w:p w14:paraId="0B66141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61E5B66"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most cases, t</w:t>
      </w:r>
      <w:r>
        <w:rPr>
          <w:sz w:val="20"/>
          <w:szCs w:val="20"/>
        </w:rPr>
        <w:t>he application process for microfinance companies is easier than traditional bank loans, and the borrowers typically receive loan approval and funds faster. However, the loan fees and interest charged by microfinance companies tend to be higher than tradit</w:t>
      </w:r>
      <w:r>
        <w:rPr>
          <w:sz w:val="20"/>
          <w:szCs w:val="20"/>
        </w:rPr>
        <w:t xml:space="preserve">ional banks. </w:t>
      </w:r>
    </w:p>
    <w:p w14:paraId="35A5411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FBF759D"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a statement made by the China State Council in December 2015 (</w:t>
      </w:r>
      <w:r>
        <w:rPr>
          <w:rStyle w:val="Emphasis"/>
          <w:sz w:val="20"/>
          <w:szCs w:val="20"/>
        </w:rPr>
        <w:t>Positively Promote the New Consumption Leading Role to Accelerate a New Supply and New Motive Force</w:t>
      </w:r>
      <w:r>
        <w:rPr>
          <w:sz w:val="20"/>
          <w:szCs w:val="20"/>
        </w:rPr>
        <w:t>), “China needs to promote financial products and service innovation, to sup</w:t>
      </w:r>
      <w:r>
        <w:rPr>
          <w:sz w:val="20"/>
          <w:szCs w:val="20"/>
        </w:rPr>
        <w:t>port the development of consumption loan, encourage the qualified market entities to establish consumption financial companies, expand the pilot consumption financial companies to the whole country.”</w:t>
      </w:r>
    </w:p>
    <w:p w14:paraId="0F0FC27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AA4B63B"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In June 2017, the Ministry of Finance and the State Ad</w:t>
      </w:r>
      <w:r>
        <w:rPr>
          <w:sz w:val="20"/>
          <w:szCs w:val="20"/>
        </w:rPr>
        <w:t xml:space="preserve">ministration of Taxation jointly issued </w:t>
      </w:r>
      <w:r>
        <w:rPr>
          <w:rStyle w:val="Emphasis"/>
          <w:sz w:val="20"/>
          <w:szCs w:val="20"/>
        </w:rPr>
        <w:t>The Notice of Tax Policies Regarding Microfinance Companies</w:t>
      </w:r>
      <w:r>
        <w:rPr>
          <w:sz w:val="20"/>
          <w:szCs w:val="20"/>
        </w:rPr>
        <w:t xml:space="preserve"> to reduce the taxation burden of microfinance companies. This was seen as a positive move to promote the microfinance companies in China by helping to reduc</w:t>
      </w:r>
      <w:r>
        <w:rPr>
          <w:sz w:val="20"/>
          <w:szCs w:val="20"/>
        </w:rPr>
        <w:t xml:space="preserve">e operating costs. </w:t>
      </w:r>
    </w:p>
    <w:p w14:paraId="4BEFF590"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FAC6004" w14:textId="77777777" w:rsidR="00000000" w:rsidRDefault="00EB4933">
      <w:pPr>
        <w:pStyle w:val="NormalWeb"/>
        <w:spacing w:before="0" w:beforeAutospacing="0" w:after="0" w:afterAutospacing="0"/>
        <w:ind w:firstLine="675"/>
        <w:jc w:val="both"/>
        <w:divId w:val="98525094"/>
        <w:rPr>
          <w:sz w:val="20"/>
          <w:szCs w:val="20"/>
        </w:rPr>
      </w:pPr>
      <w:r>
        <w:rPr>
          <w:sz w:val="20"/>
          <w:szCs w:val="20"/>
        </w:rPr>
        <w:t>According to iResearch, between 2014 and 2019, China’s unsecured consumer finance market is forecasted to grow at a compound annual growth rate, or CAGR, of 26.6% from RMB3.5 trillion to RMB11.4 trillion in terms of outstanding loan b</w:t>
      </w:r>
      <w:r>
        <w:rPr>
          <w:sz w:val="20"/>
          <w:szCs w:val="20"/>
        </w:rPr>
        <w:t>alance. As we continue to expand our business, we believe that we will be well positioned to capture the opportunities presented by this growing market.</w:t>
      </w:r>
    </w:p>
    <w:p w14:paraId="22EC56F7"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24F9666" w14:textId="77777777">
        <w:trPr>
          <w:divId w:val="98525094"/>
          <w:trHeight w:val="225"/>
          <w:tblCellSpacing w:w="15" w:type="dxa"/>
        </w:trPr>
        <w:tc>
          <w:tcPr>
            <w:tcW w:w="0" w:type="auto"/>
            <w:vAlign w:val="center"/>
            <w:hideMark/>
          </w:tcPr>
          <w:p w14:paraId="5FD10F94" w14:textId="77777777" w:rsidR="00000000" w:rsidRDefault="00EB4933">
            <w:pPr>
              <w:rPr>
                <w:rFonts w:eastAsia="Times New Roman"/>
                <w:sz w:val="20"/>
                <w:szCs w:val="20"/>
              </w:rPr>
            </w:pPr>
            <w:r>
              <w:rPr>
                <w:rFonts w:eastAsia="Times New Roman"/>
                <w:sz w:val="20"/>
                <w:szCs w:val="20"/>
              </w:rPr>
              <w:t> </w:t>
            </w:r>
          </w:p>
        </w:tc>
      </w:tr>
      <w:tr w:rsidR="00000000" w14:paraId="1470B516" w14:textId="77777777">
        <w:trPr>
          <w:divId w:val="98525094"/>
          <w:trHeight w:val="225"/>
          <w:tblCellSpacing w:w="15" w:type="dxa"/>
        </w:trPr>
        <w:tc>
          <w:tcPr>
            <w:tcW w:w="0" w:type="auto"/>
            <w:tcBorders>
              <w:bottom w:val="single" w:sz="6" w:space="0" w:color="000000"/>
            </w:tcBorders>
            <w:vAlign w:val="center"/>
            <w:hideMark/>
          </w:tcPr>
          <w:p w14:paraId="7249CDFF" w14:textId="77777777" w:rsidR="00000000" w:rsidRDefault="00EB4933">
            <w:pPr>
              <w:jc w:val="center"/>
              <w:rPr>
                <w:rFonts w:eastAsia="Times New Roman"/>
                <w:sz w:val="20"/>
                <w:szCs w:val="20"/>
              </w:rPr>
            </w:pPr>
            <w:r>
              <w:rPr>
                <w:rFonts w:eastAsia="Times New Roman"/>
                <w:sz w:val="20"/>
                <w:szCs w:val="20"/>
              </w:rPr>
              <w:t>42</w:t>
            </w:r>
          </w:p>
        </w:tc>
      </w:tr>
      <w:tr w:rsidR="00000000" w14:paraId="1FCD2BE7" w14:textId="77777777">
        <w:trPr>
          <w:divId w:val="98525094"/>
          <w:trHeight w:val="225"/>
          <w:tblCellSpacing w:w="15" w:type="dxa"/>
        </w:trPr>
        <w:tc>
          <w:tcPr>
            <w:tcW w:w="0" w:type="auto"/>
            <w:vAlign w:val="center"/>
            <w:hideMark/>
          </w:tcPr>
          <w:p w14:paraId="42DFD3CD" w14:textId="77777777" w:rsidR="00000000" w:rsidRDefault="00EB4933">
            <w:pPr>
              <w:rPr>
                <w:rFonts w:eastAsia="Times New Roman"/>
                <w:sz w:val="20"/>
                <w:szCs w:val="20"/>
              </w:rPr>
            </w:pPr>
          </w:p>
        </w:tc>
      </w:tr>
      <w:tr w:rsidR="00000000" w14:paraId="08BA9243" w14:textId="77777777">
        <w:trPr>
          <w:divId w:val="98525094"/>
          <w:trHeight w:val="225"/>
          <w:tblCellSpacing w:w="15" w:type="dxa"/>
        </w:trPr>
        <w:tc>
          <w:tcPr>
            <w:tcW w:w="0" w:type="auto"/>
            <w:vAlign w:val="center"/>
            <w:hideMark/>
          </w:tcPr>
          <w:p w14:paraId="1D19FAE3" w14:textId="77777777" w:rsidR="00000000" w:rsidRDefault="00EB4933">
            <w:pPr>
              <w:rPr>
                <w:rFonts w:eastAsia="Times New Roman"/>
                <w:sz w:val="20"/>
                <w:szCs w:val="20"/>
              </w:rPr>
            </w:pPr>
            <w:hyperlink r:id="rId102" w:anchor="toc" w:history="1">
              <w:r>
                <w:rPr>
                  <w:rStyle w:val="Hyperlink"/>
                  <w:rFonts w:eastAsia="Times New Roman"/>
                  <w:i/>
                  <w:iCs/>
                  <w:sz w:val="20"/>
                  <w:szCs w:val="20"/>
                </w:rPr>
                <w:t>Table of Contents</w:t>
              </w:r>
            </w:hyperlink>
          </w:p>
        </w:tc>
      </w:tr>
    </w:tbl>
    <w:p w14:paraId="7889C5DD"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5878B1F5" w14:textId="77777777" w:rsidR="00000000" w:rsidRDefault="00EB4933">
      <w:pPr>
        <w:pStyle w:val="NormalWeb"/>
        <w:spacing w:before="0" w:beforeAutospacing="0" w:after="0" w:afterAutospacing="0"/>
        <w:divId w:val="98525094"/>
        <w:rPr>
          <w:sz w:val="20"/>
          <w:szCs w:val="20"/>
        </w:rPr>
      </w:pPr>
      <w:r>
        <w:rPr>
          <w:rStyle w:val="Strong"/>
          <w:sz w:val="20"/>
          <w:szCs w:val="20"/>
        </w:rPr>
        <w:t>Our Business</w:t>
      </w:r>
    </w:p>
    <w:p w14:paraId="294FFBD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C7C4568"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use our website http://www.hbctf.com, our membership in certain industry associations to promote and to provide information about our company and our products. After learning about our company and our products, borrowers approached us to apply for their</w:t>
      </w:r>
      <w:r>
        <w:rPr>
          <w:sz w:val="20"/>
          <w:szCs w:val="20"/>
        </w:rPr>
        <w:t xml:space="preserve"> loans. We provide loans to individuals and companies through our credit teams. </w:t>
      </w:r>
    </w:p>
    <w:p w14:paraId="467FA7B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A52A201" w14:textId="77777777" w:rsidR="00000000" w:rsidRDefault="00EB4933">
      <w:pPr>
        <w:pStyle w:val="NormalWeb"/>
        <w:spacing w:before="0" w:beforeAutospacing="0" w:after="0" w:afterAutospacing="0"/>
        <w:ind w:firstLine="675"/>
        <w:jc w:val="both"/>
        <w:divId w:val="98525094"/>
        <w:rPr>
          <w:sz w:val="20"/>
          <w:szCs w:val="20"/>
        </w:rPr>
      </w:pPr>
      <w:r>
        <w:rPr>
          <w:sz w:val="20"/>
          <w:szCs w:val="20"/>
        </w:rPr>
        <w:t>Most of our borrowers are individuals and companies. Our typical size loans for individuals are around RMB4.0 million ($0.6 million), and are around RMB7.0 million ($1.1 mil</w:t>
      </w:r>
      <w:r>
        <w:rPr>
          <w:sz w:val="20"/>
          <w:szCs w:val="20"/>
        </w:rPr>
        <w:t>lion) for companies. Upon loan origination, our loans are either guaranteed or secured and have payment terms that are typically become due within twelve (12) months, subject to annual renewal of terms. However, in recent years, most loans are delinquent a</w:t>
      </w:r>
      <w:r>
        <w:rPr>
          <w:sz w:val="20"/>
          <w:szCs w:val="20"/>
        </w:rPr>
        <w:t>nd are not being paid on this schedule. The following is a general description of our loan products:</w:t>
      </w:r>
    </w:p>
    <w:p w14:paraId="3F1DB78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6E1E9B0B" w14:textId="77777777">
        <w:trPr>
          <w:divId w:val="98525094"/>
          <w:trHeight w:val="225"/>
          <w:tblCellSpacing w:w="15" w:type="dxa"/>
        </w:trPr>
        <w:tc>
          <w:tcPr>
            <w:tcW w:w="200" w:type="pct"/>
            <w:vAlign w:val="center"/>
            <w:hideMark/>
          </w:tcPr>
          <w:p w14:paraId="7215EA70"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4DCFC053"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361210E3" w14:textId="77777777" w:rsidR="00000000" w:rsidRDefault="00EB4933">
            <w:pPr>
              <w:jc w:val="both"/>
              <w:rPr>
                <w:rFonts w:eastAsia="Times New Roman"/>
                <w:sz w:val="20"/>
                <w:szCs w:val="20"/>
              </w:rPr>
            </w:pPr>
            <w:r>
              <w:rPr>
                <w:rStyle w:val="Emphasis"/>
                <w:rFonts w:eastAsia="Times New Roman"/>
                <w:b/>
                <w:bCs/>
                <w:sz w:val="20"/>
                <w:szCs w:val="20"/>
              </w:rPr>
              <w:t xml:space="preserve">Consumer Loans. </w:t>
            </w:r>
            <w:r>
              <w:rPr>
                <w:rFonts w:eastAsia="Times New Roman"/>
                <w:sz w:val="20"/>
                <w:szCs w:val="20"/>
              </w:rPr>
              <w:t>We offer guarantee-backed personal loans, with terms ranging from three (3) months to six (6) months and with amounts ranging from RM</w:t>
            </w:r>
            <w:r>
              <w:rPr>
                <w:rFonts w:eastAsia="Times New Roman"/>
                <w:sz w:val="20"/>
                <w:szCs w:val="20"/>
              </w:rPr>
              <w:t>B10,000 ($1,440) to RMB100,000 ($14,402), to working individuals. To qualify for this loan, the borrower must be domiciled in Wuhan and hold a Wuhan household registration. In addition, the borrower must have a reasonable loan purpose and a repayment plan.</w:t>
            </w:r>
            <w:r>
              <w:rPr>
                <w:rFonts w:eastAsia="Times New Roman"/>
                <w:sz w:val="20"/>
                <w:szCs w:val="20"/>
              </w:rPr>
              <w:t xml:space="preserve"> Borrowers are permitted to pay back the loan with their future salaries. We do not require any collateral for this loan, however, the borrower and a third-party guarantor are jointly and severally liable for the repayment of the loan.</w:t>
            </w:r>
          </w:p>
        </w:tc>
      </w:tr>
      <w:tr w:rsidR="00000000" w14:paraId="6710326F" w14:textId="77777777">
        <w:trPr>
          <w:divId w:val="98525094"/>
          <w:trHeight w:val="225"/>
          <w:tblCellSpacing w:w="15" w:type="dxa"/>
        </w:trPr>
        <w:tc>
          <w:tcPr>
            <w:tcW w:w="0" w:type="auto"/>
            <w:vAlign w:val="center"/>
            <w:hideMark/>
          </w:tcPr>
          <w:p w14:paraId="272EF93F"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501CB04A"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77A3EEE1"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26AA518A" w14:textId="77777777">
        <w:trPr>
          <w:divId w:val="98525094"/>
          <w:trHeight w:val="225"/>
          <w:tblCellSpacing w:w="15" w:type="dxa"/>
        </w:trPr>
        <w:tc>
          <w:tcPr>
            <w:tcW w:w="0" w:type="auto"/>
            <w:vAlign w:val="center"/>
            <w:hideMark/>
          </w:tcPr>
          <w:p w14:paraId="736BC089"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07C63D69"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5B2E9F83" w14:textId="77777777" w:rsidR="00000000" w:rsidRDefault="00EB4933">
            <w:pPr>
              <w:jc w:val="both"/>
              <w:rPr>
                <w:rFonts w:eastAsia="Times New Roman"/>
                <w:sz w:val="20"/>
                <w:szCs w:val="20"/>
              </w:rPr>
            </w:pPr>
            <w:r>
              <w:rPr>
                <w:rStyle w:val="Emphasis"/>
                <w:rFonts w:eastAsia="Times New Roman"/>
                <w:b/>
                <w:bCs/>
                <w:sz w:val="20"/>
                <w:szCs w:val="20"/>
              </w:rPr>
              <w:t xml:space="preserve">Commercial Loans. </w:t>
            </w:r>
            <w:r>
              <w:rPr>
                <w:rFonts w:eastAsia="Times New Roman"/>
                <w:sz w:val="20"/>
                <w:szCs w:val="20"/>
              </w:rPr>
              <w:t>We offer secured loans, with terms ranging from three (3) months to twelve (12) months and with amounts ranging from RMB100,000 ($14,402) to RMB500,000 ($72,014), to private business owners or individual business owners operating within W</w:t>
            </w:r>
            <w:r>
              <w:rPr>
                <w:rFonts w:eastAsia="Times New Roman"/>
                <w:sz w:val="20"/>
                <w:szCs w:val="20"/>
              </w:rPr>
              <w:t>uhan. This loan is mainly offered to businesses that are encountering temporary cash flow difficulties. In order to qualify, the borrower’s business must be in good standing with the fixed operation office and registered office in Wuhan. In addition, the b</w:t>
            </w:r>
            <w:r>
              <w:rPr>
                <w:rFonts w:eastAsia="Times New Roman"/>
                <w:sz w:val="20"/>
                <w:szCs w:val="20"/>
              </w:rPr>
              <w:t>orrower must have a reasonable loan purpose and a repayment plan. This loan is either secured by assets as collateral or guaranteed by a third-party.</w:t>
            </w:r>
          </w:p>
        </w:tc>
      </w:tr>
      <w:tr w:rsidR="00000000" w14:paraId="1F660FAC" w14:textId="77777777">
        <w:trPr>
          <w:divId w:val="98525094"/>
          <w:trHeight w:val="225"/>
          <w:tblCellSpacing w:w="15" w:type="dxa"/>
        </w:trPr>
        <w:tc>
          <w:tcPr>
            <w:tcW w:w="0" w:type="auto"/>
            <w:vAlign w:val="center"/>
            <w:hideMark/>
          </w:tcPr>
          <w:p w14:paraId="6F06D2A7"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73CC415B"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7DF44773"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87CE59F" w14:textId="77777777">
        <w:trPr>
          <w:divId w:val="98525094"/>
          <w:trHeight w:val="225"/>
          <w:tblCellSpacing w:w="15" w:type="dxa"/>
        </w:trPr>
        <w:tc>
          <w:tcPr>
            <w:tcW w:w="0" w:type="auto"/>
            <w:vAlign w:val="center"/>
            <w:hideMark/>
          </w:tcPr>
          <w:p w14:paraId="29740DEE"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64473222"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1A5B37EB" w14:textId="77777777" w:rsidR="00000000" w:rsidRDefault="00EB4933">
            <w:pPr>
              <w:jc w:val="both"/>
              <w:rPr>
                <w:rFonts w:eastAsia="Times New Roman"/>
                <w:sz w:val="20"/>
                <w:szCs w:val="20"/>
              </w:rPr>
            </w:pPr>
            <w:r>
              <w:rPr>
                <w:rStyle w:val="Emphasis"/>
                <w:rFonts w:eastAsia="Times New Roman"/>
                <w:b/>
                <w:bCs/>
                <w:sz w:val="20"/>
                <w:szCs w:val="20"/>
              </w:rPr>
              <w:t xml:space="preserve">Collateral-Backed Loans. </w:t>
            </w:r>
            <w:r>
              <w:rPr>
                <w:rFonts w:eastAsia="Times New Roman"/>
                <w:sz w:val="20"/>
                <w:szCs w:val="20"/>
              </w:rPr>
              <w:t>We offer collateral-backed loans, with terms ranging from three(3) mo</w:t>
            </w:r>
            <w:r>
              <w:rPr>
                <w:rFonts w:eastAsia="Times New Roman"/>
                <w:sz w:val="20"/>
                <w:szCs w:val="20"/>
              </w:rPr>
              <w:t>nths to twelve (12) months and amounts ranging from RMB500,000 ($72,015) to RMB3,000,000 ($432,090) to individuals, private business owners, private enterprises, and other business entities in Hubei Province. The borrower is required to have a reasonable l</w:t>
            </w:r>
            <w:r>
              <w:rPr>
                <w:rFonts w:eastAsia="Times New Roman"/>
                <w:sz w:val="20"/>
                <w:szCs w:val="20"/>
              </w:rPr>
              <w:t>oan purpose and a repayment plan, and if the borrower is a business, the business must be in good standing with stable cash flow. The borrower must own real property or an automobile, and the loan is secured by assets as collateral.</w:t>
            </w:r>
          </w:p>
        </w:tc>
      </w:tr>
      <w:tr w:rsidR="00000000" w14:paraId="6A83BDC0" w14:textId="77777777">
        <w:trPr>
          <w:divId w:val="98525094"/>
          <w:trHeight w:val="225"/>
          <w:tblCellSpacing w:w="15" w:type="dxa"/>
        </w:trPr>
        <w:tc>
          <w:tcPr>
            <w:tcW w:w="0" w:type="auto"/>
            <w:vAlign w:val="center"/>
            <w:hideMark/>
          </w:tcPr>
          <w:p w14:paraId="2A81E7E5"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54A9FB94"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1825503C"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CE0B881" w14:textId="77777777">
        <w:trPr>
          <w:divId w:val="98525094"/>
          <w:trHeight w:val="225"/>
          <w:tblCellSpacing w:w="15" w:type="dxa"/>
        </w:trPr>
        <w:tc>
          <w:tcPr>
            <w:tcW w:w="0" w:type="auto"/>
            <w:vAlign w:val="center"/>
            <w:hideMark/>
          </w:tcPr>
          <w:p w14:paraId="5B13522E"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0F4489FA"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536DF870" w14:textId="77777777" w:rsidR="00000000" w:rsidRDefault="00EB4933">
            <w:pPr>
              <w:jc w:val="both"/>
              <w:rPr>
                <w:rFonts w:eastAsia="Times New Roman"/>
                <w:sz w:val="20"/>
                <w:szCs w:val="20"/>
              </w:rPr>
            </w:pPr>
            <w:r>
              <w:rPr>
                <w:rStyle w:val="Emphasis"/>
                <w:rFonts w:eastAsia="Times New Roman"/>
                <w:b/>
                <w:bCs/>
                <w:sz w:val="20"/>
                <w:szCs w:val="20"/>
              </w:rPr>
              <w:t xml:space="preserve">Enterprise </w:t>
            </w:r>
            <w:r>
              <w:rPr>
                <w:rStyle w:val="Emphasis"/>
                <w:rFonts w:eastAsia="Times New Roman"/>
                <w:b/>
                <w:bCs/>
                <w:sz w:val="20"/>
                <w:szCs w:val="20"/>
              </w:rPr>
              <w:t xml:space="preserve">Loans. </w:t>
            </w:r>
            <w:r>
              <w:rPr>
                <w:rFonts w:eastAsia="Times New Roman"/>
                <w:sz w:val="20"/>
                <w:szCs w:val="20"/>
              </w:rPr>
              <w:t>We offer collateral-backed loans, with terms ranging from three (3) months to twelve (12) months and lines of credit ranging from RMB3,000,000 ($436,000) to RMB7,000,000 ($1.0 million), to small and medium-sized enterprise borrowers operating busine</w:t>
            </w:r>
            <w:r>
              <w:rPr>
                <w:rFonts w:eastAsia="Times New Roman"/>
                <w:sz w:val="20"/>
                <w:szCs w:val="20"/>
              </w:rPr>
              <w:t xml:space="preserve">sses in Hubei Province. The main purpose of this loan is to satisfy the borrower’s temporary cash flow needs. Borrowers are required to have </w:t>
            </w:r>
            <w:r>
              <w:rPr>
                <w:rFonts w:eastAsia="Times New Roman"/>
                <w:sz w:val="20"/>
                <w:szCs w:val="20"/>
              </w:rPr>
              <w:lastRenderedPageBreak/>
              <w:t>a reasonable loan purpose, a repayment plan, and the business must be in good standing with stable cash flow. The l</w:t>
            </w:r>
            <w:r>
              <w:rPr>
                <w:rFonts w:eastAsia="Times New Roman"/>
                <w:sz w:val="20"/>
                <w:szCs w:val="20"/>
              </w:rPr>
              <w:t>oan is secured by assets as collateral with complete collateral ownership certification documents.</w:t>
            </w:r>
          </w:p>
        </w:tc>
      </w:tr>
    </w:tbl>
    <w:p w14:paraId="14130236"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082E2C3" w14:textId="77777777">
        <w:trPr>
          <w:divId w:val="98525094"/>
          <w:trHeight w:val="225"/>
          <w:tblCellSpacing w:w="15" w:type="dxa"/>
        </w:trPr>
        <w:tc>
          <w:tcPr>
            <w:tcW w:w="0" w:type="auto"/>
            <w:vAlign w:val="center"/>
            <w:hideMark/>
          </w:tcPr>
          <w:p w14:paraId="384880D3" w14:textId="77777777" w:rsidR="00000000" w:rsidRDefault="00EB4933">
            <w:pPr>
              <w:rPr>
                <w:rFonts w:eastAsia="Times New Roman"/>
                <w:sz w:val="20"/>
                <w:szCs w:val="20"/>
              </w:rPr>
            </w:pPr>
            <w:r>
              <w:rPr>
                <w:rFonts w:eastAsia="Times New Roman"/>
                <w:sz w:val="20"/>
                <w:szCs w:val="20"/>
              </w:rPr>
              <w:t> </w:t>
            </w:r>
          </w:p>
        </w:tc>
      </w:tr>
      <w:tr w:rsidR="00000000" w14:paraId="2E5CB983" w14:textId="77777777">
        <w:trPr>
          <w:divId w:val="98525094"/>
          <w:trHeight w:val="225"/>
          <w:tblCellSpacing w:w="15" w:type="dxa"/>
        </w:trPr>
        <w:tc>
          <w:tcPr>
            <w:tcW w:w="0" w:type="auto"/>
            <w:tcBorders>
              <w:bottom w:val="single" w:sz="6" w:space="0" w:color="000000"/>
            </w:tcBorders>
            <w:vAlign w:val="center"/>
            <w:hideMark/>
          </w:tcPr>
          <w:p w14:paraId="484230F3" w14:textId="77777777" w:rsidR="00000000" w:rsidRDefault="00EB4933">
            <w:pPr>
              <w:jc w:val="center"/>
              <w:rPr>
                <w:rFonts w:eastAsia="Times New Roman"/>
                <w:sz w:val="20"/>
                <w:szCs w:val="20"/>
              </w:rPr>
            </w:pPr>
            <w:r>
              <w:rPr>
                <w:rFonts w:eastAsia="Times New Roman"/>
                <w:sz w:val="20"/>
                <w:szCs w:val="20"/>
              </w:rPr>
              <w:t>43</w:t>
            </w:r>
          </w:p>
        </w:tc>
      </w:tr>
      <w:tr w:rsidR="00000000" w14:paraId="29C7E68F" w14:textId="77777777">
        <w:trPr>
          <w:divId w:val="98525094"/>
          <w:trHeight w:val="225"/>
          <w:tblCellSpacing w:w="15" w:type="dxa"/>
        </w:trPr>
        <w:tc>
          <w:tcPr>
            <w:tcW w:w="0" w:type="auto"/>
            <w:vAlign w:val="center"/>
            <w:hideMark/>
          </w:tcPr>
          <w:p w14:paraId="3645AB42" w14:textId="77777777" w:rsidR="00000000" w:rsidRDefault="00EB4933">
            <w:pPr>
              <w:rPr>
                <w:rFonts w:eastAsia="Times New Roman"/>
                <w:sz w:val="20"/>
                <w:szCs w:val="20"/>
              </w:rPr>
            </w:pPr>
          </w:p>
        </w:tc>
      </w:tr>
      <w:tr w:rsidR="00000000" w14:paraId="0677FFC3" w14:textId="77777777">
        <w:trPr>
          <w:divId w:val="98525094"/>
          <w:trHeight w:val="225"/>
          <w:tblCellSpacing w:w="15" w:type="dxa"/>
        </w:trPr>
        <w:tc>
          <w:tcPr>
            <w:tcW w:w="0" w:type="auto"/>
            <w:vAlign w:val="center"/>
            <w:hideMark/>
          </w:tcPr>
          <w:p w14:paraId="74E4BEC8" w14:textId="77777777" w:rsidR="00000000" w:rsidRDefault="00EB4933">
            <w:pPr>
              <w:rPr>
                <w:rFonts w:eastAsia="Times New Roman"/>
                <w:sz w:val="20"/>
                <w:szCs w:val="20"/>
              </w:rPr>
            </w:pPr>
            <w:hyperlink r:id="rId103" w:anchor="toc" w:history="1">
              <w:r>
                <w:rPr>
                  <w:rStyle w:val="Hyperlink"/>
                  <w:rFonts w:eastAsia="Times New Roman"/>
                  <w:i/>
                  <w:iCs/>
                  <w:sz w:val="20"/>
                  <w:szCs w:val="20"/>
                </w:rPr>
                <w:t>Table of Contents</w:t>
              </w:r>
            </w:hyperlink>
          </w:p>
        </w:tc>
      </w:tr>
    </w:tbl>
    <w:p w14:paraId="449B8E1E"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1EA7EA2B" w14:textId="77777777" w:rsidR="00000000" w:rsidRDefault="00EB4933">
      <w:pPr>
        <w:pStyle w:val="NormalWeb"/>
        <w:spacing w:before="0" w:beforeAutospacing="0" w:after="0" w:afterAutospacing="0"/>
        <w:jc w:val="both"/>
        <w:divId w:val="98525094"/>
        <w:rPr>
          <w:sz w:val="20"/>
          <w:szCs w:val="20"/>
        </w:rPr>
      </w:pPr>
      <w:r>
        <w:rPr>
          <w:sz w:val="20"/>
          <w:szCs w:val="20"/>
        </w:rPr>
        <w:t xml:space="preserve">Market Opportunity and Growth Strategy </w:t>
      </w:r>
    </w:p>
    <w:p w14:paraId="2ACF423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C2C4CEF"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long-term objective is to become a leading lending institution that caters to serving the financial needs of consumers and small and medium-sized companies with funding flexibility and limited credit exposure. We intend to implement a three-pronged gro</w:t>
      </w:r>
      <w:r>
        <w:rPr>
          <w:sz w:val="20"/>
          <w:szCs w:val="20"/>
        </w:rPr>
        <w:t xml:space="preserve">wth strategy to expand our Company: </w:t>
      </w:r>
    </w:p>
    <w:p w14:paraId="7A9070E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62B99BB1" w14:textId="77777777">
        <w:trPr>
          <w:divId w:val="98525094"/>
          <w:trHeight w:val="225"/>
          <w:tblCellSpacing w:w="15" w:type="dxa"/>
        </w:trPr>
        <w:tc>
          <w:tcPr>
            <w:tcW w:w="200" w:type="pct"/>
            <w:vAlign w:val="center"/>
            <w:hideMark/>
          </w:tcPr>
          <w:p w14:paraId="1248F091"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1341B4A2"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5ABB690A" w14:textId="77777777" w:rsidR="00000000" w:rsidRDefault="00EB4933">
            <w:pPr>
              <w:jc w:val="both"/>
              <w:rPr>
                <w:rFonts w:eastAsia="Times New Roman"/>
                <w:sz w:val="20"/>
                <w:szCs w:val="20"/>
              </w:rPr>
            </w:pPr>
            <w:r>
              <w:rPr>
                <w:rStyle w:val="Emphasis"/>
                <w:rFonts w:eastAsia="Times New Roman"/>
                <w:b/>
                <w:bCs/>
                <w:sz w:val="20"/>
                <w:szCs w:val="20"/>
              </w:rPr>
              <w:t>Organic Growth</w:t>
            </w:r>
            <w:r>
              <w:rPr>
                <w:rFonts w:eastAsia="Times New Roman"/>
                <w:sz w:val="20"/>
                <w:szCs w:val="20"/>
              </w:rPr>
              <w:t>: We intend to increase our lending capacity by using the cash generated from operations and by increasing our registered and paid-up capital for Chutian. Currently, we fund credit mainly through ou</w:t>
            </w:r>
            <w:r>
              <w:rPr>
                <w:rFonts w:eastAsia="Times New Roman"/>
                <w:sz w:val="20"/>
                <w:szCs w:val="20"/>
              </w:rPr>
              <w:t>r investors. We plan to optimize our institutional funding sources by working with more diversified institutions, such as commercial banks, insurance companies, consumer finance companies, trust companies, and asset management companies. In order to stream</w:t>
            </w:r>
            <w:r>
              <w:rPr>
                <w:rFonts w:eastAsia="Times New Roman"/>
                <w:sz w:val="20"/>
                <w:szCs w:val="20"/>
              </w:rPr>
              <w:t>line our business operations, we intend to secure more fixed and longer-term commitment from our institutional funding partners.</w:t>
            </w:r>
          </w:p>
        </w:tc>
      </w:tr>
      <w:tr w:rsidR="00000000" w14:paraId="584F5864" w14:textId="77777777">
        <w:trPr>
          <w:divId w:val="98525094"/>
          <w:trHeight w:val="225"/>
          <w:tblCellSpacing w:w="15" w:type="dxa"/>
        </w:trPr>
        <w:tc>
          <w:tcPr>
            <w:tcW w:w="0" w:type="auto"/>
            <w:vAlign w:val="center"/>
            <w:hideMark/>
          </w:tcPr>
          <w:p w14:paraId="0596C732"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0464803E"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1E986B0B"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4035B8C" w14:textId="77777777">
        <w:trPr>
          <w:divId w:val="98525094"/>
          <w:trHeight w:val="225"/>
          <w:tblCellSpacing w:w="15" w:type="dxa"/>
        </w:trPr>
        <w:tc>
          <w:tcPr>
            <w:tcW w:w="0" w:type="auto"/>
            <w:vAlign w:val="center"/>
            <w:hideMark/>
          </w:tcPr>
          <w:p w14:paraId="76FED488"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292C6E4D"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2890546B" w14:textId="77777777" w:rsidR="00000000" w:rsidRDefault="00EB4933">
            <w:pPr>
              <w:jc w:val="both"/>
              <w:rPr>
                <w:rFonts w:eastAsia="Times New Roman"/>
                <w:sz w:val="20"/>
                <w:szCs w:val="20"/>
              </w:rPr>
            </w:pPr>
            <w:r>
              <w:rPr>
                <w:rFonts w:eastAsia="Times New Roman"/>
                <w:sz w:val="20"/>
                <w:szCs w:val="20"/>
              </w:rPr>
              <w:t>We are focusing our business in the fields of commercial loans and enterprise loans. We intend to conduct more business in consumer loans by streamlining our risk management, upgrading the informational technology system, and increasing our manpower.</w:t>
            </w:r>
          </w:p>
        </w:tc>
      </w:tr>
      <w:tr w:rsidR="00000000" w14:paraId="6B91094D" w14:textId="77777777">
        <w:trPr>
          <w:divId w:val="98525094"/>
          <w:trHeight w:val="225"/>
          <w:tblCellSpacing w:w="15" w:type="dxa"/>
        </w:trPr>
        <w:tc>
          <w:tcPr>
            <w:tcW w:w="0" w:type="auto"/>
            <w:vAlign w:val="center"/>
            <w:hideMark/>
          </w:tcPr>
          <w:p w14:paraId="4FDBD90F"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4022EE10"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1713BEF2"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125296E7" w14:textId="77777777">
        <w:trPr>
          <w:divId w:val="98525094"/>
          <w:trHeight w:val="225"/>
          <w:tblCellSpacing w:w="15" w:type="dxa"/>
        </w:trPr>
        <w:tc>
          <w:tcPr>
            <w:tcW w:w="0" w:type="auto"/>
            <w:vAlign w:val="center"/>
            <w:hideMark/>
          </w:tcPr>
          <w:p w14:paraId="361EC270"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55161914"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4BCCFEAA" w14:textId="77777777" w:rsidR="00000000" w:rsidRDefault="00EB4933">
            <w:pPr>
              <w:jc w:val="both"/>
              <w:rPr>
                <w:rFonts w:eastAsia="Times New Roman"/>
                <w:sz w:val="20"/>
                <w:szCs w:val="20"/>
              </w:rPr>
            </w:pPr>
            <w:r>
              <w:rPr>
                <w:rFonts w:eastAsia="Times New Roman"/>
                <w:sz w:val="20"/>
                <w:szCs w:val="20"/>
              </w:rPr>
              <w:t>Currently, our customers are mainly based in the city of Wuhan, but we will seek to expand our customer base to cover the entire Hubei Province. According to the Hubei Provincial Statistics Bureau, the total population of Hubei Province is around 5</w:t>
            </w:r>
            <w:r>
              <w:rPr>
                <w:rFonts w:eastAsia="Times New Roman"/>
                <w:sz w:val="20"/>
                <w:szCs w:val="20"/>
              </w:rPr>
              <w:t>8.85 million, and 10.76 million of them live in Wuhan. We believe that we shall be able to expand into other major cities of Hubei with our leading brand, established sales team, and increased working capital by actively promoting our company and our produ</w:t>
            </w:r>
            <w:r>
              <w:rPr>
                <w:rFonts w:eastAsia="Times New Roman"/>
                <w:sz w:val="20"/>
                <w:szCs w:val="20"/>
              </w:rPr>
              <w:t>cts via our website and attending activities organized by certain industrial associations.</w:t>
            </w:r>
          </w:p>
        </w:tc>
      </w:tr>
      <w:tr w:rsidR="00000000" w14:paraId="3A91FA53" w14:textId="77777777">
        <w:trPr>
          <w:divId w:val="98525094"/>
          <w:trHeight w:val="225"/>
          <w:tblCellSpacing w:w="15" w:type="dxa"/>
        </w:trPr>
        <w:tc>
          <w:tcPr>
            <w:tcW w:w="0" w:type="auto"/>
            <w:vAlign w:val="center"/>
            <w:hideMark/>
          </w:tcPr>
          <w:p w14:paraId="0573D8EA"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485536F0"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08297C4B"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25B724ED" w14:textId="77777777">
        <w:trPr>
          <w:divId w:val="98525094"/>
          <w:trHeight w:val="225"/>
          <w:tblCellSpacing w:w="15" w:type="dxa"/>
        </w:trPr>
        <w:tc>
          <w:tcPr>
            <w:tcW w:w="0" w:type="auto"/>
            <w:vAlign w:val="center"/>
            <w:hideMark/>
          </w:tcPr>
          <w:p w14:paraId="0D3D1B05"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7C4252A0"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1768ACBA" w14:textId="77777777" w:rsidR="00000000" w:rsidRDefault="00EB4933">
            <w:pPr>
              <w:jc w:val="both"/>
              <w:rPr>
                <w:rFonts w:eastAsia="Times New Roman"/>
                <w:sz w:val="20"/>
                <w:szCs w:val="20"/>
              </w:rPr>
            </w:pPr>
            <w:r>
              <w:rPr>
                <w:rStyle w:val="Emphasis"/>
                <w:rFonts w:eastAsia="Times New Roman"/>
                <w:b/>
                <w:bCs/>
                <w:sz w:val="20"/>
                <w:szCs w:val="20"/>
              </w:rPr>
              <w:t>Mergers and Acquisitions</w:t>
            </w:r>
            <w:r>
              <w:rPr>
                <w:rStyle w:val="Strong"/>
                <w:rFonts w:eastAsia="Times New Roman"/>
                <w:sz w:val="20"/>
                <w:szCs w:val="20"/>
              </w:rPr>
              <w:t>:</w:t>
            </w:r>
            <w:r>
              <w:rPr>
                <w:rFonts w:eastAsia="Times New Roman"/>
                <w:sz w:val="20"/>
                <w:szCs w:val="20"/>
              </w:rPr>
              <w:t xml:space="preserve"> </w:t>
            </w:r>
            <w:r>
              <w:rPr>
                <w:rFonts w:eastAsia="Times New Roman"/>
                <w:sz w:val="20"/>
                <w:szCs w:val="20"/>
              </w:rPr>
              <w:t>We believe that the microfinance industry is an emerging market in China. On January 25, 2018 and 2019 and October 25, 2019, the PBOC published statistics, dated December 31, 2017 and 2018 and September 30, 2019, that a total of 283, 278 and 275 microfinan</w:t>
            </w:r>
            <w:r>
              <w:rPr>
                <w:rFonts w:eastAsia="Times New Roman"/>
                <w:sz w:val="20"/>
                <w:szCs w:val="20"/>
              </w:rPr>
              <w:t>ce lending companies were registered in Hubei Province and with the combined total registered and paid-up capital of RMB30.6 billion ($4.5 billion), RMB30.7 billion ($4.5 billion) and RMB30.6 billion ($4.5 billion) among these microfinance lending companie</w:t>
            </w:r>
            <w:r>
              <w:rPr>
                <w:rFonts w:eastAsia="Times New Roman"/>
                <w:sz w:val="20"/>
                <w:szCs w:val="20"/>
              </w:rPr>
              <w:t>s, respectively. The average registered and paid-up capital of these microfinance lending companies was RMB108.1 million ($15.7 million), RMB110.4 million ($16.1 million) and RMB111.3 million ($16.2 million), respectively, whereas our registered and paid-u</w:t>
            </w:r>
            <w:r>
              <w:rPr>
                <w:rFonts w:eastAsia="Times New Roman"/>
                <w:sz w:val="20"/>
                <w:szCs w:val="20"/>
              </w:rPr>
              <w:t>p capital was RMB450 million ($65.6 million). The average outstanding loan portfolio for these microfinance lending companies was RMB109.8 million ($16.0 million), RMB111.2 million ($16.2 million) and RMB107.7 million ($15.5 million), whereas our outstandi</w:t>
            </w:r>
            <w:r>
              <w:rPr>
                <w:rFonts w:eastAsia="Times New Roman"/>
                <w:sz w:val="20"/>
                <w:szCs w:val="20"/>
              </w:rPr>
              <w:t>ng loan portfolio was RMB615.2 million ($88.4 million) as of December 31, 2019. Based on the data, we believe we are in a stronger position than our competitors and there are opportunities to consolidate the market when the time is right. We believe that i</w:t>
            </w:r>
            <w:r>
              <w:rPr>
                <w:rFonts w:eastAsia="Times New Roman"/>
                <w:sz w:val="20"/>
                <w:szCs w:val="20"/>
              </w:rPr>
              <w:t>f we were able to consolidate it would enable us to achieve economies of scale, reduce our operation costs, and enter specific regional markets.</w:t>
            </w:r>
          </w:p>
        </w:tc>
      </w:tr>
      <w:tr w:rsidR="00000000" w14:paraId="28CDF31D" w14:textId="77777777">
        <w:trPr>
          <w:divId w:val="98525094"/>
          <w:trHeight w:val="225"/>
          <w:tblCellSpacing w:w="15" w:type="dxa"/>
        </w:trPr>
        <w:tc>
          <w:tcPr>
            <w:tcW w:w="0" w:type="auto"/>
            <w:vAlign w:val="center"/>
            <w:hideMark/>
          </w:tcPr>
          <w:p w14:paraId="7E106B44"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56F0015E"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5071621E"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5C6B7A95" w14:textId="77777777">
        <w:trPr>
          <w:divId w:val="98525094"/>
          <w:trHeight w:val="225"/>
          <w:tblCellSpacing w:w="15" w:type="dxa"/>
        </w:trPr>
        <w:tc>
          <w:tcPr>
            <w:tcW w:w="0" w:type="auto"/>
            <w:vAlign w:val="center"/>
            <w:hideMark/>
          </w:tcPr>
          <w:p w14:paraId="7FF46DAF"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5F20BDB8"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061B3276" w14:textId="77777777" w:rsidR="00000000" w:rsidRDefault="00EB4933">
            <w:pPr>
              <w:jc w:val="both"/>
              <w:rPr>
                <w:rFonts w:eastAsia="Times New Roman"/>
                <w:sz w:val="20"/>
                <w:szCs w:val="20"/>
              </w:rPr>
            </w:pPr>
            <w:r>
              <w:rPr>
                <w:rStyle w:val="Emphasis"/>
                <w:rFonts w:eastAsia="Times New Roman"/>
                <w:b/>
                <w:bCs/>
                <w:sz w:val="20"/>
                <w:szCs w:val="20"/>
              </w:rPr>
              <w:t>New Business Lines</w:t>
            </w:r>
            <w:r>
              <w:rPr>
                <w:rFonts w:eastAsia="Times New Roman"/>
                <w:sz w:val="20"/>
                <w:szCs w:val="20"/>
              </w:rPr>
              <w:t>: We have identified new growth opportunities in the supply chain financing busin</w:t>
            </w:r>
            <w:r>
              <w:rPr>
                <w:rFonts w:eastAsia="Times New Roman"/>
                <w:sz w:val="20"/>
                <w:szCs w:val="20"/>
              </w:rPr>
              <w:t>ess, especially in equipment leasing and factoring. We have assembled a team to conduct market research and feasibility studies in the fields of leasing and factoring. Our initial study suggests that there are substantial potential opportunities in the lig</w:t>
            </w:r>
            <w:r>
              <w:rPr>
                <w:rFonts w:eastAsia="Times New Roman"/>
                <w:sz w:val="20"/>
                <w:szCs w:val="20"/>
              </w:rPr>
              <w:t xml:space="preserve">ht truck leasing business in the area surrounding Wuhan. Historically, Wuhan has been the transportation center of China. Wuhan has also become the logistic center of China </w:t>
            </w:r>
            <w:r>
              <w:rPr>
                <w:rFonts w:eastAsia="Times New Roman"/>
                <w:sz w:val="20"/>
                <w:szCs w:val="20"/>
              </w:rPr>
              <w:lastRenderedPageBreak/>
              <w:t xml:space="preserve">because it is located in the heartland of China. As the city of Wuhan dramatically </w:t>
            </w:r>
            <w:r>
              <w:rPr>
                <w:rFonts w:eastAsia="Times New Roman"/>
                <w:sz w:val="20"/>
                <w:szCs w:val="20"/>
              </w:rPr>
              <w:t>improves its infrastructure, we believe there will be a growth in opportunity in the regional and national trucking business. We may acquire some existing light truck lease business after we finish our market study and obtain approval from our board. The n</w:t>
            </w:r>
            <w:r>
              <w:rPr>
                <w:rFonts w:eastAsia="Times New Roman"/>
                <w:sz w:val="20"/>
                <w:szCs w:val="20"/>
              </w:rPr>
              <w:t>ew business may become one of our major businesses in the future.</w:t>
            </w:r>
          </w:p>
        </w:tc>
      </w:tr>
    </w:tbl>
    <w:p w14:paraId="224A9C4B"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8CD7943" w14:textId="77777777">
        <w:trPr>
          <w:divId w:val="98525094"/>
          <w:trHeight w:val="225"/>
          <w:tblCellSpacing w:w="15" w:type="dxa"/>
        </w:trPr>
        <w:tc>
          <w:tcPr>
            <w:tcW w:w="0" w:type="auto"/>
            <w:vAlign w:val="center"/>
            <w:hideMark/>
          </w:tcPr>
          <w:p w14:paraId="235AADE2" w14:textId="77777777" w:rsidR="00000000" w:rsidRDefault="00EB4933">
            <w:pPr>
              <w:rPr>
                <w:rFonts w:eastAsia="Times New Roman"/>
                <w:sz w:val="20"/>
                <w:szCs w:val="20"/>
              </w:rPr>
            </w:pPr>
            <w:r>
              <w:rPr>
                <w:rFonts w:eastAsia="Times New Roman"/>
                <w:sz w:val="20"/>
                <w:szCs w:val="20"/>
              </w:rPr>
              <w:t> </w:t>
            </w:r>
          </w:p>
        </w:tc>
      </w:tr>
      <w:tr w:rsidR="00000000" w14:paraId="1D2191A6" w14:textId="77777777">
        <w:trPr>
          <w:divId w:val="98525094"/>
          <w:trHeight w:val="225"/>
          <w:tblCellSpacing w:w="15" w:type="dxa"/>
        </w:trPr>
        <w:tc>
          <w:tcPr>
            <w:tcW w:w="0" w:type="auto"/>
            <w:tcBorders>
              <w:bottom w:val="single" w:sz="6" w:space="0" w:color="000000"/>
            </w:tcBorders>
            <w:vAlign w:val="center"/>
            <w:hideMark/>
          </w:tcPr>
          <w:p w14:paraId="2DB1E817" w14:textId="77777777" w:rsidR="00000000" w:rsidRDefault="00EB4933">
            <w:pPr>
              <w:jc w:val="center"/>
              <w:rPr>
                <w:rFonts w:eastAsia="Times New Roman"/>
                <w:sz w:val="20"/>
                <w:szCs w:val="20"/>
              </w:rPr>
            </w:pPr>
            <w:r>
              <w:rPr>
                <w:rFonts w:eastAsia="Times New Roman"/>
                <w:sz w:val="20"/>
                <w:szCs w:val="20"/>
              </w:rPr>
              <w:t>44</w:t>
            </w:r>
          </w:p>
        </w:tc>
      </w:tr>
      <w:tr w:rsidR="00000000" w14:paraId="658EC1D9" w14:textId="77777777">
        <w:trPr>
          <w:divId w:val="98525094"/>
          <w:trHeight w:val="225"/>
          <w:tblCellSpacing w:w="15" w:type="dxa"/>
        </w:trPr>
        <w:tc>
          <w:tcPr>
            <w:tcW w:w="0" w:type="auto"/>
            <w:vAlign w:val="center"/>
            <w:hideMark/>
          </w:tcPr>
          <w:p w14:paraId="2BDD583C" w14:textId="77777777" w:rsidR="00000000" w:rsidRDefault="00EB4933">
            <w:pPr>
              <w:rPr>
                <w:rFonts w:eastAsia="Times New Roman"/>
                <w:sz w:val="20"/>
                <w:szCs w:val="20"/>
              </w:rPr>
            </w:pPr>
          </w:p>
        </w:tc>
      </w:tr>
      <w:tr w:rsidR="00000000" w14:paraId="5941CEF9" w14:textId="77777777">
        <w:trPr>
          <w:divId w:val="98525094"/>
          <w:trHeight w:val="225"/>
          <w:tblCellSpacing w:w="15" w:type="dxa"/>
        </w:trPr>
        <w:tc>
          <w:tcPr>
            <w:tcW w:w="0" w:type="auto"/>
            <w:vAlign w:val="center"/>
            <w:hideMark/>
          </w:tcPr>
          <w:p w14:paraId="30AF89AF" w14:textId="77777777" w:rsidR="00000000" w:rsidRDefault="00EB4933">
            <w:pPr>
              <w:rPr>
                <w:rFonts w:eastAsia="Times New Roman"/>
                <w:sz w:val="20"/>
                <w:szCs w:val="20"/>
              </w:rPr>
            </w:pPr>
            <w:hyperlink r:id="rId104" w:anchor="toc" w:history="1">
              <w:r>
                <w:rPr>
                  <w:rStyle w:val="Hyperlink"/>
                  <w:rFonts w:eastAsia="Times New Roman"/>
                  <w:i/>
                  <w:iCs/>
                  <w:sz w:val="20"/>
                  <w:szCs w:val="20"/>
                </w:rPr>
                <w:t>Table of Contents</w:t>
              </w:r>
            </w:hyperlink>
          </w:p>
        </w:tc>
      </w:tr>
    </w:tbl>
    <w:p w14:paraId="4CADFC79"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49BB9BE0" w14:textId="77777777" w:rsidR="00000000" w:rsidRDefault="00EB4933">
      <w:pPr>
        <w:pStyle w:val="NormalWeb"/>
        <w:spacing w:before="0" w:beforeAutospacing="0" w:after="0" w:afterAutospacing="0"/>
        <w:divId w:val="98525094"/>
        <w:rPr>
          <w:sz w:val="20"/>
          <w:szCs w:val="20"/>
        </w:rPr>
      </w:pPr>
      <w:r>
        <w:rPr>
          <w:rStyle w:val="Strong"/>
          <w:sz w:val="20"/>
          <w:szCs w:val="20"/>
        </w:rPr>
        <w:t>New Business Line</w:t>
      </w:r>
    </w:p>
    <w:p w14:paraId="3D57CC1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C3EA2BE"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developed our Supply Chain Finance Cloud Platform “HiTon” which is a technology-driven platform enabled by the big data analytics, cloud computing, AI, and mobile internet technologies. The platform is also built with a sophisticated risk management sys</w:t>
      </w:r>
      <w:r>
        <w:rPr>
          <w:sz w:val="20"/>
          <w:szCs w:val="20"/>
        </w:rPr>
        <w:t xml:space="preserve">tem, which includes automated customer selection, fraud detection, and credit scoring and assessment. </w:t>
      </w:r>
    </w:p>
    <w:p w14:paraId="39F638E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5F2B723"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May 2019, the release of the new mobile app and the launch of our Supply Chain Finance Cloud Platform demonstrated that we have evolved from our tra</w:t>
      </w:r>
      <w:r>
        <w:rPr>
          <w:sz w:val="20"/>
          <w:szCs w:val="20"/>
        </w:rPr>
        <w:t>ditional lending business into the O2O (Online to Offline) supply chain financial business that served as a new engine to drive future growth. Going forward, we will make continuous efforts to develop a variety of supply chain financial products, helping m</w:t>
      </w:r>
      <w:r>
        <w:rPr>
          <w:sz w:val="20"/>
          <w:szCs w:val="20"/>
        </w:rPr>
        <w:t>eet the increasing demand from both individuals and SMEs by offering more customized services, and expanding our network presence in the regional market.</w:t>
      </w:r>
    </w:p>
    <w:p w14:paraId="3B6887CA" w14:textId="77777777" w:rsidR="00000000" w:rsidRDefault="00EB4933">
      <w:pPr>
        <w:pStyle w:val="NormalWeb"/>
        <w:spacing w:before="0" w:beforeAutospacing="0" w:after="0" w:afterAutospacing="0"/>
        <w:ind w:firstLine="675"/>
        <w:jc w:val="both"/>
        <w:divId w:val="98525094"/>
        <w:rPr>
          <w:sz w:val="20"/>
          <w:szCs w:val="20"/>
        </w:rPr>
      </w:pPr>
      <w:r>
        <w:rPr>
          <w:rStyle w:val="Strong"/>
          <w:sz w:val="20"/>
          <w:szCs w:val="20"/>
        </w:rPr>
        <w:t> </w:t>
      </w:r>
    </w:p>
    <w:p w14:paraId="342E3490" w14:textId="77777777" w:rsidR="00000000" w:rsidRDefault="00EB4933">
      <w:pPr>
        <w:pStyle w:val="NormalWeb"/>
        <w:spacing w:before="0" w:beforeAutospacing="0" w:after="0" w:afterAutospacing="0"/>
        <w:jc w:val="both"/>
        <w:divId w:val="98525094"/>
        <w:rPr>
          <w:sz w:val="20"/>
          <w:szCs w:val="20"/>
        </w:rPr>
      </w:pPr>
      <w:r>
        <w:rPr>
          <w:rStyle w:val="Strong"/>
          <w:sz w:val="20"/>
          <w:szCs w:val="20"/>
        </w:rPr>
        <w:t>HiTon business line</w:t>
      </w:r>
    </w:p>
    <w:p w14:paraId="6BA34C88" w14:textId="77777777" w:rsidR="00000000" w:rsidRDefault="00EB4933">
      <w:pPr>
        <w:pStyle w:val="NormalWeb"/>
        <w:spacing w:before="0" w:beforeAutospacing="0" w:after="0" w:afterAutospacing="0"/>
        <w:ind w:firstLine="675"/>
        <w:jc w:val="both"/>
        <w:divId w:val="98525094"/>
        <w:rPr>
          <w:sz w:val="20"/>
          <w:szCs w:val="20"/>
        </w:rPr>
      </w:pPr>
      <w:r>
        <w:rPr>
          <w:rStyle w:val="Strong"/>
          <w:sz w:val="20"/>
          <w:szCs w:val="20"/>
        </w:rPr>
        <w:t> </w:t>
      </w:r>
    </w:p>
    <w:p w14:paraId="72BBDD89"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released our first mobile application “HiTon” in May 2019. “HiTon”, through</w:t>
      </w:r>
      <w:r>
        <w:rPr>
          <w:sz w:val="20"/>
          <w:szCs w:val="20"/>
        </w:rPr>
        <w:t xml:space="preserve"> our self-developed supply chain finance cloud platform, enables sellers to access credit for the sale of goods to buyer through logistics companies. We have spent more than one and a half years on exploring the business opportunity in this market and six </w:t>
      </w:r>
      <w:r>
        <w:rPr>
          <w:sz w:val="20"/>
          <w:szCs w:val="20"/>
        </w:rPr>
        <w:t>months on the research and development of our cloud-based platform. “HiTon” is designed to help sellers receive payment on the same day as the date of delivery by offering short-term credit support that greatly improves capital efficiency by shortening the</w:t>
      </w:r>
      <w:r>
        <w:rPr>
          <w:sz w:val="20"/>
          <w:szCs w:val="20"/>
        </w:rPr>
        <w:t xml:space="preserve"> accounts receivable period, which traditionally lasts for 7-15 days. By cooperating with us, the logistics company will be positioned to change from a pure-play logistics company into a comprehensive service provider by offering logistic, financial, and s</w:t>
      </w:r>
      <w:r>
        <w:rPr>
          <w:sz w:val="20"/>
          <w:szCs w:val="20"/>
        </w:rPr>
        <w:t xml:space="preserve">ettlement services. However, the launch was not successful due to significant liquidity issue faced by us, we are unable to continue to fund this business line. This business line was suspended in May 2019. </w:t>
      </w:r>
    </w:p>
    <w:p w14:paraId="2C2ED2C6" w14:textId="77777777" w:rsidR="00000000" w:rsidRDefault="00EB4933">
      <w:pPr>
        <w:pStyle w:val="NormalWeb"/>
        <w:spacing w:before="0" w:beforeAutospacing="0" w:after="0" w:afterAutospacing="0"/>
        <w:ind w:firstLine="675"/>
        <w:jc w:val="both"/>
        <w:divId w:val="98525094"/>
        <w:rPr>
          <w:sz w:val="20"/>
          <w:szCs w:val="20"/>
        </w:rPr>
      </w:pPr>
      <w:r>
        <w:rPr>
          <w:rStyle w:val="Strong"/>
          <w:sz w:val="20"/>
          <w:szCs w:val="20"/>
        </w:rPr>
        <w:t> </w:t>
      </w:r>
    </w:p>
    <w:p w14:paraId="1B58AF1A" w14:textId="77777777" w:rsidR="00000000" w:rsidRDefault="00EB4933">
      <w:pPr>
        <w:pStyle w:val="NormalWeb"/>
        <w:spacing w:before="0" w:beforeAutospacing="0" w:after="0" w:afterAutospacing="0"/>
        <w:jc w:val="both"/>
        <w:divId w:val="98525094"/>
        <w:rPr>
          <w:sz w:val="20"/>
          <w:szCs w:val="20"/>
        </w:rPr>
      </w:pPr>
      <w:r>
        <w:rPr>
          <w:rStyle w:val="Strong"/>
          <w:sz w:val="20"/>
          <w:szCs w:val="20"/>
        </w:rPr>
        <w:t>Employees</w:t>
      </w:r>
    </w:p>
    <w:p w14:paraId="344242A0" w14:textId="77777777" w:rsidR="00000000" w:rsidRDefault="00EB4933">
      <w:pPr>
        <w:pStyle w:val="NormalWeb"/>
        <w:spacing w:before="0" w:beforeAutospacing="0" w:after="0" w:afterAutospacing="0"/>
        <w:ind w:firstLine="675"/>
        <w:jc w:val="both"/>
        <w:divId w:val="98525094"/>
        <w:rPr>
          <w:sz w:val="20"/>
          <w:szCs w:val="20"/>
        </w:rPr>
      </w:pPr>
      <w:r>
        <w:rPr>
          <w:rStyle w:val="Strong"/>
          <w:sz w:val="20"/>
          <w:szCs w:val="20"/>
        </w:rPr>
        <w:t> </w:t>
      </w:r>
    </w:p>
    <w:p w14:paraId="6D02C738"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of December 31, 2019, we have 16 full-time employees. Chutian has entered into written employment contracts with all of the employees in accordance with PRC Labor Law and Contract Law. None of our employees is covered by collective bargaining contracts.</w:t>
      </w:r>
      <w:r>
        <w:rPr>
          <w:sz w:val="20"/>
          <w:szCs w:val="20"/>
        </w:rPr>
        <w:t xml:space="preserve"> We enter into standard labor, confidentiality and non-compete agreements with our employees. We believe that we maintain a good working relationship with our employees and we have not experienced any significant labor disputes or any difficulty in recruit</w:t>
      </w:r>
      <w:r>
        <w:rPr>
          <w:sz w:val="20"/>
          <w:szCs w:val="20"/>
        </w:rPr>
        <w:t>ing staff for our operations.</w:t>
      </w:r>
    </w:p>
    <w:p w14:paraId="1EA19A0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89F64A6"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required by PRC regulations, we participate in various government statutory social security plans, including a pension contribution plan, a medical insurance plan, an unemployment insurance plan, a work-related injury ins</w:t>
      </w:r>
      <w:r>
        <w:rPr>
          <w:sz w:val="20"/>
          <w:szCs w:val="20"/>
        </w:rPr>
        <w:t>urance plan, a maternity insurance plan and a housing provident fund. We are required under PRC law to contribute to social security plans at specified percentages of the salaries, bonuses and certain allowances of our employees up to a maximum amount spec</w:t>
      </w:r>
      <w:r>
        <w:rPr>
          <w:sz w:val="20"/>
          <w:szCs w:val="20"/>
        </w:rPr>
        <w:t xml:space="preserve">ified by the local government from time to time. </w:t>
      </w:r>
    </w:p>
    <w:p w14:paraId="55E5072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E511F24"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had 38, 34 and 16 employees as of December 31, 2017, 2018 and 2019, respectively. The following table sets forth by function the number of our employees as of December 31, 2019:</w:t>
      </w:r>
    </w:p>
    <w:p w14:paraId="19248118"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250" w:type="pct"/>
        <w:tblCellSpacing w:w="15" w:type="dxa"/>
        <w:tblCellMar>
          <w:left w:w="0" w:type="dxa"/>
          <w:right w:w="0" w:type="dxa"/>
        </w:tblCellMar>
        <w:tblLook w:val="04A0" w:firstRow="1" w:lastRow="0" w:firstColumn="1" w:lastColumn="0" w:noHBand="0" w:noVBand="1"/>
      </w:tblPr>
      <w:tblGrid>
        <w:gridCol w:w="6865"/>
        <w:gridCol w:w="89"/>
        <w:gridCol w:w="114"/>
        <w:gridCol w:w="783"/>
        <w:gridCol w:w="105"/>
      </w:tblGrid>
      <w:tr w:rsidR="00000000" w14:paraId="4325667F" w14:textId="77777777">
        <w:trPr>
          <w:divId w:val="98525094"/>
          <w:trHeight w:val="225"/>
          <w:tblCellSpacing w:w="15" w:type="dxa"/>
        </w:trPr>
        <w:tc>
          <w:tcPr>
            <w:tcW w:w="0" w:type="auto"/>
            <w:vAlign w:val="bottom"/>
            <w:hideMark/>
          </w:tcPr>
          <w:p w14:paraId="28794778" w14:textId="77777777" w:rsidR="00000000" w:rsidRDefault="00EB4933">
            <w:pPr>
              <w:pStyle w:val="NormalWeb"/>
              <w:spacing w:before="0" w:beforeAutospacing="0" w:after="0" w:afterAutospacing="0"/>
              <w:rPr>
                <w:sz w:val="20"/>
                <w:szCs w:val="20"/>
              </w:rPr>
            </w:pPr>
            <w:r>
              <w:rPr>
                <w:rStyle w:val="Strong"/>
                <w:sz w:val="20"/>
                <w:szCs w:val="20"/>
              </w:rPr>
              <w:lastRenderedPageBreak/>
              <w:t>Function</w:t>
            </w:r>
          </w:p>
        </w:tc>
        <w:tc>
          <w:tcPr>
            <w:tcW w:w="0" w:type="auto"/>
            <w:noWrap/>
            <w:vAlign w:val="center"/>
            <w:hideMark/>
          </w:tcPr>
          <w:p w14:paraId="4FB7809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4DCCEAF6" w14:textId="77777777" w:rsidR="00000000" w:rsidRDefault="00EB4933">
            <w:pPr>
              <w:pStyle w:val="NormalWeb"/>
              <w:spacing w:before="0" w:beforeAutospacing="0" w:after="0" w:afterAutospacing="0"/>
              <w:jc w:val="center"/>
              <w:rPr>
                <w:sz w:val="20"/>
                <w:szCs w:val="20"/>
              </w:rPr>
            </w:pPr>
            <w:r>
              <w:rPr>
                <w:rStyle w:val="Strong"/>
                <w:sz w:val="20"/>
                <w:szCs w:val="20"/>
              </w:rPr>
              <w:t xml:space="preserve">As of </w:t>
            </w:r>
            <w:r>
              <w:rPr>
                <w:b/>
                <w:bCs/>
                <w:sz w:val="20"/>
                <w:szCs w:val="20"/>
              </w:rPr>
              <w:br/>
            </w:r>
            <w:r>
              <w:rPr>
                <w:rStyle w:val="Strong"/>
                <w:sz w:val="20"/>
                <w:szCs w:val="20"/>
              </w:rPr>
              <w:t>Dec</w:t>
            </w:r>
            <w:r>
              <w:rPr>
                <w:rStyle w:val="Strong"/>
                <w:sz w:val="20"/>
                <w:szCs w:val="20"/>
              </w:rPr>
              <w:t xml:space="preserve">ember 31, </w:t>
            </w:r>
          </w:p>
          <w:p w14:paraId="495EAB7E"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4FE5EF97" w14:textId="77777777" w:rsidR="00000000" w:rsidRDefault="00EB4933">
            <w:pPr>
              <w:pStyle w:val="NormalWeb"/>
              <w:spacing w:before="0" w:beforeAutospacing="0" w:after="0" w:afterAutospacing="0"/>
              <w:rPr>
                <w:sz w:val="20"/>
                <w:szCs w:val="20"/>
              </w:rPr>
            </w:pPr>
            <w:r>
              <w:rPr>
                <w:sz w:val="20"/>
                <w:szCs w:val="20"/>
              </w:rPr>
              <w:t> </w:t>
            </w:r>
          </w:p>
        </w:tc>
      </w:tr>
      <w:tr w:rsidR="00000000" w14:paraId="62EC717E" w14:textId="77777777">
        <w:trPr>
          <w:divId w:val="98525094"/>
          <w:trHeight w:val="225"/>
          <w:tblCellSpacing w:w="15" w:type="dxa"/>
        </w:trPr>
        <w:tc>
          <w:tcPr>
            <w:tcW w:w="0" w:type="auto"/>
            <w:shd w:val="clear" w:color="auto" w:fill="CCEEFF"/>
            <w:hideMark/>
          </w:tcPr>
          <w:p w14:paraId="0CD9EC88" w14:textId="77777777" w:rsidR="00000000" w:rsidRDefault="00EB4933">
            <w:pPr>
              <w:pStyle w:val="NormalWeb"/>
              <w:spacing w:before="0" w:beforeAutospacing="0" w:after="0" w:afterAutospacing="0"/>
              <w:rPr>
                <w:sz w:val="20"/>
                <w:szCs w:val="20"/>
              </w:rPr>
            </w:pPr>
            <w:r>
              <w:rPr>
                <w:sz w:val="20"/>
                <w:szCs w:val="20"/>
              </w:rPr>
              <w:t>Operations</w:t>
            </w:r>
          </w:p>
        </w:tc>
        <w:tc>
          <w:tcPr>
            <w:tcW w:w="50" w:type="pct"/>
            <w:shd w:val="clear" w:color="auto" w:fill="CCEEFF"/>
            <w:noWrap/>
            <w:vAlign w:val="center"/>
            <w:hideMark/>
          </w:tcPr>
          <w:p w14:paraId="1F53E17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FC833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541D228" w14:textId="77777777" w:rsidR="00000000" w:rsidRDefault="00EB4933">
            <w:pPr>
              <w:jc w:val="right"/>
              <w:rPr>
                <w:rFonts w:eastAsia="Times New Roman"/>
                <w:sz w:val="20"/>
                <w:szCs w:val="20"/>
              </w:rPr>
            </w:pPr>
            <w:r>
              <w:rPr>
                <w:rFonts w:eastAsia="Times New Roman"/>
                <w:sz w:val="20"/>
                <w:szCs w:val="20"/>
              </w:rPr>
              <w:t>3</w:t>
            </w:r>
          </w:p>
        </w:tc>
        <w:tc>
          <w:tcPr>
            <w:tcW w:w="50" w:type="pct"/>
            <w:shd w:val="clear" w:color="auto" w:fill="CCEEFF"/>
            <w:noWrap/>
            <w:vAlign w:val="center"/>
            <w:hideMark/>
          </w:tcPr>
          <w:p w14:paraId="09281CFB" w14:textId="77777777" w:rsidR="00000000" w:rsidRDefault="00EB4933">
            <w:pPr>
              <w:pStyle w:val="NormalWeb"/>
              <w:spacing w:before="0" w:beforeAutospacing="0" w:after="0" w:afterAutospacing="0"/>
              <w:rPr>
                <w:sz w:val="20"/>
                <w:szCs w:val="20"/>
              </w:rPr>
            </w:pPr>
            <w:r>
              <w:rPr>
                <w:sz w:val="20"/>
                <w:szCs w:val="20"/>
              </w:rPr>
              <w:t> </w:t>
            </w:r>
          </w:p>
        </w:tc>
      </w:tr>
      <w:tr w:rsidR="00000000" w14:paraId="46EDADCF" w14:textId="77777777">
        <w:trPr>
          <w:divId w:val="98525094"/>
          <w:trHeight w:val="225"/>
          <w:tblCellSpacing w:w="15" w:type="dxa"/>
        </w:trPr>
        <w:tc>
          <w:tcPr>
            <w:tcW w:w="0" w:type="auto"/>
            <w:shd w:val="clear" w:color="auto" w:fill="FFFFFF"/>
            <w:hideMark/>
          </w:tcPr>
          <w:p w14:paraId="23CAE457" w14:textId="77777777" w:rsidR="00000000" w:rsidRDefault="00EB4933">
            <w:pPr>
              <w:pStyle w:val="NormalWeb"/>
              <w:spacing w:before="0" w:beforeAutospacing="0" w:after="0" w:afterAutospacing="0"/>
              <w:rPr>
                <w:sz w:val="20"/>
                <w:szCs w:val="20"/>
              </w:rPr>
            </w:pPr>
            <w:r>
              <w:rPr>
                <w:sz w:val="20"/>
                <w:szCs w:val="20"/>
              </w:rPr>
              <w:t>Loan Department</w:t>
            </w:r>
          </w:p>
        </w:tc>
        <w:tc>
          <w:tcPr>
            <w:tcW w:w="50" w:type="pct"/>
            <w:shd w:val="clear" w:color="auto" w:fill="FFFFFF"/>
            <w:noWrap/>
            <w:vAlign w:val="center"/>
            <w:hideMark/>
          </w:tcPr>
          <w:p w14:paraId="39A690D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1004B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F90B9B0" w14:textId="77777777" w:rsidR="00000000" w:rsidRDefault="00EB4933">
            <w:pPr>
              <w:jc w:val="right"/>
              <w:rPr>
                <w:rFonts w:eastAsia="Times New Roman"/>
                <w:sz w:val="20"/>
                <w:szCs w:val="20"/>
              </w:rPr>
            </w:pPr>
            <w:r>
              <w:rPr>
                <w:rFonts w:eastAsia="Times New Roman"/>
                <w:sz w:val="20"/>
                <w:szCs w:val="20"/>
              </w:rPr>
              <w:t>5</w:t>
            </w:r>
          </w:p>
        </w:tc>
        <w:tc>
          <w:tcPr>
            <w:tcW w:w="50" w:type="pct"/>
            <w:shd w:val="clear" w:color="auto" w:fill="FFFFFF"/>
            <w:noWrap/>
            <w:vAlign w:val="center"/>
            <w:hideMark/>
          </w:tcPr>
          <w:p w14:paraId="1E308868" w14:textId="77777777" w:rsidR="00000000" w:rsidRDefault="00EB4933">
            <w:pPr>
              <w:pStyle w:val="NormalWeb"/>
              <w:spacing w:before="0" w:beforeAutospacing="0" w:after="0" w:afterAutospacing="0"/>
              <w:rPr>
                <w:sz w:val="20"/>
                <w:szCs w:val="20"/>
              </w:rPr>
            </w:pPr>
            <w:r>
              <w:rPr>
                <w:sz w:val="20"/>
                <w:szCs w:val="20"/>
              </w:rPr>
              <w:t> </w:t>
            </w:r>
          </w:p>
        </w:tc>
      </w:tr>
      <w:tr w:rsidR="00000000" w14:paraId="4A9E7096" w14:textId="77777777">
        <w:trPr>
          <w:divId w:val="98525094"/>
          <w:trHeight w:val="225"/>
          <w:tblCellSpacing w:w="15" w:type="dxa"/>
        </w:trPr>
        <w:tc>
          <w:tcPr>
            <w:tcW w:w="0" w:type="auto"/>
            <w:shd w:val="clear" w:color="auto" w:fill="CCEEFF"/>
            <w:hideMark/>
          </w:tcPr>
          <w:p w14:paraId="2731C899" w14:textId="77777777" w:rsidR="00000000" w:rsidRDefault="00EB4933">
            <w:pPr>
              <w:pStyle w:val="NormalWeb"/>
              <w:spacing w:before="0" w:beforeAutospacing="0" w:after="0" w:afterAutospacing="0"/>
              <w:rPr>
                <w:sz w:val="20"/>
                <w:szCs w:val="20"/>
              </w:rPr>
            </w:pPr>
            <w:r>
              <w:rPr>
                <w:sz w:val="20"/>
                <w:szCs w:val="20"/>
              </w:rPr>
              <w:t>Risk Management</w:t>
            </w:r>
          </w:p>
        </w:tc>
        <w:tc>
          <w:tcPr>
            <w:tcW w:w="50" w:type="pct"/>
            <w:shd w:val="clear" w:color="auto" w:fill="CCEEFF"/>
            <w:noWrap/>
            <w:vAlign w:val="center"/>
            <w:hideMark/>
          </w:tcPr>
          <w:p w14:paraId="3BE96CB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FCD89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30CE09B" w14:textId="77777777" w:rsidR="00000000" w:rsidRDefault="00EB4933">
            <w:pPr>
              <w:jc w:val="right"/>
              <w:rPr>
                <w:rFonts w:eastAsia="Times New Roman"/>
                <w:sz w:val="20"/>
                <w:szCs w:val="20"/>
              </w:rPr>
            </w:pPr>
            <w:r>
              <w:rPr>
                <w:rFonts w:eastAsia="Times New Roman"/>
                <w:sz w:val="20"/>
                <w:szCs w:val="20"/>
              </w:rPr>
              <w:t>2</w:t>
            </w:r>
          </w:p>
        </w:tc>
        <w:tc>
          <w:tcPr>
            <w:tcW w:w="50" w:type="pct"/>
            <w:shd w:val="clear" w:color="auto" w:fill="CCEEFF"/>
            <w:noWrap/>
            <w:vAlign w:val="center"/>
            <w:hideMark/>
          </w:tcPr>
          <w:p w14:paraId="50118169" w14:textId="77777777" w:rsidR="00000000" w:rsidRDefault="00EB4933">
            <w:pPr>
              <w:pStyle w:val="NormalWeb"/>
              <w:spacing w:before="0" w:beforeAutospacing="0" w:after="0" w:afterAutospacing="0"/>
              <w:rPr>
                <w:sz w:val="20"/>
                <w:szCs w:val="20"/>
              </w:rPr>
            </w:pPr>
            <w:r>
              <w:rPr>
                <w:sz w:val="20"/>
                <w:szCs w:val="20"/>
              </w:rPr>
              <w:t> </w:t>
            </w:r>
          </w:p>
        </w:tc>
      </w:tr>
      <w:tr w:rsidR="00000000" w14:paraId="5D0CFE10" w14:textId="77777777">
        <w:trPr>
          <w:divId w:val="98525094"/>
          <w:trHeight w:val="225"/>
          <w:tblCellSpacing w:w="15" w:type="dxa"/>
        </w:trPr>
        <w:tc>
          <w:tcPr>
            <w:tcW w:w="0" w:type="auto"/>
            <w:shd w:val="clear" w:color="auto" w:fill="FFFFFF"/>
            <w:hideMark/>
          </w:tcPr>
          <w:p w14:paraId="3B52035C" w14:textId="77777777" w:rsidR="00000000" w:rsidRDefault="00EB4933">
            <w:pPr>
              <w:pStyle w:val="NormalWeb"/>
              <w:spacing w:before="0" w:beforeAutospacing="0" w:after="0" w:afterAutospacing="0"/>
              <w:rPr>
                <w:sz w:val="20"/>
                <w:szCs w:val="20"/>
              </w:rPr>
            </w:pPr>
            <w:r>
              <w:rPr>
                <w:sz w:val="20"/>
                <w:szCs w:val="20"/>
              </w:rPr>
              <w:t>Finance and Administration</w:t>
            </w:r>
          </w:p>
        </w:tc>
        <w:tc>
          <w:tcPr>
            <w:tcW w:w="50" w:type="pct"/>
            <w:shd w:val="clear" w:color="auto" w:fill="FFFFFF"/>
            <w:noWrap/>
            <w:vAlign w:val="center"/>
            <w:hideMark/>
          </w:tcPr>
          <w:p w14:paraId="5457A43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144540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558A69F" w14:textId="77777777" w:rsidR="00000000" w:rsidRDefault="00EB4933">
            <w:pPr>
              <w:jc w:val="right"/>
              <w:rPr>
                <w:rFonts w:eastAsia="Times New Roman"/>
                <w:sz w:val="20"/>
                <w:szCs w:val="20"/>
              </w:rPr>
            </w:pPr>
            <w:r>
              <w:rPr>
                <w:rFonts w:eastAsia="Times New Roman"/>
                <w:sz w:val="20"/>
                <w:szCs w:val="20"/>
              </w:rPr>
              <w:t>6</w:t>
            </w:r>
          </w:p>
        </w:tc>
        <w:tc>
          <w:tcPr>
            <w:tcW w:w="50" w:type="pct"/>
            <w:shd w:val="clear" w:color="auto" w:fill="FFFFFF"/>
            <w:noWrap/>
            <w:tcMar>
              <w:top w:w="0" w:type="dxa"/>
              <w:left w:w="0" w:type="dxa"/>
              <w:bottom w:w="15" w:type="dxa"/>
              <w:right w:w="0" w:type="dxa"/>
            </w:tcMar>
            <w:vAlign w:val="center"/>
            <w:hideMark/>
          </w:tcPr>
          <w:p w14:paraId="64FD1B4B" w14:textId="77777777" w:rsidR="00000000" w:rsidRDefault="00EB4933">
            <w:pPr>
              <w:pStyle w:val="NormalWeb"/>
              <w:spacing w:before="0" w:beforeAutospacing="0" w:after="0" w:afterAutospacing="0"/>
              <w:rPr>
                <w:sz w:val="20"/>
                <w:szCs w:val="20"/>
              </w:rPr>
            </w:pPr>
            <w:r>
              <w:rPr>
                <w:sz w:val="20"/>
                <w:szCs w:val="20"/>
              </w:rPr>
              <w:t> </w:t>
            </w:r>
          </w:p>
        </w:tc>
      </w:tr>
      <w:tr w:rsidR="00000000" w14:paraId="286591F9" w14:textId="77777777">
        <w:trPr>
          <w:divId w:val="98525094"/>
          <w:trHeight w:val="225"/>
          <w:tblCellSpacing w:w="15" w:type="dxa"/>
        </w:trPr>
        <w:tc>
          <w:tcPr>
            <w:tcW w:w="0" w:type="auto"/>
            <w:shd w:val="clear" w:color="auto" w:fill="CCEEFF"/>
            <w:hideMark/>
          </w:tcPr>
          <w:p w14:paraId="567B8247" w14:textId="77777777" w:rsidR="00000000" w:rsidRDefault="00EB4933">
            <w:pPr>
              <w:pStyle w:val="NormalWeb"/>
              <w:spacing w:before="0" w:beforeAutospacing="0" w:after="0" w:afterAutospacing="0"/>
              <w:rPr>
                <w:sz w:val="20"/>
                <w:szCs w:val="20"/>
              </w:rPr>
            </w:pPr>
            <w:r>
              <w:rPr>
                <w:sz w:val="20"/>
                <w:szCs w:val="20"/>
              </w:rPr>
              <w:t>Total</w:t>
            </w:r>
          </w:p>
        </w:tc>
        <w:tc>
          <w:tcPr>
            <w:tcW w:w="50" w:type="pct"/>
            <w:shd w:val="clear" w:color="auto" w:fill="CCEEFF"/>
            <w:noWrap/>
            <w:vAlign w:val="center"/>
            <w:hideMark/>
          </w:tcPr>
          <w:p w14:paraId="5B41CF2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6B52AE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F3C36BC" w14:textId="77777777" w:rsidR="00000000" w:rsidRDefault="00EB4933">
            <w:pPr>
              <w:jc w:val="right"/>
              <w:rPr>
                <w:rFonts w:eastAsia="Times New Roman"/>
                <w:sz w:val="20"/>
                <w:szCs w:val="20"/>
              </w:rPr>
            </w:pPr>
            <w:r>
              <w:rPr>
                <w:rFonts w:eastAsia="Times New Roman"/>
                <w:sz w:val="20"/>
                <w:szCs w:val="20"/>
              </w:rPr>
              <w:t>16</w:t>
            </w:r>
          </w:p>
        </w:tc>
        <w:tc>
          <w:tcPr>
            <w:tcW w:w="50" w:type="pct"/>
            <w:shd w:val="clear" w:color="auto" w:fill="CCEEFF"/>
            <w:noWrap/>
            <w:tcMar>
              <w:top w:w="0" w:type="dxa"/>
              <w:left w:w="0" w:type="dxa"/>
              <w:bottom w:w="15" w:type="dxa"/>
              <w:right w:w="0" w:type="dxa"/>
            </w:tcMar>
            <w:vAlign w:val="center"/>
            <w:hideMark/>
          </w:tcPr>
          <w:p w14:paraId="740CC16E" w14:textId="77777777" w:rsidR="00000000" w:rsidRDefault="00EB4933">
            <w:pPr>
              <w:pStyle w:val="NormalWeb"/>
              <w:spacing w:before="0" w:beforeAutospacing="0" w:after="0" w:afterAutospacing="0"/>
              <w:rPr>
                <w:sz w:val="20"/>
                <w:szCs w:val="20"/>
              </w:rPr>
            </w:pPr>
            <w:r>
              <w:rPr>
                <w:sz w:val="20"/>
                <w:szCs w:val="20"/>
              </w:rPr>
              <w:t> </w:t>
            </w:r>
          </w:p>
        </w:tc>
      </w:tr>
    </w:tbl>
    <w:p w14:paraId="5B9DBE6B"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7185FD8" w14:textId="77777777">
        <w:trPr>
          <w:divId w:val="98525094"/>
          <w:trHeight w:val="225"/>
          <w:tblCellSpacing w:w="15" w:type="dxa"/>
        </w:trPr>
        <w:tc>
          <w:tcPr>
            <w:tcW w:w="0" w:type="auto"/>
            <w:vAlign w:val="center"/>
            <w:hideMark/>
          </w:tcPr>
          <w:p w14:paraId="4D9EFB38" w14:textId="77777777" w:rsidR="00000000" w:rsidRDefault="00EB4933">
            <w:pPr>
              <w:rPr>
                <w:rFonts w:eastAsia="Times New Roman"/>
                <w:sz w:val="20"/>
                <w:szCs w:val="20"/>
              </w:rPr>
            </w:pPr>
            <w:r>
              <w:rPr>
                <w:rFonts w:eastAsia="Times New Roman"/>
                <w:sz w:val="20"/>
                <w:szCs w:val="20"/>
              </w:rPr>
              <w:t> </w:t>
            </w:r>
          </w:p>
        </w:tc>
      </w:tr>
      <w:tr w:rsidR="00000000" w14:paraId="04B9593E" w14:textId="77777777">
        <w:trPr>
          <w:divId w:val="98525094"/>
          <w:trHeight w:val="225"/>
          <w:tblCellSpacing w:w="15" w:type="dxa"/>
        </w:trPr>
        <w:tc>
          <w:tcPr>
            <w:tcW w:w="0" w:type="auto"/>
            <w:tcBorders>
              <w:bottom w:val="single" w:sz="6" w:space="0" w:color="000000"/>
            </w:tcBorders>
            <w:vAlign w:val="center"/>
            <w:hideMark/>
          </w:tcPr>
          <w:p w14:paraId="2D21CCC4" w14:textId="77777777" w:rsidR="00000000" w:rsidRDefault="00EB4933">
            <w:pPr>
              <w:jc w:val="center"/>
              <w:rPr>
                <w:rFonts w:eastAsia="Times New Roman"/>
                <w:sz w:val="20"/>
                <w:szCs w:val="20"/>
              </w:rPr>
            </w:pPr>
            <w:r>
              <w:rPr>
                <w:rFonts w:eastAsia="Times New Roman"/>
                <w:sz w:val="20"/>
                <w:szCs w:val="20"/>
              </w:rPr>
              <w:t>45</w:t>
            </w:r>
          </w:p>
        </w:tc>
      </w:tr>
      <w:tr w:rsidR="00000000" w14:paraId="28BD9B64" w14:textId="77777777">
        <w:trPr>
          <w:divId w:val="98525094"/>
          <w:trHeight w:val="225"/>
          <w:tblCellSpacing w:w="15" w:type="dxa"/>
        </w:trPr>
        <w:tc>
          <w:tcPr>
            <w:tcW w:w="0" w:type="auto"/>
            <w:vAlign w:val="center"/>
            <w:hideMark/>
          </w:tcPr>
          <w:p w14:paraId="55A1516D" w14:textId="77777777" w:rsidR="00000000" w:rsidRDefault="00EB4933">
            <w:pPr>
              <w:rPr>
                <w:rFonts w:eastAsia="Times New Roman"/>
                <w:sz w:val="20"/>
                <w:szCs w:val="20"/>
              </w:rPr>
            </w:pPr>
          </w:p>
        </w:tc>
      </w:tr>
      <w:tr w:rsidR="00000000" w14:paraId="2EE94658" w14:textId="77777777">
        <w:trPr>
          <w:divId w:val="98525094"/>
          <w:trHeight w:val="225"/>
          <w:tblCellSpacing w:w="15" w:type="dxa"/>
        </w:trPr>
        <w:tc>
          <w:tcPr>
            <w:tcW w:w="0" w:type="auto"/>
            <w:vAlign w:val="center"/>
            <w:hideMark/>
          </w:tcPr>
          <w:p w14:paraId="0CFF082C" w14:textId="77777777" w:rsidR="00000000" w:rsidRDefault="00EB4933">
            <w:pPr>
              <w:rPr>
                <w:rFonts w:eastAsia="Times New Roman"/>
                <w:sz w:val="20"/>
                <w:szCs w:val="20"/>
              </w:rPr>
            </w:pPr>
            <w:hyperlink r:id="rId105" w:anchor="toc" w:history="1">
              <w:r>
                <w:rPr>
                  <w:rStyle w:val="Hyperlink"/>
                  <w:rFonts w:eastAsia="Times New Roman"/>
                  <w:i/>
                  <w:iCs/>
                  <w:sz w:val="20"/>
                  <w:szCs w:val="20"/>
                </w:rPr>
                <w:t>Table of Contents</w:t>
              </w:r>
            </w:hyperlink>
          </w:p>
        </w:tc>
      </w:tr>
    </w:tbl>
    <w:p w14:paraId="463C66F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6464EF9"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Intellectual Property </w:t>
      </w:r>
    </w:p>
    <w:p w14:paraId="2250600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07FCD06"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of December 2019, we do not own or have any significant intellectual property rights other than registered domain names (www.hbctf.com and www.dunxin.us). The domain name, www.hbctf.com, was registered on July 19, 2013, and will</w:t>
      </w:r>
      <w:r>
        <w:rPr>
          <w:sz w:val="20"/>
          <w:szCs w:val="20"/>
        </w:rPr>
        <w:t xml:space="preserve"> expire on July 19, 2020. The domain name, www.dunxin.us, was registered on February 1, 2018, and will expire on February 1, 2021. The Company intends to renew upon expiration. The Company is not materially dependent on any intellectual property.</w:t>
      </w:r>
    </w:p>
    <w:p w14:paraId="41E91DA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72415B2" w14:textId="77777777" w:rsidR="00000000" w:rsidRDefault="00EB4933">
      <w:pPr>
        <w:pStyle w:val="NormalWeb"/>
        <w:spacing w:before="0" w:beforeAutospacing="0" w:after="0" w:afterAutospacing="0"/>
        <w:jc w:val="both"/>
        <w:divId w:val="98525094"/>
        <w:rPr>
          <w:sz w:val="20"/>
          <w:szCs w:val="20"/>
        </w:rPr>
      </w:pPr>
      <w:r>
        <w:rPr>
          <w:rStyle w:val="Strong"/>
          <w:sz w:val="20"/>
          <w:szCs w:val="20"/>
        </w:rPr>
        <w:t>Competi</w:t>
      </w:r>
      <w:r>
        <w:rPr>
          <w:rStyle w:val="Strong"/>
          <w:sz w:val="20"/>
          <w:szCs w:val="20"/>
        </w:rPr>
        <w:t xml:space="preserve">tion </w:t>
      </w:r>
    </w:p>
    <w:p w14:paraId="2E61142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5D4FB2E6"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Chutian primarily competes with other microfinance companies in the Hubei Province. On January 25, 2018 and 2019 and October 25, 2019, the PBOC published statistics, dated December 31, 2017 and 2018 and September 30, 2019, that a total of 283, 278 </w:t>
      </w:r>
      <w:r>
        <w:rPr>
          <w:sz w:val="20"/>
          <w:szCs w:val="20"/>
        </w:rPr>
        <w:t>and 275 microfinance lending companies were registered in Hubei Province and with the combined total registered and paid-up capital of RMB30.6 billion ($4.5 billion), RMB30.7 billion ($4.5 billion) and RMB30.6 billion ($4.5 billion) among these microfinanc</w:t>
      </w:r>
      <w:r>
        <w:rPr>
          <w:sz w:val="20"/>
          <w:szCs w:val="20"/>
        </w:rPr>
        <w:t>e lending companies, respectively. The average registered and paid-up capital of these microfinance lending companies was RMB108.1 million ($15.7 million), RMB110.4 million ($16.1 million) and RMB111.3 million ($16.2 million), respectively, whereas our reg</w:t>
      </w:r>
      <w:r>
        <w:rPr>
          <w:sz w:val="20"/>
          <w:szCs w:val="20"/>
        </w:rPr>
        <w:t>istered and paid-up capital was RMB450 million ($65.6 million). The average outstanding loan portfolio for these microfinance lending companies was RMB109.8 million ($16.0 million), RMB111.2 million ($16.2 million) and RMB107.7 million ($15.5 million), whe</w:t>
      </w:r>
      <w:r>
        <w:rPr>
          <w:sz w:val="20"/>
          <w:szCs w:val="20"/>
        </w:rPr>
        <w:t>reas our outstanding loan portfolio was RMB615.2 million ($88.4 million) as of December 31, 2019.</w:t>
      </w:r>
    </w:p>
    <w:p w14:paraId="558F165E"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F1168D1" w14:textId="77777777">
        <w:trPr>
          <w:divId w:val="98525094"/>
          <w:trHeight w:val="225"/>
          <w:tblCellSpacing w:w="15" w:type="dxa"/>
        </w:trPr>
        <w:tc>
          <w:tcPr>
            <w:tcW w:w="0" w:type="auto"/>
            <w:vAlign w:val="center"/>
            <w:hideMark/>
          </w:tcPr>
          <w:p w14:paraId="6D59F4CE" w14:textId="77777777" w:rsidR="00000000" w:rsidRDefault="00EB4933">
            <w:pPr>
              <w:rPr>
                <w:rFonts w:eastAsia="Times New Roman"/>
                <w:sz w:val="20"/>
                <w:szCs w:val="20"/>
              </w:rPr>
            </w:pPr>
            <w:r>
              <w:rPr>
                <w:rFonts w:eastAsia="Times New Roman"/>
                <w:sz w:val="20"/>
                <w:szCs w:val="20"/>
              </w:rPr>
              <w:t> </w:t>
            </w:r>
          </w:p>
        </w:tc>
      </w:tr>
      <w:tr w:rsidR="00000000" w14:paraId="6A86EBDD" w14:textId="77777777">
        <w:trPr>
          <w:divId w:val="98525094"/>
          <w:trHeight w:val="225"/>
          <w:tblCellSpacing w:w="15" w:type="dxa"/>
        </w:trPr>
        <w:tc>
          <w:tcPr>
            <w:tcW w:w="0" w:type="auto"/>
            <w:tcBorders>
              <w:bottom w:val="single" w:sz="6" w:space="0" w:color="000000"/>
            </w:tcBorders>
            <w:vAlign w:val="center"/>
            <w:hideMark/>
          </w:tcPr>
          <w:p w14:paraId="49EED5A5" w14:textId="77777777" w:rsidR="00000000" w:rsidRDefault="00EB4933">
            <w:pPr>
              <w:jc w:val="center"/>
              <w:rPr>
                <w:rFonts w:eastAsia="Times New Roman"/>
                <w:sz w:val="20"/>
                <w:szCs w:val="20"/>
              </w:rPr>
            </w:pPr>
            <w:r>
              <w:rPr>
                <w:rFonts w:eastAsia="Times New Roman"/>
                <w:sz w:val="20"/>
                <w:szCs w:val="20"/>
              </w:rPr>
              <w:t>46</w:t>
            </w:r>
          </w:p>
        </w:tc>
      </w:tr>
      <w:tr w:rsidR="00000000" w14:paraId="62FF2CEA" w14:textId="77777777">
        <w:trPr>
          <w:divId w:val="98525094"/>
          <w:trHeight w:val="225"/>
          <w:tblCellSpacing w:w="15" w:type="dxa"/>
        </w:trPr>
        <w:tc>
          <w:tcPr>
            <w:tcW w:w="0" w:type="auto"/>
            <w:vAlign w:val="center"/>
            <w:hideMark/>
          </w:tcPr>
          <w:p w14:paraId="55135DB8" w14:textId="77777777" w:rsidR="00000000" w:rsidRDefault="00EB4933">
            <w:pPr>
              <w:rPr>
                <w:rFonts w:eastAsia="Times New Roman"/>
                <w:sz w:val="20"/>
                <w:szCs w:val="20"/>
              </w:rPr>
            </w:pPr>
          </w:p>
        </w:tc>
      </w:tr>
      <w:tr w:rsidR="00000000" w14:paraId="0D3A8112" w14:textId="77777777">
        <w:trPr>
          <w:divId w:val="98525094"/>
          <w:trHeight w:val="225"/>
          <w:tblCellSpacing w:w="15" w:type="dxa"/>
        </w:trPr>
        <w:tc>
          <w:tcPr>
            <w:tcW w:w="0" w:type="auto"/>
            <w:vAlign w:val="center"/>
            <w:hideMark/>
          </w:tcPr>
          <w:p w14:paraId="726AFB60" w14:textId="77777777" w:rsidR="00000000" w:rsidRDefault="00EB4933">
            <w:pPr>
              <w:rPr>
                <w:rFonts w:eastAsia="Times New Roman"/>
                <w:sz w:val="20"/>
                <w:szCs w:val="20"/>
              </w:rPr>
            </w:pPr>
            <w:hyperlink r:id="rId106" w:anchor="toc" w:history="1">
              <w:r>
                <w:rPr>
                  <w:rStyle w:val="Hyperlink"/>
                  <w:rFonts w:eastAsia="Times New Roman"/>
                  <w:i/>
                  <w:iCs/>
                  <w:sz w:val="20"/>
                  <w:szCs w:val="20"/>
                </w:rPr>
                <w:t>Table of Contents</w:t>
              </w:r>
            </w:hyperlink>
          </w:p>
        </w:tc>
      </w:tr>
    </w:tbl>
    <w:p w14:paraId="1876584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F261D66"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GOVERNMENT REGULATIONS</w:t>
      </w:r>
    </w:p>
    <w:p w14:paraId="444297F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9CCA443" w14:textId="77777777" w:rsidR="00000000" w:rsidRDefault="00EB4933">
      <w:pPr>
        <w:pStyle w:val="NormalWeb"/>
        <w:spacing w:before="0" w:beforeAutospacing="0" w:after="0" w:afterAutospacing="0"/>
        <w:jc w:val="both"/>
        <w:divId w:val="98525094"/>
        <w:rPr>
          <w:sz w:val="20"/>
          <w:szCs w:val="20"/>
        </w:rPr>
      </w:pPr>
      <w:r>
        <w:rPr>
          <w:rStyle w:val="Strong"/>
          <w:sz w:val="20"/>
          <w:szCs w:val="20"/>
        </w:rPr>
        <w:t>Regulatory Authorities of the Microfinance Industry in China</w:t>
      </w:r>
    </w:p>
    <w:p w14:paraId="4AC68DC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E39292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Currently in China there is no nationwide administrative regulatory authority for the microfinance industry at the state level. According to the </w:t>
      </w:r>
      <w:r>
        <w:rPr>
          <w:rStyle w:val="Emphasis"/>
          <w:sz w:val="20"/>
          <w:szCs w:val="20"/>
        </w:rPr>
        <w:t>Guiding Opinions on the Pilot Operation of Micro</w:t>
      </w:r>
      <w:r>
        <w:rPr>
          <w:rStyle w:val="Emphasis"/>
          <w:sz w:val="20"/>
          <w:szCs w:val="20"/>
        </w:rPr>
        <w:t xml:space="preserve">finance Companies </w:t>
      </w:r>
      <w:r>
        <w:rPr>
          <w:sz w:val="20"/>
          <w:szCs w:val="20"/>
        </w:rPr>
        <w:t>(</w:t>
      </w:r>
      <w:r>
        <w:rPr>
          <w:rFonts w:ascii="MS Gothic" w:eastAsia="MS Gothic" w:hAnsi="MS Gothic" w:cs="MS Gothic" w:hint="eastAsia"/>
          <w:sz w:val="20"/>
          <w:szCs w:val="20"/>
        </w:rPr>
        <w:t>关于小</w:t>
      </w:r>
      <w:r>
        <w:rPr>
          <w:rFonts w:ascii="SimSun" w:eastAsia="SimSun" w:hAnsi="SimSun" w:cs="SimSun" w:hint="eastAsia"/>
          <w:sz w:val="20"/>
          <w:szCs w:val="20"/>
        </w:rPr>
        <w:t>额贷款公司试点的指导意见</w:t>
      </w:r>
      <w:r>
        <w:rPr>
          <w:sz w:val="20"/>
          <w:szCs w:val="20"/>
        </w:rPr>
        <w:t xml:space="preserve">), jointly issued by the CBRC and the PBOC, on May 4, 2008, any provincial government that is able to assign a department, financial office or other similar authorities to take charge of the supervision and administration </w:t>
      </w:r>
      <w:r>
        <w:rPr>
          <w:sz w:val="20"/>
          <w:szCs w:val="20"/>
        </w:rPr>
        <w:t>of microfinance companies and which is willing to assume the responsibility of risk management of microfinance companies may formulate pilot rules and measures in relation to the incorporation of microfinance companies within the province, autonomous regio</w:t>
      </w:r>
      <w:r>
        <w:rPr>
          <w:sz w:val="20"/>
          <w:szCs w:val="20"/>
        </w:rPr>
        <w:t>n or municipality directly under the PRC government.</w:t>
      </w:r>
    </w:p>
    <w:p w14:paraId="31EBFF8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5B5BEE5" w14:textId="77777777" w:rsidR="00000000" w:rsidRDefault="00EB4933">
      <w:pPr>
        <w:pStyle w:val="NormalWeb"/>
        <w:spacing w:before="0" w:beforeAutospacing="0" w:after="0" w:afterAutospacing="0"/>
        <w:jc w:val="both"/>
        <w:divId w:val="98525094"/>
        <w:rPr>
          <w:sz w:val="20"/>
          <w:szCs w:val="20"/>
        </w:rPr>
      </w:pPr>
      <w:r>
        <w:rPr>
          <w:rStyle w:val="Strong"/>
          <w:sz w:val="20"/>
          <w:szCs w:val="20"/>
        </w:rPr>
        <w:lastRenderedPageBreak/>
        <w:t>Local Regulatory Authority in Hubei Province, China</w:t>
      </w:r>
    </w:p>
    <w:p w14:paraId="6869388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7AA44A6" w14:textId="77777777" w:rsidR="00000000" w:rsidRDefault="00EB4933">
      <w:pPr>
        <w:pStyle w:val="NormalWeb"/>
        <w:spacing w:before="0" w:beforeAutospacing="0" w:after="0" w:afterAutospacing="0"/>
        <w:ind w:firstLine="675"/>
        <w:jc w:val="both"/>
        <w:divId w:val="98525094"/>
        <w:rPr>
          <w:sz w:val="20"/>
          <w:szCs w:val="20"/>
        </w:rPr>
      </w:pPr>
      <w:r>
        <w:rPr>
          <w:sz w:val="20"/>
          <w:szCs w:val="20"/>
        </w:rPr>
        <w:t>All provinces, autonomous regions, and municipalities directly under the PRC government must appoint their own regulatory authority for the microfinance industry. Currently, the microfinance industry in the PRC is primarily regulated by the financial offic</w:t>
      </w:r>
      <w:r>
        <w:rPr>
          <w:sz w:val="20"/>
          <w:szCs w:val="20"/>
        </w:rPr>
        <w:t>es or similar authority of the provincial government of the relevant provinces, autonomous regions and municipalities directly under the PRC government.</w:t>
      </w:r>
    </w:p>
    <w:p w14:paraId="4A18513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1F0C50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In Hubei Province, the Microfinance Work Joint Session and its office are the regulatory authorities </w:t>
      </w:r>
      <w:r>
        <w:rPr>
          <w:sz w:val="20"/>
          <w:szCs w:val="20"/>
        </w:rPr>
        <w:t xml:space="preserve">for microfinance companies in Hubei Province. Pursuant to the </w:t>
      </w:r>
      <w:r>
        <w:rPr>
          <w:rStyle w:val="Emphasis"/>
          <w:sz w:val="20"/>
          <w:szCs w:val="20"/>
        </w:rPr>
        <w:t>Measures for Administration of Pilot Scheme on Microfinance Companies in Hubei Province</w:t>
      </w:r>
      <w:r>
        <w:rPr>
          <w:sz w:val="20"/>
          <w:szCs w:val="20"/>
        </w:rPr>
        <w:t xml:space="preserve"> (</w:t>
      </w:r>
      <w:r>
        <w:rPr>
          <w:rFonts w:ascii="MS Mincho" w:eastAsia="MS Mincho" w:hAnsi="MS Mincho" w:cs="MS Mincho" w:hint="eastAsia"/>
          <w:sz w:val="20"/>
          <w:szCs w:val="20"/>
        </w:rPr>
        <w:t>《湖北省小</w:t>
      </w:r>
      <w:r>
        <w:rPr>
          <w:rFonts w:ascii="SimSun" w:eastAsia="SimSun" w:hAnsi="SimSun" w:cs="SimSun" w:hint="eastAsia"/>
          <w:sz w:val="20"/>
          <w:szCs w:val="20"/>
        </w:rPr>
        <w:t>额贷款公司试点暂行管理办法》</w:t>
      </w:r>
      <w:r>
        <w:rPr>
          <w:sz w:val="20"/>
          <w:szCs w:val="20"/>
        </w:rPr>
        <w:t>)issued on May 13, 2009, the Microfinance Work Joint Session is responsible for the or</w:t>
      </w:r>
      <w:r>
        <w:rPr>
          <w:sz w:val="20"/>
          <w:szCs w:val="20"/>
        </w:rPr>
        <w:t>ganization, coordination, administration, supervision, regulation, and the promotion of the pilot work of microfinance companies. The Microfinance Work Joint Session consists of the Financial Office of the Hubei Province People’s Government, Hubei Province</w:t>
      </w:r>
      <w:r>
        <w:rPr>
          <w:sz w:val="20"/>
          <w:szCs w:val="20"/>
        </w:rPr>
        <w:t xml:space="preserve"> Administration for Industry and Commerce, Hubei Bureaus of the CBRC, Hubei Branch of the PBOC and the Public Security of Hubei Province. </w:t>
      </w:r>
    </w:p>
    <w:p w14:paraId="2CC3AF21"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3326179" w14:textId="77777777">
        <w:trPr>
          <w:divId w:val="98525094"/>
          <w:trHeight w:val="225"/>
          <w:tblCellSpacing w:w="15" w:type="dxa"/>
        </w:trPr>
        <w:tc>
          <w:tcPr>
            <w:tcW w:w="0" w:type="auto"/>
            <w:vAlign w:val="center"/>
            <w:hideMark/>
          </w:tcPr>
          <w:p w14:paraId="6A225C0D" w14:textId="77777777" w:rsidR="00000000" w:rsidRDefault="00EB4933">
            <w:pPr>
              <w:rPr>
                <w:rFonts w:eastAsia="Times New Roman"/>
                <w:sz w:val="20"/>
                <w:szCs w:val="20"/>
              </w:rPr>
            </w:pPr>
            <w:r>
              <w:rPr>
                <w:rFonts w:eastAsia="Times New Roman"/>
                <w:sz w:val="20"/>
                <w:szCs w:val="20"/>
              </w:rPr>
              <w:t> </w:t>
            </w:r>
          </w:p>
        </w:tc>
      </w:tr>
      <w:tr w:rsidR="00000000" w14:paraId="61A31E3D" w14:textId="77777777">
        <w:trPr>
          <w:divId w:val="98525094"/>
          <w:trHeight w:val="225"/>
          <w:tblCellSpacing w:w="15" w:type="dxa"/>
        </w:trPr>
        <w:tc>
          <w:tcPr>
            <w:tcW w:w="0" w:type="auto"/>
            <w:tcBorders>
              <w:bottom w:val="single" w:sz="6" w:space="0" w:color="000000"/>
            </w:tcBorders>
            <w:vAlign w:val="center"/>
            <w:hideMark/>
          </w:tcPr>
          <w:p w14:paraId="7ED2375E" w14:textId="77777777" w:rsidR="00000000" w:rsidRDefault="00EB4933">
            <w:pPr>
              <w:jc w:val="center"/>
              <w:rPr>
                <w:rFonts w:eastAsia="Times New Roman"/>
                <w:sz w:val="20"/>
                <w:szCs w:val="20"/>
              </w:rPr>
            </w:pPr>
            <w:r>
              <w:rPr>
                <w:rFonts w:eastAsia="Times New Roman"/>
                <w:sz w:val="20"/>
                <w:szCs w:val="20"/>
              </w:rPr>
              <w:t>47</w:t>
            </w:r>
          </w:p>
        </w:tc>
      </w:tr>
      <w:tr w:rsidR="00000000" w14:paraId="2E24A39B" w14:textId="77777777">
        <w:trPr>
          <w:divId w:val="98525094"/>
          <w:trHeight w:val="225"/>
          <w:tblCellSpacing w:w="15" w:type="dxa"/>
        </w:trPr>
        <w:tc>
          <w:tcPr>
            <w:tcW w:w="0" w:type="auto"/>
            <w:vAlign w:val="center"/>
            <w:hideMark/>
          </w:tcPr>
          <w:p w14:paraId="49CBE533" w14:textId="77777777" w:rsidR="00000000" w:rsidRDefault="00EB4933">
            <w:pPr>
              <w:rPr>
                <w:rFonts w:eastAsia="Times New Roman"/>
                <w:sz w:val="20"/>
                <w:szCs w:val="20"/>
              </w:rPr>
            </w:pPr>
          </w:p>
        </w:tc>
      </w:tr>
      <w:tr w:rsidR="00000000" w14:paraId="320DB2D8" w14:textId="77777777">
        <w:trPr>
          <w:divId w:val="98525094"/>
          <w:trHeight w:val="225"/>
          <w:tblCellSpacing w:w="15" w:type="dxa"/>
        </w:trPr>
        <w:tc>
          <w:tcPr>
            <w:tcW w:w="0" w:type="auto"/>
            <w:vAlign w:val="center"/>
            <w:hideMark/>
          </w:tcPr>
          <w:p w14:paraId="4EA52F20" w14:textId="77777777" w:rsidR="00000000" w:rsidRDefault="00EB4933">
            <w:pPr>
              <w:rPr>
                <w:rFonts w:eastAsia="Times New Roman"/>
                <w:sz w:val="20"/>
                <w:szCs w:val="20"/>
              </w:rPr>
            </w:pPr>
            <w:hyperlink r:id="rId107" w:anchor="toc" w:history="1">
              <w:r>
                <w:rPr>
                  <w:rStyle w:val="Hyperlink"/>
                  <w:rFonts w:eastAsia="Times New Roman"/>
                  <w:i/>
                  <w:iCs/>
                  <w:sz w:val="20"/>
                  <w:szCs w:val="20"/>
                </w:rPr>
                <w:t>Table of Contents</w:t>
              </w:r>
            </w:hyperlink>
          </w:p>
        </w:tc>
      </w:tr>
    </w:tbl>
    <w:p w14:paraId="5292E89A"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68F23781" w14:textId="77777777" w:rsidR="00000000" w:rsidRDefault="00EB4933">
      <w:pPr>
        <w:pStyle w:val="NormalWeb"/>
        <w:spacing w:before="0" w:beforeAutospacing="0" w:after="0" w:afterAutospacing="0"/>
        <w:jc w:val="both"/>
        <w:divId w:val="98525094"/>
        <w:rPr>
          <w:sz w:val="20"/>
          <w:szCs w:val="20"/>
        </w:rPr>
      </w:pPr>
      <w:r>
        <w:rPr>
          <w:rStyle w:val="Strong"/>
          <w:sz w:val="20"/>
          <w:szCs w:val="20"/>
        </w:rPr>
        <w:t>Regulatory Policies of the Microfinance Compa</w:t>
      </w:r>
      <w:r>
        <w:rPr>
          <w:rStyle w:val="Strong"/>
          <w:sz w:val="20"/>
          <w:szCs w:val="20"/>
        </w:rPr>
        <w:t>nies in China</w:t>
      </w:r>
    </w:p>
    <w:p w14:paraId="2F484EB8"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4FC97048" w14:textId="77777777">
        <w:trPr>
          <w:divId w:val="98525094"/>
          <w:trHeight w:val="225"/>
          <w:tblCellSpacing w:w="15" w:type="dxa"/>
        </w:trPr>
        <w:tc>
          <w:tcPr>
            <w:tcW w:w="200" w:type="pct"/>
            <w:hideMark/>
          </w:tcPr>
          <w:p w14:paraId="0400B02E" w14:textId="77777777" w:rsidR="00000000" w:rsidRDefault="00EB4933">
            <w:pPr>
              <w:pStyle w:val="NormalWeb"/>
              <w:spacing w:before="0" w:beforeAutospacing="0" w:after="0" w:afterAutospacing="0"/>
              <w:rPr>
                <w:sz w:val="20"/>
                <w:szCs w:val="20"/>
              </w:rPr>
            </w:pPr>
            <w:r>
              <w:rPr>
                <w:rStyle w:val="Emphasis"/>
                <w:sz w:val="20"/>
                <w:szCs w:val="20"/>
              </w:rPr>
              <w:t xml:space="preserve">A. </w:t>
            </w:r>
          </w:p>
        </w:tc>
        <w:tc>
          <w:tcPr>
            <w:tcW w:w="0" w:type="auto"/>
            <w:hideMark/>
          </w:tcPr>
          <w:p w14:paraId="29738531" w14:textId="77777777" w:rsidR="00000000" w:rsidRDefault="00EB4933">
            <w:pPr>
              <w:rPr>
                <w:rFonts w:eastAsia="Times New Roman"/>
                <w:sz w:val="20"/>
                <w:szCs w:val="20"/>
              </w:rPr>
            </w:pPr>
            <w:r>
              <w:rPr>
                <w:rStyle w:val="Emphasis"/>
                <w:rFonts w:eastAsia="Times New Roman"/>
                <w:sz w:val="20"/>
                <w:szCs w:val="20"/>
              </w:rPr>
              <w:t>National Policy</w:t>
            </w:r>
          </w:p>
        </w:tc>
      </w:tr>
      <w:tr w:rsidR="00000000" w14:paraId="08502721" w14:textId="77777777">
        <w:trPr>
          <w:divId w:val="98525094"/>
          <w:trHeight w:val="225"/>
          <w:tblCellSpacing w:w="15" w:type="dxa"/>
        </w:trPr>
        <w:tc>
          <w:tcPr>
            <w:tcW w:w="0" w:type="auto"/>
            <w:vAlign w:val="center"/>
            <w:hideMark/>
          </w:tcPr>
          <w:p w14:paraId="7DE55EEE"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6377DC6D" w14:textId="77777777" w:rsidR="00000000" w:rsidRDefault="00EB4933">
            <w:pPr>
              <w:pStyle w:val="NormalWeb"/>
              <w:spacing w:before="0" w:beforeAutospacing="0" w:after="0" w:afterAutospacing="0"/>
              <w:rPr>
                <w:sz w:val="20"/>
                <w:szCs w:val="20"/>
              </w:rPr>
            </w:pPr>
            <w:r>
              <w:rPr>
                <w:sz w:val="20"/>
                <w:szCs w:val="20"/>
              </w:rPr>
              <w:t> </w:t>
            </w:r>
          </w:p>
        </w:tc>
      </w:tr>
      <w:tr w:rsidR="00000000" w14:paraId="74FE246B" w14:textId="77777777">
        <w:trPr>
          <w:divId w:val="98525094"/>
          <w:trHeight w:val="225"/>
          <w:tblCellSpacing w:w="15" w:type="dxa"/>
        </w:trPr>
        <w:tc>
          <w:tcPr>
            <w:tcW w:w="0" w:type="auto"/>
            <w:vAlign w:val="center"/>
            <w:hideMark/>
          </w:tcPr>
          <w:p w14:paraId="05F9D530"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5C744EC1" w14:textId="77777777" w:rsidR="00000000" w:rsidRDefault="00EB4933">
            <w:pPr>
              <w:pStyle w:val="NormalWeb"/>
              <w:spacing w:before="0" w:beforeAutospacing="0" w:after="0" w:afterAutospacing="0"/>
              <w:jc w:val="both"/>
              <w:rPr>
                <w:sz w:val="20"/>
                <w:szCs w:val="20"/>
              </w:rPr>
            </w:pPr>
            <w:r>
              <w:rPr>
                <w:sz w:val="20"/>
                <w:szCs w:val="20"/>
              </w:rPr>
              <w:t xml:space="preserve">Currently, there are no nationwide laws or regulations covering the microfinance industry in China. However, the </w:t>
            </w:r>
            <w:r>
              <w:rPr>
                <w:rStyle w:val="Emphasis"/>
                <w:sz w:val="20"/>
                <w:szCs w:val="20"/>
              </w:rPr>
              <w:t>Guiding Opinions on the Pilot Operation of Microfinance Companies</w:t>
            </w:r>
            <w:r>
              <w:rPr>
                <w:rStyle w:val="Emphasis"/>
                <w:rFonts w:ascii="MS Mincho" w:eastAsia="MS Mincho" w:hAnsi="MS Mincho" w:cs="MS Mincho" w:hint="eastAsia"/>
                <w:sz w:val="20"/>
                <w:szCs w:val="20"/>
              </w:rPr>
              <w:t>（《中国</w:t>
            </w:r>
            <w:r>
              <w:rPr>
                <w:rStyle w:val="Emphasis"/>
                <w:rFonts w:ascii="SimSun" w:eastAsia="SimSun" w:hAnsi="SimSun" w:cs="SimSun" w:hint="eastAsia"/>
                <w:sz w:val="20"/>
                <w:szCs w:val="20"/>
              </w:rPr>
              <w:t>银行业监督管理委员会、中国人民银行关于小额贷款公司试点的指导意见》（银监发〔</w:t>
            </w:r>
            <w:r>
              <w:rPr>
                <w:rStyle w:val="Emphasis"/>
                <w:sz w:val="20"/>
                <w:szCs w:val="20"/>
              </w:rPr>
              <w:t>2008</w:t>
            </w:r>
            <w:r>
              <w:rPr>
                <w:rStyle w:val="Emphasis"/>
                <w:rFonts w:ascii="Cambria Math" w:eastAsia="Cambria Math" w:hAnsi="Cambria Math" w:cs="Cambria Math" w:hint="eastAsia"/>
                <w:sz w:val="20"/>
                <w:szCs w:val="20"/>
              </w:rPr>
              <w:t>〕</w:t>
            </w:r>
            <w:r>
              <w:rPr>
                <w:rStyle w:val="Emphasis"/>
                <w:sz w:val="20"/>
                <w:szCs w:val="20"/>
              </w:rPr>
              <w:t>23</w:t>
            </w:r>
            <w:r>
              <w:rPr>
                <w:rStyle w:val="Emphasis"/>
                <w:rFonts w:ascii="MS Mincho" w:eastAsia="MS Mincho" w:hAnsi="MS Mincho" w:cs="MS Mincho" w:hint="eastAsia"/>
                <w:sz w:val="20"/>
                <w:szCs w:val="20"/>
              </w:rPr>
              <w:t>号））</w:t>
            </w:r>
            <w:r>
              <w:rPr>
                <w:sz w:val="20"/>
                <w:szCs w:val="20"/>
              </w:rPr>
              <w:t>provides the following gui</w:t>
            </w:r>
            <w:r>
              <w:rPr>
                <w:sz w:val="20"/>
                <w:szCs w:val="20"/>
              </w:rPr>
              <w:t>dance on pilot operations for microfinance companies:</w:t>
            </w:r>
          </w:p>
        </w:tc>
      </w:tr>
    </w:tbl>
    <w:p w14:paraId="54C802B3"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356ADE87" w14:textId="77777777">
        <w:trPr>
          <w:divId w:val="98525094"/>
          <w:trHeight w:val="225"/>
          <w:tblCellSpacing w:w="15" w:type="dxa"/>
        </w:trPr>
        <w:tc>
          <w:tcPr>
            <w:tcW w:w="200" w:type="pct"/>
            <w:vAlign w:val="center"/>
            <w:hideMark/>
          </w:tcPr>
          <w:p w14:paraId="181C612D"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13C8AE27"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14CDC77E" w14:textId="77777777" w:rsidR="00000000" w:rsidRDefault="00EB4933">
            <w:pPr>
              <w:jc w:val="both"/>
              <w:rPr>
                <w:rFonts w:eastAsia="Times New Roman"/>
                <w:sz w:val="20"/>
                <w:szCs w:val="20"/>
              </w:rPr>
            </w:pPr>
            <w:r>
              <w:rPr>
                <w:rFonts w:eastAsia="Times New Roman"/>
                <w:sz w:val="20"/>
                <w:szCs w:val="20"/>
              </w:rPr>
              <w:t>to establish a microfinance company, an applicant applies to the competent authority of the provincial government, and upon approval, must comply with registration formalities to obtain all neces</w:t>
            </w:r>
            <w:r>
              <w:rPr>
                <w:rFonts w:eastAsia="Times New Roman"/>
                <w:sz w:val="20"/>
                <w:szCs w:val="20"/>
              </w:rPr>
              <w:t>sary business licenses, approvals and certificates;</w:t>
            </w:r>
          </w:p>
        </w:tc>
      </w:tr>
      <w:tr w:rsidR="00000000" w14:paraId="4C5BC976" w14:textId="77777777">
        <w:trPr>
          <w:divId w:val="98525094"/>
          <w:trHeight w:val="225"/>
          <w:tblCellSpacing w:w="15" w:type="dxa"/>
        </w:trPr>
        <w:tc>
          <w:tcPr>
            <w:tcW w:w="0" w:type="auto"/>
            <w:vAlign w:val="center"/>
            <w:hideMark/>
          </w:tcPr>
          <w:p w14:paraId="5FE7ABE5"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55BA5BA3"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95A682F"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964E711" w14:textId="77777777">
        <w:trPr>
          <w:divId w:val="98525094"/>
          <w:trHeight w:val="225"/>
          <w:tblCellSpacing w:w="15" w:type="dxa"/>
        </w:trPr>
        <w:tc>
          <w:tcPr>
            <w:tcW w:w="0" w:type="auto"/>
            <w:vAlign w:val="center"/>
            <w:hideMark/>
          </w:tcPr>
          <w:p w14:paraId="784C8D67"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2BD9AAF2"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587FC993" w14:textId="77777777" w:rsidR="00000000" w:rsidRDefault="00EB4933">
            <w:pPr>
              <w:jc w:val="both"/>
              <w:rPr>
                <w:rFonts w:eastAsia="Times New Roman"/>
                <w:sz w:val="20"/>
                <w:szCs w:val="20"/>
              </w:rPr>
            </w:pPr>
            <w:r>
              <w:rPr>
                <w:rFonts w:eastAsia="Times New Roman"/>
                <w:sz w:val="20"/>
                <w:szCs w:val="20"/>
              </w:rPr>
              <w:t>if a microfinance company is a limited liability company, its registered and paid-up capital must be at least RMB5 million ($0.7 million); and if it is a joint stock company, its registered and paid-up capital must be at least RMB10 million ($1.5 million).</w:t>
            </w:r>
            <w:r>
              <w:rPr>
                <w:rFonts w:eastAsia="Times New Roman"/>
                <w:sz w:val="20"/>
                <w:szCs w:val="20"/>
              </w:rPr>
              <w:t xml:space="preserve"> No single natural person, legal entity, other social organization or their respective affiliated parties can hold in excess of 10% of the total registered capital of the company;</w:t>
            </w:r>
          </w:p>
        </w:tc>
      </w:tr>
      <w:tr w:rsidR="00000000" w14:paraId="14007A61" w14:textId="77777777">
        <w:trPr>
          <w:divId w:val="98525094"/>
          <w:trHeight w:val="225"/>
          <w:tblCellSpacing w:w="15" w:type="dxa"/>
        </w:trPr>
        <w:tc>
          <w:tcPr>
            <w:tcW w:w="0" w:type="auto"/>
            <w:vAlign w:val="center"/>
            <w:hideMark/>
          </w:tcPr>
          <w:p w14:paraId="6F0148C5"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1F51A65A"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1A679D0B"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24FC131" w14:textId="77777777">
        <w:trPr>
          <w:divId w:val="98525094"/>
          <w:trHeight w:val="225"/>
          <w:tblCellSpacing w:w="15" w:type="dxa"/>
        </w:trPr>
        <w:tc>
          <w:tcPr>
            <w:tcW w:w="0" w:type="auto"/>
            <w:vAlign w:val="center"/>
            <w:hideMark/>
          </w:tcPr>
          <w:p w14:paraId="7163845F"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11DA2601"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78F0A0A5" w14:textId="77777777" w:rsidR="00000000" w:rsidRDefault="00EB4933">
            <w:pPr>
              <w:jc w:val="both"/>
              <w:rPr>
                <w:rFonts w:eastAsia="Times New Roman"/>
                <w:sz w:val="20"/>
                <w:szCs w:val="20"/>
              </w:rPr>
            </w:pPr>
            <w:r>
              <w:rPr>
                <w:rFonts w:eastAsia="Times New Roman"/>
                <w:sz w:val="20"/>
                <w:szCs w:val="20"/>
              </w:rPr>
              <w:t>the funds of a microfinance company mainly come from the capital contribution and funds donated by shareholders as well as funds raised from, at most, two banking financial institutions. A microfinance company must accept public supervision and shall not e</w:t>
            </w:r>
            <w:r>
              <w:rPr>
                <w:rFonts w:eastAsia="Times New Roman"/>
                <w:sz w:val="20"/>
                <w:szCs w:val="20"/>
              </w:rPr>
              <w:t>ngage in any form of illegal fundraising;</w:t>
            </w:r>
          </w:p>
        </w:tc>
      </w:tr>
      <w:tr w:rsidR="00000000" w14:paraId="1ACAC470" w14:textId="77777777">
        <w:trPr>
          <w:divId w:val="98525094"/>
          <w:trHeight w:val="225"/>
          <w:tblCellSpacing w:w="15" w:type="dxa"/>
        </w:trPr>
        <w:tc>
          <w:tcPr>
            <w:tcW w:w="0" w:type="auto"/>
            <w:vAlign w:val="center"/>
            <w:hideMark/>
          </w:tcPr>
          <w:p w14:paraId="08B35A55"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639D2713"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1EF0E696"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97D5C9B" w14:textId="77777777">
        <w:trPr>
          <w:divId w:val="98525094"/>
          <w:trHeight w:val="225"/>
          <w:tblCellSpacing w:w="15" w:type="dxa"/>
        </w:trPr>
        <w:tc>
          <w:tcPr>
            <w:tcW w:w="0" w:type="auto"/>
            <w:vAlign w:val="center"/>
            <w:hideMark/>
          </w:tcPr>
          <w:p w14:paraId="6FDEBC26"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4EE4F83D"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41140E82" w14:textId="77777777" w:rsidR="00000000" w:rsidRDefault="00EB4933">
            <w:pPr>
              <w:jc w:val="both"/>
              <w:rPr>
                <w:rFonts w:eastAsia="Times New Roman"/>
                <w:sz w:val="20"/>
                <w:szCs w:val="20"/>
              </w:rPr>
            </w:pPr>
            <w:r>
              <w:rPr>
                <w:rFonts w:eastAsia="Times New Roman"/>
                <w:sz w:val="20"/>
                <w:szCs w:val="20"/>
              </w:rPr>
              <w:t>according to relevant laws and regulations, the funds obtained by a microfinance company from banking financial institutions may not exceed 50% of its net capital;</w:t>
            </w:r>
          </w:p>
        </w:tc>
      </w:tr>
      <w:tr w:rsidR="00000000" w14:paraId="092A305D" w14:textId="77777777">
        <w:trPr>
          <w:divId w:val="98525094"/>
          <w:trHeight w:val="225"/>
          <w:tblCellSpacing w:w="15" w:type="dxa"/>
        </w:trPr>
        <w:tc>
          <w:tcPr>
            <w:tcW w:w="0" w:type="auto"/>
            <w:vAlign w:val="center"/>
            <w:hideMark/>
          </w:tcPr>
          <w:p w14:paraId="195675CF"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24F25553"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7FC023CB"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58B9D38A" w14:textId="77777777">
        <w:trPr>
          <w:divId w:val="98525094"/>
          <w:trHeight w:val="225"/>
          <w:tblCellSpacing w:w="15" w:type="dxa"/>
        </w:trPr>
        <w:tc>
          <w:tcPr>
            <w:tcW w:w="0" w:type="auto"/>
            <w:vAlign w:val="center"/>
            <w:hideMark/>
          </w:tcPr>
          <w:p w14:paraId="328E1EF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11462ED7"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4C7FAA6C" w14:textId="77777777" w:rsidR="00000000" w:rsidRDefault="00EB4933">
            <w:pPr>
              <w:jc w:val="both"/>
              <w:rPr>
                <w:rFonts w:eastAsia="Times New Roman"/>
                <w:sz w:val="20"/>
                <w:szCs w:val="20"/>
              </w:rPr>
            </w:pPr>
            <w:r>
              <w:rPr>
                <w:rFonts w:eastAsia="Times New Roman"/>
                <w:sz w:val="20"/>
                <w:szCs w:val="20"/>
              </w:rPr>
              <w:t xml:space="preserve">Pursuant to Article 11 of the </w:t>
            </w:r>
            <w:r>
              <w:rPr>
                <w:rStyle w:val="Emphasis"/>
                <w:rFonts w:eastAsia="Times New Roman"/>
                <w:sz w:val="20"/>
                <w:szCs w:val="20"/>
              </w:rPr>
              <w:t>Work Guideline on the Pilot of Microfinance Companies in Hubei Province (</w:t>
            </w:r>
            <w:r>
              <w:rPr>
                <w:rStyle w:val="Emphasis"/>
                <w:rFonts w:ascii="MS Mincho" w:eastAsia="MS Mincho" w:hAnsi="MS Mincho" w:cs="MS Mincho" w:hint="eastAsia"/>
                <w:sz w:val="20"/>
                <w:szCs w:val="20"/>
              </w:rPr>
              <w:t>《湖北省小</w:t>
            </w:r>
            <w:r>
              <w:rPr>
                <w:rStyle w:val="Emphasis"/>
                <w:rFonts w:ascii="SimSun" w:eastAsia="SimSun" w:hAnsi="SimSun" w:cs="SimSun" w:hint="eastAsia"/>
                <w:sz w:val="20"/>
                <w:szCs w:val="20"/>
              </w:rPr>
              <w:t>额贷款公司试点工作指引》（鄂小贷联办发</w:t>
            </w:r>
            <w:r>
              <w:rPr>
                <w:rStyle w:val="Emphasis"/>
                <w:rFonts w:eastAsia="Times New Roman"/>
                <w:sz w:val="20"/>
                <w:szCs w:val="20"/>
              </w:rPr>
              <w:t>[2012]1</w:t>
            </w:r>
            <w:r>
              <w:rPr>
                <w:rStyle w:val="Emphasis"/>
                <w:rFonts w:ascii="MS Mincho" w:eastAsia="MS Mincho" w:hAnsi="MS Mincho" w:cs="MS Mincho" w:hint="eastAsia"/>
                <w:sz w:val="20"/>
                <w:szCs w:val="20"/>
              </w:rPr>
              <w:t>号）</w:t>
            </w:r>
            <w:r>
              <w:rPr>
                <w:rStyle w:val="Emphasis"/>
                <w:rFonts w:eastAsia="Times New Roman"/>
                <w:sz w:val="20"/>
                <w:szCs w:val="20"/>
              </w:rPr>
              <w:t>)</w:t>
            </w:r>
            <w:r>
              <w:rPr>
                <w:rFonts w:eastAsia="Times New Roman"/>
                <w:sz w:val="20"/>
                <w:szCs w:val="20"/>
              </w:rPr>
              <w:t xml:space="preserve"> issued by the General Office of Hubei People’s Government on April 19, 2012, a microfinance company can expand their f</w:t>
            </w:r>
            <w:r>
              <w:rPr>
                <w:rFonts w:eastAsia="Times New Roman"/>
                <w:sz w:val="20"/>
                <w:szCs w:val="20"/>
              </w:rPr>
              <w:t>inance percentage to the 100% of the net capital subject to the City(Provincial) Small-Sum Loan Joint Meeting’s recommendation and submission to the Province Small-Sum Loan Joint Meeting and with the approval of the said Province Small-Sum Loan Joint Meeti</w:t>
            </w:r>
            <w:r>
              <w:rPr>
                <w:rFonts w:eastAsia="Times New Roman"/>
                <w:sz w:val="20"/>
                <w:szCs w:val="20"/>
              </w:rPr>
              <w:t xml:space="preserve">ng. The legal person shareholders of the small-sum loan companies that are approved to expand their finance percentage by the Province Small-Sum Loan Joint </w:t>
            </w:r>
            <w:r>
              <w:rPr>
                <w:rFonts w:eastAsia="Times New Roman"/>
                <w:sz w:val="20"/>
                <w:szCs w:val="20"/>
              </w:rPr>
              <w:lastRenderedPageBreak/>
              <w:t>Meeting</w:t>
            </w:r>
            <w:r>
              <w:rPr>
                <w:rFonts w:ascii="MS Mincho" w:eastAsia="MS Mincho" w:hAnsi="MS Mincho" w:cs="MS Mincho" w:hint="eastAsia"/>
                <w:sz w:val="20"/>
                <w:szCs w:val="20"/>
              </w:rPr>
              <w:t>，</w:t>
            </w:r>
            <w:r>
              <w:rPr>
                <w:rFonts w:eastAsia="Times New Roman"/>
                <w:sz w:val="20"/>
                <w:szCs w:val="20"/>
              </w:rPr>
              <w:t>can provide finance to the amount of no more than 50% of the net capital to the small-sum lo</w:t>
            </w:r>
            <w:r>
              <w:rPr>
                <w:rFonts w:eastAsia="Times New Roman"/>
                <w:sz w:val="20"/>
                <w:szCs w:val="20"/>
              </w:rPr>
              <w:t>an companies.</w:t>
            </w:r>
          </w:p>
        </w:tc>
      </w:tr>
      <w:tr w:rsidR="00000000" w14:paraId="719C8EA5" w14:textId="77777777">
        <w:trPr>
          <w:divId w:val="98525094"/>
          <w:trHeight w:val="225"/>
          <w:tblCellSpacing w:w="15" w:type="dxa"/>
        </w:trPr>
        <w:tc>
          <w:tcPr>
            <w:tcW w:w="0" w:type="auto"/>
            <w:vAlign w:val="center"/>
            <w:hideMark/>
          </w:tcPr>
          <w:p w14:paraId="6BF53AF5" w14:textId="77777777" w:rsidR="00000000" w:rsidRDefault="00EB4933">
            <w:pPr>
              <w:pStyle w:val="NormalWeb"/>
              <w:spacing w:before="0" w:beforeAutospacing="0" w:after="0" w:afterAutospacing="0"/>
              <w:jc w:val="both"/>
              <w:rPr>
                <w:sz w:val="20"/>
                <w:szCs w:val="20"/>
              </w:rPr>
            </w:pPr>
            <w:r>
              <w:rPr>
                <w:sz w:val="20"/>
                <w:szCs w:val="20"/>
              </w:rPr>
              <w:lastRenderedPageBreak/>
              <w:t> </w:t>
            </w:r>
          </w:p>
        </w:tc>
        <w:tc>
          <w:tcPr>
            <w:tcW w:w="0" w:type="auto"/>
            <w:vAlign w:val="center"/>
            <w:hideMark/>
          </w:tcPr>
          <w:p w14:paraId="39E3C370"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71CD7208"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2B8382A4" w14:textId="77777777">
        <w:trPr>
          <w:divId w:val="98525094"/>
          <w:trHeight w:val="225"/>
          <w:tblCellSpacing w:w="15" w:type="dxa"/>
        </w:trPr>
        <w:tc>
          <w:tcPr>
            <w:tcW w:w="0" w:type="auto"/>
            <w:vAlign w:val="center"/>
            <w:hideMark/>
          </w:tcPr>
          <w:p w14:paraId="1E1945F5"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4A9D7EC7"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171569AB" w14:textId="77777777" w:rsidR="00000000" w:rsidRDefault="00EB4933">
            <w:pPr>
              <w:jc w:val="both"/>
              <w:rPr>
                <w:rFonts w:eastAsia="Times New Roman"/>
                <w:sz w:val="20"/>
                <w:szCs w:val="20"/>
              </w:rPr>
            </w:pPr>
            <w:r>
              <w:rPr>
                <w:rFonts w:eastAsia="Times New Roman"/>
                <w:sz w:val="20"/>
                <w:szCs w:val="20"/>
              </w:rPr>
              <w:t>the balance of loan of a single borrower may not exceed 5% of the net capital of a microfinance company;</w:t>
            </w:r>
          </w:p>
        </w:tc>
      </w:tr>
      <w:tr w:rsidR="00000000" w14:paraId="3C02EDED" w14:textId="77777777">
        <w:trPr>
          <w:divId w:val="98525094"/>
          <w:trHeight w:val="225"/>
          <w:tblCellSpacing w:w="15" w:type="dxa"/>
        </w:trPr>
        <w:tc>
          <w:tcPr>
            <w:tcW w:w="0" w:type="auto"/>
            <w:vAlign w:val="center"/>
            <w:hideMark/>
          </w:tcPr>
          <w:p w14:paraId="6F3785EC"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40199F5A"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20319D6"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6B24077" w14:textId="77777777">
        <w:trPr>
          <w:divId w:val="98525094"/>
          <w:trHeight w:val="225"/>
          <w:tblCellSpacing w:w="15" w:type="dxa"/>
        </w:trPr>
        <w:tc>
          <w:tcPr>
            <w:tcW w:w="0" w:type="auto"/>
            <w:vAlign w:val="center"/>
            <w:hideMark/>
          </w:tcPr>
          <w:p w14:paraId="576E6600"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414C0416"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1C45A406" w14:textId="77777777" w:rsidR="00000000" w:rsidRDefault="00EB4933">
            <w:pPr>
              <w:jc w:val="both"/>
              <w:rPr>
                <w:rFonts w:eastAsia="Times New Roman"/>
                <w:sz w:val="20"/>
                <w:szCs w:val="20"/>
              </w:rPr>
            </w:pPr>
            <w:r>
              <w:rPr>
                <w:rFonts w:eastAsia="Times New Roman"/>
                <w:sz w:val="20"/>
                <w:szCs w:val="20"/>
              </w:rPr>
              <w:t>a microfinance company must conduct its operations according to market-oriented principles and lift the ceiling o</w:t>
            </w:r>
            <w:r>
              <w:rPr>
                <w:rFonts w:eastAsia="Times New Roman"/>
                <w:sz w:val="20"/>
                <w:szCs w:val="20"/>
              </w:rPr>
              <w:t>n the loan interest rate, which may not exceed that set by judicial department, and set the floor at 0.9 times the PBC Benchmark Rate. The specific floating range must be determined by the microfinance company based on market-oriented principles;</w:t>
            </w:r>
          </w:p>
        </w:tc>
      </w:tr>
      <w:tr w:rsidR="00000000" w14:paraId="40DD5679" w14:textId="77777777">
        <w:trPr>
          <w:divId w:val="98525094"/>
          <w:trHeight w:val="225"/>
          <w:tblCellSpacing w:w="15" w:type="dxa"/>
        </w:trPr>
        <w:tc>
          <w:tcPr>
            <w:tcW w:w="0" w:type="auto"/>
            <w:vAlign w:val="center"/>
            <w:hideMark/>
          </w:tcPr>
          <w:p w14:paraId="6F5FD73D"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4AD14056"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589E02C6"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51C8A56" w14:textId="77777777">
        <w:trPr>
          <w:divId w:val="98525094"/>
          <w:trHeight w:val="225"/>
          <w:tblCellSpacing w:w="15" w:type="dxa"/>
        </w:trPr>
        <w:tc>
          <w:tcPr>
            <w:tcW w:w="0" w:type="auto"/>
            <w:vAlign w:val="center"/>
            <w:hideMark/>
          </w:tcPr>
          <w:p w14:paraId="064B330E"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0DF2646D"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27034FE3" w14:textId="77777777" w:rsidR="00000000" w:rsidRDefault="00EB4933">
            <w:pPr>
              <w:jc w:val="both"/>
              <w:rPr>
                <w:rFonts w:eastAsia="Times New Roman"/>
                <w:sz w:val="20"/>
                <w:szCs w:val="20"/>
              </w:rPr>
            </w:pPr>
            <w:r>
              <w:rPr>
                <w:rFonts w:eastAsia="Times New Roman"/>
                <w:sz w:val="20"/>
                <w:szCs w:val="20"/>
              </w:rPr>
              <w:t>no founder (being natural person, legal entities and other social organization) of the microfinance companies and no natural person (who is nominated as a director, supervisor or senior management of microfinance companies) shall have a criminal or bad</w:t>
            </w:r>
            <w:r>
              <w:rPr>
                <w:rFonts w:eastAsia="Times New Roman"/>
                <w:sz w:val="20"/>
                <w:szCs w:val="20"/>
              </w:rPr>
              <w:t xml:space="preserve"> credit record;</w:t>
            </w:r>
          </w:p>
        </w:tc>
      </w:tr>
      <w:tr w:rsidR="00000000" w14:paraId="436F1410" w14:textId="77777777">
        <w:trPr>
          <w:divId w:val="98525094"/>
          <w:trHeight w:val="225"/>
          <w:tblCellSpacing w:w="15" w:type="dxa"/>
        </w:trPr>
        <w:tc>
          <w:tcPr>
            <w:tcW w:w="0" w:type="auto"/>
            <w:vAlign w:val="center"/>
            <w:hideMark/>
          </w:tcPr>
          <w:p w14:paraId="72F3DB08"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1026C14A"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9D1DF44"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1BFA7B49" w14:textId="77777777">
        <w:trPr>
          <w:divId w:val="98525094"/>
          <w:trHeight w:val="225"/>
          <w:tblCellSpacing w:w="15" w:type="dxa"/>
        </w:trPr>
        <w:tc>
          <w:tcPr>
            <w:tcW w:w="0" w:type="auto"/>
            <w:vAlign w:val="center"/>
            <w:hideMark/>
          </w:tcPr>
          <w:p w14:paraId="176173EB"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10A8CA80"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366D58F5" w14:textId="77777777" w:rsidR="00000000" w:rsidRDefault="00EB4933">
            <w:pPr>
              <w:jc w:val="both"/>
              <w:rPr>
                <w:rFonts w:eastAsia="Times New Roman"/>
                <w:sz w:val="20"/>
                <w:szCs w:val="20"/>
              </w:rPr>
            </w:pPr>
            <w:r>
              <w:rPr>
                <w:rFonts w:eastAsia="Times New Roman"/>
                <w:sz w:val="20"/>
                <w:szCs w:val="20"/>
              </w:rPr>
              <w:t>a microfinance company shall, according to relevant provisions, set up prudent and normative asset classification and provision systems, accurately classify the assets, make full provision for allowance for doubtful accounts, an</w:t>
            </w:r>
            <w:r>
              <w:rPr>
                <w:rFonts w:eastAsia="Times New Roman"/>
                <w:sz w:val="20"/>
                <w:szCs w:val="20"/>
              </w:rPr>
              <w:t>d guarantee that its adequacy ratio of provision for asset losses always remains above 100% in order to fully cover all risks;</w:t>
            </w:r>
          </w:p>
        </w:tc>
      </w:tr>
    </w:tbl>
    <w:p w14:paraId="73584F8C"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20DF31F" w14:textId="77777777">
        <w:trPr>
          <w:divId w:val="98525094"/>
          <w:trHeight w:val="225"/>
          <w:tblCellSpacing w:w="15" w:type="dxa"/>
        </w:trPr>
        <w:tc>
          <w:tcPr>
            <w:tcW w:w="0" w:type="auto"/>
            <w:vAlign w:val="center"/>
            <w:hideMark/>
          </w:tcPr>
          <w:p w14:paraId="1DF09843" w14:textId="77777777" w:rsidR="00000000" w:rsidRDefault="00EB4933">
            <w:pPr>
              <w:rPr>
                <w:rFonts w:eastAsia="Times New Roman"/>
                <w:sz w:val="20"/>
                <w:szCs w:val="20"/>
              </w:rPr>
            </w:pPr>
            <w:r>
              <w:rPr>
                <w:rFonts w:eastAsia="Times New Roman"/>
                <w:sz w:val="20"/>
                <w:szCs w:val="20"/>
              </w:rPr>
              <w:t> </w:t>
            </w:r>
          </w:p>
        </w:tc>
      </w:tr>
      <w:tr w:rsidR="00000000" w14:paraId="6B4DF6E8" w14:textId="77777777">
        <w:trPr>
          <w:divId w:val="98525094"/>
          <w:trHeight w:val="225"/>
          <w:tblCellSpacing w:w="15" w:type="dxa"/>
        </w:trPr>
        <w:tc>
          <w:tcPr>
            <w:tcW w:w="0" w:type="auto"/>
            <w:tcBorders>
              <w:bottom w:val="single" w:sz="6" w:space="0" w:color="000000"/>
            </w:tcBorders>
            <w:vAlign w:val="center"/>
            <w:hideMark/>
          </w:tcPr>
          <w:p w14:paraId="5C34A941" w14:textId="77777777" w:rsidR="00000000" w:rsidRDefault="00EB4933">
            <w:pPr>
              <w:jc w:val="center"/>
              <w:rPr>
                <w:rFonts w:eastAsia="Times New Roman"/>
                <w:sz w:val="20"/>
                <w:szCs w:val="20"/>
              </w:rPr>
            </w:pPr>
            <w:r>
              <w:rPr>
                <w:rFonts w:eastAsia="Times New Roman"/>
                <w:sz w:val="20"/>
                <w:szCs w:val="20"/>
              </w:rPr>
              <w:t>48</w:t>
            </w:r>
          </w:p>
        </w:tc>
      </w:tr>
      <w:tr w:rsidR="00000000" w14:paraId="67A2CC0A" w14:textId="77777777">
        <w:trPr>
          <w:divId w:val="98525094"/>
          <w:trHeight w:val="225"/>
          <w:tblCellSpacing w:w="15" w:type="dxa"/>
        </w:trPr>
        <w:tc>
          <w:tcPr>
            <w:tcW w:w="0" w:type="auto"/>
            <w:vAlign w:val="center"/>
            <w:hideMark/>
          </w:tcPr>
          <w:p w14:paraId="29060962" w14:textId="77777777" w:rsidR="00000000" w:rsidRDefault="00EB4933">
            <w:pPr>
              <w:rPr>
                <w:rFonts w:eastAsia="Times New Roman"/>
                <w:sz w:val="20"/>
                <w:szCs w:val="20"/>
              </w:rPr>
            </w:pPr>
          </w:p>
        </w:tc>
      </w:tr>
      <w:tr w:rsidR="00000000" w14:paraId="5993D418" w14:textId="77777777">
        <w:trPr>
          <w:divId w:val="98525094"/>
          <w:trHeight w:val="225"/>
          <w:tblCellSpacing w:w="15" w:type="dxa"/>
        </w:trPr>
        <w:tc>
          <w:tcPr>
            <w:tcW w:w="0" w:type="auto"/>
            <w:vAlign w:val="center"/>
            <w:hideMark/>
          </w:tcPr>
          <w:p w14:paraId="6B7A9ADC" w14:textId="77777777" w:rsidR="00000000" w:rsidRDefault="00EB4933">
            <w:pPr>
              <w:rPr>
                <w:rFonts w:eastAsia="Times New Roman"/>
                <w:sz w:val="20"/>
                <w:szCs w:val="20"/>
              </w:rPr>
            </w:pPr>
            <w:hyperlink r:id="rId108" w:anchor="toc" w:history="1">
              <w:r>
                <w:rPr>
                  <w:rStyle w:val="Hyperlink"/>
                  <w:rFonts w:eastAsia="Times New Roman"/>
                  <w:i/>
                  <w:iCs/>
                  <w:sz w:val="20"/>
                  <w:szCs w:val="20"/>
                </w:rPr>
                <w:t>Table of Contents</w:t>
              </w:r>
            </w:hyperlink>
          </w:p>
        </w:tc>
      </w:tr>
    </w:tbl>
    <w:p w14:paraId="173C8565"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0E2B3582" w14:textId="77777777">
        <w:trPr>
          <w:divId w:val="98525094"/>
          <w:trHeight w:val="225"/>
          <w:tblCellSpacing w:w="15" w:type="dxa"/>
        </w:trPr>
        <w:tc>
          <w:tcPr>
            <w:tcW w:w="200" w:type="pct"/>
            <w:vAlign w:val="center"/>
            <w:hideMark/>
          </w:tcPr>
          <w:p w14:paraId="07D64405"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41FC1C81"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7FDE4C8A" w14:textId="77777777" w:rsidR="00000000" w:rsidRDefault="00EB4933">
            <w:pPr>
              <w:jc w:val="both"/>
              <w:rPr>
                <w:rFonts w:eastAsia="Times New Roman"/>
                <w:sz w:val="20"/>
                <w:szCs w:val="20"/>
              </w:rPr>
            </w:pPr>
            <w:r>
              <w:rPr>
                <w:rFonts w:eastAsia="Times New Roman"/>
                <w:sz w:val="20"/>
                <w:szCs w:val="20"/>
              </w:rPr>
              <w:t>the PBOC will trace and monitor the interest rates and capital flows of microfinance companies, and will include them in the credit system. The microfinance company shall regularly provide that credit system with information about the borrower, loan amount</w:t>
            </w:r>
            <w:r>
              <w:rPr>
                <w:rFonts w:eastAsia="Times New Roman"/>
                <w:sz w:val="20"/>
                <w:szCs w:val="20"/>
              </w:rPr>
              <w:t>, guarantee and repayment, and other business information; and</w:t>
            </w:r>
          </w:p>
        </w:tc>
      </w:tr>
      <w:tr w:rsidR="00000000" w14:paraId="72F70887" w14:textId="77777777">
        <w:trPr>
          <w:divId w:val="98525094"/>
          <w:trHeight w:val="225"/>
          <w:tblCellSpacing w:w="15" w:type="dxa"/>
        </w:trPr>
        <w:tc>
          <w:tcPr>
            <w:tcW w:w="0" w:type="auto"/>
            <w:vAlign w:val="center"/>
            <w:hideMark/>
          </w:tcPr>
          <w:p w14:paraId="2AB07AF1"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4F694AAA"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156230CE"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64579F87" w14:textId="77777777">
        <w:trPr>
          <w:divId w:val="98525094"/>
          <w:trHeight w:val="225"/>
          <w:tblCellSpacing w:w="15" w:type="dxa"/>
        </w:trPr>
        <w:tc>
          <w:tcPr>
            <w:tcW w:w="0" w:type="auto"/>
            <w:vAlign w:val="center"/>
            <w:hideMark/>
          </w:tcPr>
          <w:p w14:paraId="0A0F1E01"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00FEC2B1"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487FA7DD" w14:textId="77777777" w:rsidR="00000000" w:rsidRDefault="00EB4933">
            <w:pPr>
              <w:jc w:val="both"/>
              <w:rPr>
                <w:rFonts w:eastAsia="Times New Roman"/>
                <w:sz w:val="20"/>
                <w:szCs w:val="20"/>
              </w:rPr>
            </w:pPr>
            <w:r>
              <w:rPr>
                <w:rFonts w:eastAsia="Times New Roman"/>
                <w:sz w:val="14"/>
                <w:szCs w:val="14"/>
              </w:rPr>
              <w:t> </w:t>
            </w:r>
            <w:r>
              <w:rPr>
                <w:rFonts w:eastAsia="Times New Roman"/>
                <w:sz w:val="20"/>
                <w:szCs w:val="20"/>
              </w:rPr>
              <w:t>the microfinance company shall establish a sound corporate governance structure and credit management system and strengthen internal control.</w:t>
            </w:r>
          </w:p>
        </w:tc>
      </w:tr>
    </w:tbl>
    <w:p w14:paraId="108FE5F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B763275" w14:textId="77777777" w:rsidR="00000000" w:rsidRDefault="00EB4933">
      <w:pPr>
        <w:pStyle w:val="NormalWeb"/>
        <w:spacing w:before="0" w:beforeAutospacing="0" w:after="0" w:afterAutospacing="0"/>
        <w:ind w:firstLine="675"/>
        <w:jc w:val="both"/>
        <w:divId w:val="98525094"/>
        <w:rPr>
          <w:sz w:val="20"/>
          <w:szCs w:val="20"/>
        </w:rPr>
      </w:pPr>
      <w:r>
        <w:rPr>
          <w:sz w:val="20"/>
          <w:szCs w:val="20"/>
        </w:rPr>
        <w:t>Chutian did not meet the guide regarding the ownership limitation of 10%, since there were shareholders who res</w:t>
      </w:r>
      <w:r>
        <w:rPr>
          <w:sz w:val="20"/>
          <w:szCs w:val="20"/>
        </w:rPr>
        <w:t>pectively held 30% and 15% of the registered and paid-up capital of Chutian at the establishment of Chutian in February 2013. Currently there are shareholders who hold respectively 20% and 19.8% of the registered and paid-up capital of Chutian after the in</w:t>
      </w:r>
      <w:r>
        <w:rPr>
          <w:sz w:val="20"/>
          <w:szCs w:val="20"/>
        </w:rPr>
        <w:t>crease of Chutian’s registered and paid-up capital from RMB300 million ($43.6 million) to RMB450 million ($65.4 million) in December 2016. However, both the establishment and the increase of registered and paid-up capital of Chutian obtained the approval r</w:t>
      </w:r>
      <w:r>
        <w:rPr>
          <w:sz w:val="20"/>
          <w:szCs w:val="20"/>
        </w:rPr>
        <w:t>equired by the provincial authority, in accordance with the provincial local regulatory policies, namely Work Guideline on the Pilot of Microfinance Companies in Hubei Province (</w:t>
      </w:r>
      <w:r>
        <w:rPr>
          <w:rStyle w:val="Emphasis"/>
          <w:rFonts w:ascii="MS Mincho" w:eastAsia="MS Mincho" w:hAnsi="MS Mincho" w:cs="MS Mincho" w:hint="eastAsia"/>
          <w:sz w:val="20"/>
          <w:szCs w:val="20"/>
        </w:rPr>
        <w:t>《湖北省小</w:t>
      </w:r>
      <w:r>
        <w:rPr>
          <w:rStyle w:val="Emphasis"/>
          <w:rFonts w:ascii="SimSun" w:eastAsia="SimSun" w:hAnsi="SimSun" w:cs="SimSun" w:hint="eastAsia"/>
          <w:sz w:val="20"/>
          <w:szCs w:val="20"/>
        </w:rPr>
        <w:t>额贷款公司试点工作指引》（鄂小贷联办发</w:t>
      </w:r>
      <w:r>
        <w:rPr>
          <w:rStyle w:val="Emphasis"/>
          <w:sz w:val="20"/>
          <w:szCs w:val="20"/>
        </w:rPr>
        <w:t>[2012]1</w:t>
      </w:r>
      <w:r>
        <w:rPr>
          <w:rStyle w:val="Emphasis"/>
          <w:rFonts w:ascii="MS Mincho" w:eastAsia="MS Mincho" w:hAnsi="MS Mincho" w:cs="MS Mincho" w:hint="eastAsia"/>
          <w:sz w:val="20"/>
          <w:szCs w:val="20"/>
        </w:rPr>
        <w:t>号</w:t>
      </w:r>
      <w:r>
        <w:rPr>
          <w:rFonts w:ascii="MS Mincho" w:eastAsia="MS Mincho" w:hAnsi="MS Mincho" w:cs="MS Mincho" w:hint="eastAsia"/>
          <w:sz w:val="20"/>
          <w:szCs w:val="20"/>
        </w:rPr>
        <w:t>）</w:t>
      </w:r>
      <w:r>
        <w:rPr>
          <w:sz w:val="20"/>
          <w:szCs w:val="20"/>
        </w:rPr>
        <w:t>issued on April 19, 2012 (see below Local Reg</w:t>
      </w:r>
      <w:r>
        <w:rPr>
          <w:sz w:val="20"/>
          <w:szCs w:val="20"/>
        </w:rPr>
        <w:t>ulatory Policies in Hubei).</w:t>
      </w:r>
    </w:p>
    <w:p w14:paraId="007AAAC5"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CF5E935"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On October 26, 2017, the Administration of Taxation of the Ministry of Finance of the People’s Republic of China issued the </w:t>
      </w:r>
      <w:r>
        <w:rPr>
          <w:rStyle w:val="Emphasis"/>
          <w:sz w:val="20"/>
          <w:szCs w:val="20"/>
        </w:rPr>
        <w:t>Circular regarding the Tax Policy of Financing of Small and Micro Enterprises (</w:t>
      </w:r>
      <w:r>
        <w:rPr>
          <w:rStyle w:val="Emphasis"/>
          <w:rFonts w:ascii="MS Mincho" w:eastAsia="MS Mincho" w:hAnsi="MS Mincho" w:cs="MS Mincho" w:hint="eastAsia"/>
          <w:sz w:val="20"/>
          <w:szCs w:val="20"/>
        </w:rPr>
        <w:t>《</w:t>
      </w:r>
      <w:r>
        <w:rPr>
          <w:rStyle w:val="Emphasis"/>
          <w:rFonts w:ascii="MS Gothic" w:eastAsia="MS Gothic" w:hAnsi="MS Gothic" w:cs="MS Gothic" w:hint="eastAsia"/>
          <w:sz w:val="20"/>
          <w:szCs w:val="20"/>
        </w:rPr>
        <w:t>关于支持小微企</w:t>
      </w:r>
      <w:r>
        <w:rPr>
          <w:rStyle w:val="Emphasis"/>
          <w:rFonts w:ascii="SimSun" w:eastAsia="SimSun" w:hAnsi="SimSun" w:cs="SimSun" w:hint="eastAsia"/>
          <w:sz w:val="20"/>
          <w:szCs w:val="20"/>
        </w:rPr>
        <w:t>业融资有关税收政策的通知》</w:t>
      </w:r>
      <w:r>
        <w:rPr>
          <w:rStyle w:val="Emphasis"/>
          <w:sz w:val="20"/>
          <w:szCs w:val="20"/>
        </w:rPr>
        <w:t xml:space="preserve">) </w:t>
      </w:r>
      <w:r>
        <w:rPr>
          <w:rStyle w:val="Emphasis"/>
          <w:sz w:val="20"/>
          <w:szCs w:val="20"/>
        </w:rPr>
        <w:t>(</w:t>
      </w:r>
      <w:r>
        <w:rPr>
          <w:rStyle w:val="Emphasis"/>
          <w:rFonts w:ascii="SimSun" w:eastAsia="SimSun" w:hAnsi="SimSun" w:cs="SimSun" w:hint="eastAsia"/>
          <w:sz w:val="20"/>
          <w:szCs w:val="20"/>
        </w:rPr>
        <w:t>财税（</w:t>
      </w:r>
      <w:r>
        <w:rPr>
          <w:rStyle w:val="Emphasis"/>
          <w:sz w:val="20"/>
          <w:szCs w:val="20"/>
        </w:rPr>
        <w:t>2017</w:t>
      </w:r>
      <w:r>
        <w:rPr>
          <w:rStyle w:val="Emphasis"/>
          <w:rFonts w:ascii="MS Mincho" w:eastAsia="MS Mincho" w:hAnsi="MS Mincho" w:cs="MS Mincho" w:hint="eastAsia"/>
          <w:sz w:val="20"/>
          <w:szCs w:val="20"/>
        </w:rPr>
        <w:t>）</w:t>
      </w:r>
      <w:r>
        <w:rPr>
          <w:rStyle w:val="Emphasis"/>
          <w:sz w:val="20"/>
          <w:szCs w:val="20"/>
        </w:rPr>
        <w:t>77</w:t>
      </w:r>
      <w:r>
        <w:rPr>
          <w:rStyle w:val="Emphasis"/>
          <w:rFonts w:ascii="MS Mincho" w:eastAsia="MS Mincho" w:hAnsi="MS Mincho" w:cs="MS Mincho" w:hint="eastAsia"/>
          <w:sz w:val="20"/>
          <w:szCs w:val="20"/>
        </w:rPr>
        <w:t>号</w:t>
      </w:r>
      <w:r>
        <w:rPr>
          <w:rStyle w:val="Emphasis"/>
          <w:sz w:val="20"/>
          <w:szCs w:val="20"/>
        </w:rPr>
        <w:t>)</w:t>
      </w:r>
      <w:r>
        <w:rPr>
          <w:sz w:val="20"/>
          <w:szCs w:val="20"/>
        </w:rPr>
        <w:t xml:space="preserve">. This circular seeks to support agriculture-related and small-scaled businesses by giving certain tax incentives to financial institutions that lend to them. From December 1, 2017 to December 31, 2019, any interest income earned by financial </w:t>
      </w:r>
      <w:r>
        <w:rPr>
          <w:sz w:val="20"/>
          <w:szCs w:val="20"/>
        </w:rPr>
        <w:t>institutions from farmers, small businesses, micro-enterprises, and privately or individually-owned businesses, shall be exempt from value-added tax. In order to qualify for this exemption, financial institutions must separately calculate and report intere</w:t>
      </w:r>
      <w:r>
        <w:rPr>
          <w:sz w:val="20"/>
          <w:szCs w:val="20"/>
        </w:rPr>
        <w:t xml:space="preserve">st earned from the aforementioned borrowers. Any interest income that is not calculated or reported separately shall not be eligible for the value-added tax exemption. In addition, from January 1, 2018 to December 31, 2020, financial institutions shall be </w:t>
      </w:r>
      <w:r>
        <w:rPr>
          <w:sz w:val="20"/>
          <w:szCs w:val="20"/>
        </w:rPr>
        <w:t>exempt from paying stamp duty on loan agreements entered into with small businesses and micro-enterprises.</w:t>
      </w:r>
    </w:p>
    <w:p w14:paraId="0100857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C0C6113"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On November 21, 2017, the Office of Leading Group on Special Rectification of Risks in the Internet finance and Online Lending promulgated “the Not</w:t>
      </w:r>
      <w:r>
        <w:rPr>
          <w:sz w:val="20"/>
          <w:szCs w:val="20"/>
        </w:rPr>
        <w:t>ice to Immediately Suspend the Approval of Establishment of Online Microfinance Company” (</w:t>
      </w:r>
      <w:r>
        <w:rPr>
          <w:rFonts w:ascii="MS Mincho" w:eastAsia="MS Mincho" w:hAnsi="MS Mincho" w:cs="MS Mincho" w:hint="eastAsia"/>
          <w:sz w:val="20"/>
          <w:szCs w:val="20"/>
        </w:rPr>
        <w:t>互</w:t>
      </w:r>
      <w:r>
        <w:rPr>
          <w:rFonts w:ascii="SimSun" w:eastAsia="SimSun" w:hAnsi="SimSun" w:cs="SimSun" w:hint="eastAsia"/>
          <w:sz w:val="20"/>
          <w:szCs w:val="20"/>
        </w:rPr>
        <w:t>联网金融风险专项整治工作领导小组办公室文件</w:t>
      </w:r>
      <w:r>
        <w:rPr>
          <w:sz w:val="20"/>
          <w:szCs w:val="20"/>
        </w:rPr>
        <w:t>-</w:t>
      </w:r>
      <w:r>
        <w:rPr>
          <w:rFonts w:ascii="MS Mincho" w:eastAsia="MS Mincho" w:hAnsi="MS Mincho" w:cs="MS Mincho" w:hint="eastAsia"/>
          <w:sz w:val="20"/>
          <w:szCs w:val="20"/>
        </w:rPr>
        <w:t>整治</w:t>
      </w:r>
      <w:r>
        <w:rPr>
          <w:rFonts w:ascii="SimSun" w:eastAsia="SimSun" w:hAnsi="SimSun" w:cs="SimSun" w:hint="eastAsia"/>
          <w:sz w:val="20"/>
          <w:szCs w:val="20"/>
        </w:rPr>
        <w:t>办函【</w:t>
      </w:r>
      <w:r>
        <w:rPr>
          <w:sz w:val="20"/>
          <w:szCs w:val="20"/>
        </w:rPr>
        <w:t>2017</w:t>
      </w:r>
      <w:r>
        <w:rPr>
          <w:rFonts w:ascii="MS Mincho" w:eastAsia="MS Mincho" w:hAnsi="MS Mincho" w:cs="MS Mincho" w:hint="eastAsia"/>
          <w:sz w:val="20"/>
          <w:szCs w:val="20"/>
        </w:rPr>
        <w:t>】</w:t>
      </w:r>
      <w:r>
        <w:rPr>
          <w:sz w:val="20"/>
          <w:szCs w:val="20"/>
        </w:rPr>
        <w:t>138</w:t>
      </w:r>
      <w:r>
        <w:rPr>
          <w:rFonts w:ascii="MS Mincho" w:eastAsia="MS Mincho" w:hAnsi="MS Mincho" w:cs="MS Mincho" w:hint="eastAsia"/>
          <w:sz w:val="20"/>
          <w:szCs w:val="20"/>
        </w:rPr>
        <w:t>号</w:t>
      </w:r>
      <w:r>
        <w:rPr>
          <w:sz w:val="20"/>
          <w:szCs w:val="20"/>
        </w:rPr>
        <w:t>) (the Suspend Notice), according to which, regulatory authorities should not approve any of the establishment of new online micr</w:t>
      </w:r>
      <w:r>
        <w:rPr>
          <w:sz w:val="20"/>
          <w:szCs w:val="20"/>
        </w:rPr>
        <w:t xml:space="preserve">ofinance company, nor approve any license of cross-provinces (districts, cities) microfinance business to the existing microfinance companies, effective from the date of the Suspend Notice. </w:t>
      </w:r>
    </w:p>
    <w:p w14:paraId="51F4D6A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8DB3486" w14:textId="77777777" w:rsidR="00000000" w:rsidRDefault="00EB4933">
      <w:pPr>
        <w:pStyle w:val="NormalWeb"/>
        <w:spacing w:before="0" w:beforeAutospacing="0" w:after="0" w:afterAutospacing="0"/>
        <w:ind w:firstLine="675"/>
        <w:jc w:val="both"/>
        <w:divId w:val="98525094"/>
        <w:rPr>
          <w:sz w:val="20"/>
          <w:szCs w:val="20"/>
        </w:rPr>
      </w:pPr>
      <w:r>
        <w:rPr>
          <w:sz w:val="20"/>
          <w:szCs w:val="20"/>
        </w:rPr>
        <w:t>Currently, Chutian is not involved in any business of online le</w:t>
      </w:r>
      <w:r>
        <w:rPr>
          <w:sz w:val="20"/>
          <w:szCs w:val="20"/>
        </w:rPr>
        <w:t>nding and internet finance and is not involved in any cross-provinces microfinance business.</w:t>
      </w:r>
    </w:p>
    <w:p w14:paraId="4C7AB9DE"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4B972D7D" w14:textId="77777777">
        <w:trPr>
          <w:divId w:val="98525094"/>
          <w:trHeight w:val="225"/>
          <w:tblCellSpacing w:w="15" w:type="dxa"/>
        </w:trPr>
        <w:tc>
          <w:tcPr>
            <w:tcW w:w="200" w:type="pct"/>
            <w:hideMark/>
          </w:tcPr>
          <w:p w14:paraId="1B39548A" w14:textId="77777777" w:rsidR="00000000" w:rsidRDefault="00EB4933">
            <w:pPr>
              <w:pStyle w:val="NormalWeb"/>
              <w:spacing w:before="0" w:beforeAutospacing="0" w:after="0" w:afterAutospacing="0"/>
              <w:rPr>
                <w:sz w:val="20"/>
                <w:szCs w:val="20"/>
              </w:rPr>
            </w:pPr>
            <w:r>
              <w:rPr>
                <w:rStyle w:val="Emphasis"/>
                <w:sz w:val="20"/>
                <w:szCs w:val="20"/>
              </w:rPr>
              <w:t xml:space="preserve">B. </w:t>
            </w:r>
          </w:p>
        </w:tc>
        <w:tc>
          <w:tcPr>
            <w:tcW w:w="0" w:type="auto"/>
            <w:hideMark/>
          </w:tcPr>
          <w:p w14:paraId="016CF247" w14:textId="77777777" w:rsidR="00000000" w:rsidRDefault="00EB4933">
            <w:pPr>
              <w:rPr>
                <w:rFonts w:eastAsia="Times New Roman"/>
                <w:sz w:val="20"/>
                <w:szCs w:val="20"/>
              </w:rPr>
            </w:pPr>
            <w:r>
              <w:rPr>
                <w:rStyle w:val="Emphasis"/>
                <w:rFonts w:eastAsia="Times New Roman"/>
                <w:sz w:val="20"/>
                <w:szCs w:val="20"/>
              </w:rPr>
              <w:t>Local Regulatory Policies in Hubei</w:t>
            </w:r>
          </w:p>
        </w:tc>
      </w:tr>
    </w:tbl>
    <w:p w14:paraId="01B8E7E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DA49561" w14:textId="77777777" w:rsidR="00000000" w:rsidRDefault="00EB4933">
      <w:pPr>
        <w:pStyle w:val="NormalWeb"/>
        <w:spacing w:before="0" w:beforeAutospacing="0" w:after="0" w:afterAutospacing="0"/>
        <w:ind w:firstLine="675"/>
        <w:jc w:val="both"/>
        <w:divId w:val="98525094"/>
        <w:rPr>
          <w:sz w:val="20"/>
          <w:szCs w:val="20"/>
        </w:rPr>
      </w:pPr>
      <w:r>
        <w:rPr>
          <w:sz w:val="20"/>
          <w:szCs w:val="20"/>
        </w:rPr>
        <w:t>At present, pilot operations of microfinance companies are supervised and managed by authorized authorities at the provincial level. Provincial governments with a designated supervising authority for microfinance companies have promulgated various administ</w:t>
      </w:r>
      <w:r>
        <w:rPr>
          <w:sz w:val="20"/>
          <w:szCs w:val="20"/>
        </w:rPr>
        <w:t>ration measures to establish that the provincial government authorities (such as provincial-level finance bureaus) are responsible for the supervision and management of microfinance companies. These provincial governments also issued various regulatory pol</w:t>
      </w:r>
      <w:r>
        <w:rPr>
          <w:sz w:val="20"/>
          <w:szCs w:val="20"/>
        </w:rPr>
        <w:t>icies and measures for the purpose of supervising microfinance companies in their respective supervising regions.</w:t>
      </w:r>
    </w:p>
    <w:p w14:paraId="1E0380A3"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0D175E8" w14:textId="77777777">
        <w:trPr>
          <w:divId w:val="98525094"/>
          <w:trHeight w:val="225"/>
          <w:tblCellSpacing w:w="15" w:type="dxa"/>
        </w:trPr>
        <w:tc>
          <w:tcPr>
            <w:tcW w:w="0" w:type="auto"/>
            <w:vAlign w:val="center"/>
            <w:hideMark/>
          </w:tcPr>
          <w:p w14:paraId="076AA1E5" w14:textId="77777777" w:rsidR="00000000" w:rsidRDefault="00EB4933">
            <w:pPr>
              <w:rPr>
                <w:rFonts w:eastAsia="Times New Roman"/>
                <w:sz w:val="20"/>
                <w:szCs w:val="20"/>
              </w:rPr>
            </w:pPr>
            <w:r>
              <w:rPr>
                <w:rFonts w:eastAsia="Times New Roman"/>
                <w:sz w:val="20"/>
                <w:szCs w:val="20"/>
              </w:rPr>
              <w:t> </w:t>
            </w:r>
          </w:p>
        </w:tc>
      </w:tr>
      <w:tr w:rsidR="00000000" w14:paraId="3B74AA4D" w14:textId="77777777">
        <w:trPr>
          <w:divId w:val="98525094"/>
          <w:trHeight w:val="225"/>
          <w:tblCellSpacing w:w="15" w:type="dxa"/>
        </w:trPr>
        <w:tc>
          <w:tcPr>
            <w:tcW w:w="0" w:type="auto"/>
            <w:tcBorders>
              <w:bottom w:val="single" w:sz="6" w:space="0" w:color="000000"/>
            </w:tcBorders>
            <w:vAlign w:val="center"/>
            <w:hideMark/>
          </w:tcPr>
          <w:p w14:paraId="1EA50319" w14:textId="77777777" w:rsidR="00000000" w:rsidRDefault="00EB4933">
            <w:pPr>
              <w:jc w:val="center"/>
              <w:rPr>
                <w:rFonts w:eastAsia="Times New Roman"/>
                <w:sz w:val="20"/>
                <w:szCs w:val="20"/>
              </w:rPr>
            </w:pPr>
            <w:r>
              <w:rPr>
                <w:rFonts w:eastAsia="Times New Roman"/>
                <w:sz w:val="20"/>
                <w:szCs w:val="20"/>
              </w:rPr>
              <w:t>49</w:t>
            </w:r>
          </w:p>
        </w:tc>
      </w:tr>
      <w:tr w:rsidR="00000000" w14:paraId="38C6E35F" w14:textId="77777777">
        <w:trPr>
          <w:divId w:val="98525094"/>
          <w:trHeight w:val="225"/>
          <w:tblCellSpacing w:w="15" w:type="dxa"/>
        </w:trPr>
        <w:tc>
          <w:tcPr>
            <w:tcW w:w="0" w:type="auto"/>
            <w:vAlign w:val="center"/>
            <w:hideMark/>
          </w:tcPr>
          <w:p w14:paraId="05B62C1C" w14:textId="77777777" w:rsidR="00000000" w:rsidRDefault="00EB4933">
            <w:pPr>
              <w:rPr>
                <w:rFonts w:eastAsia="Times New Roman"/>
                <w:sz w:val="20"/>
                <w:szCs w:val="20"/>
              </w:rPr>
            </w:pPr>
          </w:p>
        </w:tc>
      </w:tr>
      <w:tr w:rsidR="00000000" w14:paraId="3FC0C9B2" w14:textId="77777777">
        <w:trPr>
          <w:divId w:val="98525094"/>
          <w:trHeight w:val="225"/>
          <w:tblCellSpacing w:w="15" w:type="dxa"/>
        </w:trPr>
        <w:tc>
          <w:tcPr>
            <w:tcW w:w="0" w:type="auto"/>
            <w:vAlign w:val="center"/>
            <w:hideMark/>
          </w:tcPr>
          <w:p w14:paraId="410D8C01" w14:textId="77777777" w:rsidR="00000000" w:rsidRDefault="00EB4933">
            <w:pPr>
              <w:rPr>
                <w:rFonts w:eastAsia="Times New Roman"/>
                <w:sz w:val="20"/>
                <w:szCs w:val="20"/>
              </w:rPr>
            </w:pPr>
            <w:hyperlink r:id="rId109" w:anchor="toc" w:history="1">
              <w:r>
                <w:rPr>
                  <w:rStyle w:val="Hyperlink"/>
                  <w:rFonts w:eastAsia="Times New Roman"/>
                  <w:i/>
                  <w:iCs/>
                  <w:sz w:val="20"/>
                  <w:szCs w:val="20"/>
                </w:rPr>
                <w:t>Table of Contents</w:t>
              </w:r>
            </w:hyperlink>
          </w:p>
        </w:tc>
      </w:tr>
    </w:tbl>
    <w:p w14:paraId="6206888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FAFAAB6" w14:textId="77777777" w:rsidR="00000000" w:rsidRDefault="00EB4933">
      <w:pPr>
        <w:pStyle w:val="NormalWeb"/>
        <w:spacing w:before="0" w:beforeAutospacing="0" w:after="0" w:afterAutospacing="0"/>
        <w:ind w:firstLine="675"/>
        <w:jc w:val="both"/>
        <w:divId w:val="98525094"/>
        <w:rPr>
          <w:sz w:val="20"/>
          <w:szCs w:val="20"/>
        </w:rPr>
      </w:pPr>
      <w:r>
        <w:rPr>
          <w:sz w:val="20"/>
          <w:szCs w:val="20"/>
        </w:rPr>
        <w:t>Given that our microfinance business is confined to the region of Hubei Province, the following is a brief summary of the relevant laws and regulations applicable in the Hubei Province covering the microfinance industries:</w:t>
      </w:r>
    </w:p>
    <w:p w14:paraId="0134C689"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1C4E3DE1" w14:textId="77777777">
        <w:trPr>
          <w:divId w:val="98525094"/>
          <w:trHeight w:val="225"/>
          <w:tblCellSpacing w:w="15" w:type="dxa"/>
        </w:trPr>
        <w:tc>
          <w:tcPr>
            <w:tcW w:w="200" w:type="pct"/>
            <w:vAlign w:val="center"/>
            <w:hideMark/>
          </w:tcPr>
          <w:p w14:paraId="60B13502"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094B7342"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2E916EA3" w14:textId="77777777" w:rsidR="00000000" w:rsidRDefault="00EB4933">
            <w:pPr>
              <w:jc w:val="both"/>
              <w:rPr>
                <w:rFonts w:eastAsia="Times New Roman"/>
                <w:sz w:val="20"/>
                <w:szCs w:val="20"/>
              </w:rPr>
            </w:pPr>
            <w:r>
              <w:rPr>
                <w:rStyle w:val="Emphasis"/>
                <w:rFonts w:eastAsia="Times New Roman"/>
                <w:sz w:val="20"/>
                <w:szCs w:val="20"/>
              </w:rPr>
              <w:t>Implement Opinions on the P</w:t>
            </w:r>
            <w:r>
              <w:rPr>
                <w:rStyle w:val="Emphasis"/>
                <w:rFonts w:eastAsia="Times New Roman"/>
                <w:sz w:val="20"/>
                <w:szCs w:val="20"/>
              </w:rPr>
              <w:t xml:space="preserve">ilot Operation of Microfinance Companies in Hubei Province </w:t>
            </w:r>
            <w:r>
              <w:rPr>
                <w:rFonts w:eastAsia="Times New Roman"/>
                <w:sz w:val="20"/>
                <w:szCs w:val="20"/>
              </w:rPr>
              <w:t>(</w:t>
            </w:r>
            <w:r>
              <w:rPr>
                <w:rStyle w:val="Emphasis"/>
                <w:rFonts w:ascii="MS Mincho" w:eastAsia="MS Mincho" w:hAnsi="MS Mincho" w:cs="MS Mincho" w:hint="eastAsia"/>
                <w:sz w:val="20"/>
                <w:szCs w:val="20"/>
              </w:rPr>
              <w:t>《湖北省人民政府</w:t>
            </w:r>
            <w:r>
              <w:rPr>
                <w:rStyle w:val="Emphasis"/>
                <w:rFonts w:ascii="SimSun" w:eastAsia="SimSun" w:hAnsi="SimSun" w:cs="SimSun" w:hint="eastAsia"/>
                <w:sz w:val="20"/>
                <w:szCs w:val="20"/>
              </w:rPr>
              <w:t>办公厅关于小额贷款公司试点工作的实施意见（鄂政办发</w:t>
            </w:r>
            <w:r>
              <w:rPr>
                <w:rStyle w:val="Emphasis"/>
                <w:rFonts w:eastAsia="Times New Roman"/>
                <w:sz w:val="20"/>
                <w:szCs w:val="20"/>
              </w:rPr>
              <w:t>[2008]61</w:t>
            </w:r>
            <w:r>
              <w:rPr>
                <w:rStyle w:val="Emphasis"/>
                <w:rFonts w:ascii="MS Mincho" w:eastAsia="MS Mincho" w:hAnsi="MS Mincho" w:cs="MS Mincho" w:hint="eastAsia"/>
                <w:sz w:val="20"/>
                <w:szCs w:val="20"/>
              </w:rPr>
              <w:t>号）</w:t>
            </w:r>
            <w:r>
              <w:rPr>
                <w:rFonts w:eastAsia="Times New Roman"/>
                <w:sz w:val="20"/>
                <w:szCs w:val="20"/>
              </w:rPr>
              <w:t>) issued by the General Office of the Hubei Province People’s Government on September 10, 2008.</w:t>
            </w:r>
          </w:p>
        </w:tc>
      </w:tr>
      <w:tr w:rsidR="00000000" w14:paraId="786E15A6" w14:textId="77777777">
        <w:trPr>
          <w:divId w:val="98525094"/>
          <w:trHeight w:val="225"/>
          <w:tblCellSpacing w:w="15" w:type="dxa"/>
        </w:trPr>
        <w:tc>
          <w:tcPr>
            <w:tcW w:w="0" w:type="auto"/>
            <w:vAlign w:val="center"/>
            <w:hideMark/>
          </w:tcPr>
          <w:p w14:paraId="00A8B257"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62CE5FA9"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2238CF1B"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94C653F" w14:textId="77777777">
        <w:trPr>
          <w:divId w:val="98525094"/>
          <w:trHeight w:val="225"/>
          <w:tblCellSpacing w:w="15" w:type="dxa"/>
        </w:trPr>
        <w:tc>
          <w:tcPr>
            <w:tcW w:w="0" w:type="auto"/>
            <w:vAlign w:val="center"/>
            <w:hideMark/>
          </w:tcPr>
          <w:p w14:paraId="32416F27"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1351E9BC"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48809E79" w14:textId="77777777" w:rsidR="00000000" w:rsidRDefault="00EB4933">
            <w:pPr>
              <w:jc w:val="both"/>
              <w:rPr>
                <w:rFonts w:eastAsia="Times New Roman"/>
                <w:sz w:val="20"/>
                <w:szCs w:val="20"/>
              </w:rPr>
            </w:pPr>
            <w:r>
              <w:rPr>
                <w:rStyle w:val="Emphasis"/>
                <w:rFonts w:eastAsia="Times New Roman"/>
                <w:sz w:val="20"/>
                <w:szCs w:val="20"/>
              </w:rPr>
              <w:t>Measures for Administration of Pilot Scheme on Microfinance Companies in Hubei Province</w:t>
            </w:r>
            <w:r>
              <w:rPr>
                <w:rStyle w:val="Emphasis"/>
                <w:rFonts w:ascii="MS Mincho" w:eastAsia="MS Mincho" w:hAnsi="MS Mincho" w:cs="MS Mincho" w:hint="eastAsia"/>
                <w:sz w:val="20"/>
                <w:szCs w:val="20"/>
              </w:rPr>
              <w:t>《湖北省小</w:t>
            </w:r>
            <w:r>
              <w:rPr>
                <w:rStyle w:val="Emphasis"/>
                <w:rFonts w:ascii="SimSun" w:eastAsia="SimSun" w:hAnsi="SimSun" w:cs="SimSun" w:hint="eastAsia"/>
                <w:sz w:val="20"/>
                <w:szCs w:val="20"/>
              </w:rPr>
              <w:t>额贷款公司试点暂行管理办法》（鄂金办发</w:t>
            </w:r>
            <w:r>
              <w:rPr>
                <w:rStyle w:val="Emphasis"/>
                <w:rFonts w:eastAsia="Times New Roman"/>
                <w:sz w:val="20"/>
                <w:szCs w:val="20"/>
              </w:rPr>
              <w:t>[2009]18</w:t>
            </w:r>
            <w:r>
              <w:rPr>
                <w:rStyle w:val="Emphasis"/>
                <w:rFonts w:ascii="MS Mincho" w:eastAsia="MS Mincho" w:hAnsi="MS Mincho" w:cs="MS Mincho" w:hint="eastAsia"/>
                <w:sz w:val="20"/>
                <w:szCs w:val="20"/>
              </w:rPr>
              <w:t>号）</w:t>
            </w:r>
            <w:r>
              <w:rPr>
                <w:rFonts w:eastAsia="Times New Roman"/>
                <w:sz w:val="20"/>
                <w:szCs w:val="20"/>
              </w:rPr>
              <w:t>) jointly issued by the Financial Office of the Hubei Province People’s Government, Hubei Province Administration for Industry and Comm</w:t>
            </w:r>
            <w:r>
              <w:rPr>
                <w:rFonts w:eastAsia="Times New Roman"/>
                <w:sz w:val="20"/>
                <w:szCs w:val="20"/>
              </w:rPr>
              <w:t xml:space="preserve">erce, Hubei Bureaus of the CBRC, Hubei Branch of the PBOC and the Public Security of Hubei Province on May 13, 2009. </w:t>
            </w:r>
          </w:p>
        </w:tc>
      </w:tr>
      <w:tr w:rsidR="00000000" w14:paraId="636FED37" w14:textId="77777777">
        <w:trPr>
          <w:divId w:val="98525094"/>
          <w:trHeight w:val="225"/>
          <w:tblCellSpacing w:w="15" w:type="dxa"/>
        </w:trPr>
        <w:tc>
          <w:tcPr>
            <w:tcW w:w="0" w:type="auto"/>
            <w:vAlign w:val="center"/>
            <w:hideMark/>
          </w:tcPr>
          <w:p w14:paraId="52D4DAD5"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4ADBF904"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73ECEDE9"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518200A0" w14:textId="77777777">
        <w:trPr>
          <w:divId w:val="98525094"/>
          <w:trHeight w:val="225"/>
          <w:tblCellSpacing w:w="15" w:type="dxa"/>
        </w:trPr>
        <w:tc>
          <w:tcPr>
            <w:tcW w:w="0" w:type="auto"/>
            <w:vAlign w:val="center"/>
            <w:hideMark/>
          </w:tcPr>
          <w:p w14:paraId="57EC54A2"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2077BC25"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2C79A37F" w14:textId="77777777" w:rsidR="00000000" w:rsidRDefault="00EB4933">
            <w:pPr>
              <w:jc w:val="both"/>
              <w:rPr>
                <w:rFonts w:eastAsia="Times New Roman"/>
                <w:sz w:val="20"/>
                <w:szCs w:val="20"/>
              </w:rPr>
            </w:pPr>
            <w:r>
              <w:rPr>
                <w:rStyle w:val="Emphasis"/>
                <w:rFonts w:eastAsia="Times New Roman"/>
                <w:sz w:val="20"/>
                <w:szCs w:val="20"/>
              </w:rPr>
              <w:t xml:space="preserve">Interim Management Measures on Capital and Equity of Microfinance Companies in Hubei Province </w:t>
            </w:r>
            <w:r>
              <w:rPr>
                <w:rFonts w:eastAsia="Times New Roman"/>
                <w:sz w:val="20"/>
                <w:szCs w:val="20"/>
              </w:rPr>
              <w:t>(</w:t>
            </w:r>
            <w:r>
              <w:rPr>
                <w:rStyle w:val="Emphasis"/>
                <w:rFonts w:ascii="MS Mincho" w:eastAsia="MS Mincho" w:hAnsi="MS Mincho" w:cs="MS Mincho" w:hint="eastAsia"/>
                <w:sz w:val="20"/>
                <w:szCs w:val="20"/>
              </w:rPr>
              <w:t>《湖北省小</w:t>
            </w:r>
            <w:r>
              <w:rPr>
                <w:rStyle w:val="Emphasis"/>
                <w:rFonts w:ascii="SimSun" w:eastAsia="SimSun" w:hAnsi="SimSun" w:cs="SimSun" w:hint="eastAsia"/>
                <w:sz w:val="20"/>
                <w:szCs w:val="20"/>
              </w:rPr>
              <w:t>额贷款公司资本及股权管理暂行办法》（鄂金办发〔</w:t>
            </w:r>
            <w:r>
              <w:rPr>
                <w:rStyle w:val="Emphasis"/>
                <w:rFonts w:eastAsia="Times New Roman"/>
                <w:sz w:val="20"/>
                <w:szCs w:val="20"/>
              </w:rPr>
              <w:t>201</w:t>
            </w:r>
            <w:r>
              <w:rPr>
                <w:rStyle w:val="Emphasis"/>
                <w:rFonts w:eastAsia="Times New Roman"/>
                <w:sz w:val="20"/>
                <w:szCs w:val="20"/>
              </w:rPr>
              <w:t>0</w:t>
            </w:r>
            <w:r>
              <w:rPr>
                <w:rStyle w:val="Emphasis"/>
                <w:rFonts w:ascii="Cambria Math" w:eastAsia="Cambria Math" w:hAnsi="Cambria Math" w:cs="Cambria Math" w:hint="eastAsia"/>
                <w:sz w:val="20"/>
                <w:szCs w:val="20"/>
              </w:rPr>
              <w:t>〕</w:t>
            </w:r>
            <w:r>
              <w:rPr>
                <w:rStyle w:val="Emphasis"/>
                <w:rFonts w:eastAsia="Times New Roman"/>
                <w:sz w:val="20"/>
                <w:szCs w:val="20"/>
              </w:rPr>
              <w:t>11</w:t>
            </w:r>
            <w:r>
              <w:rPr>
                <w:rStyle w:val="Emphasis"/>
                <w:rFonts w:ascii="MS Mincho" w:eastAsia="MS Mincho" w:hAnsi="MS Mincho" w:cs="MS Mincho" w:hint="eastAsia"/>
                <w:sz w:val="20"/>
                <w:szCs w:val="20"/>
              </w:rPr>
              <w:t>号文印</w:t>
            </w:r>
            <w:r>
              <w:rPr>
                <w:rStyle w:val="Emphasis"/>
                <w:rFonts w:ascii="SimSun" w:eastAsia="SimSun" w:hAnsi="SimSun" w:cs="SimSun" w:hint="eastAsia"/>
                <w:sz w:val="20"/>
                <w:szCs w:val="20"/>
              </w:rPr>
              <w:t>发）</w:t>
            </w:r>
            <w:r>
              <w:rPr>
                <w:rFonts w:eastAsia="Times New Roman"/>
                <w:sz w:val="20"/>
                <w:szCs w:val="20"/>
              </w:rPr>
              <w:t>) jointly issued by the Financial Office of the Hubei Province People’s Government, Hubei Province Administration for Industry and Commerce, Hubei Bureaus of the CBRC, Hubei Branch of the PBOC and the Public Security of Hubei Province on May 17, 2</w:t>
            </w:r>
            <w:r>
              <w:rPr>
                <w:rFonts w:eastAsia="Times New Roman"/>
                <w:sz w:val="20"/>
                <w:szCs w:val="20"/>
              </w:rPr>
              <w:t>010.</w:t>
            </w:r>
          </w:p>
        </w:tc>
      </w:tr>
      <w:tr w:rsidR="00000000" w14:paraId="25A5DDE1" w14:textId="77777777">
        <w:trPr>
          <w:divId w:val="98525094"/>
          <w:trHeight w:val="225"/>
          <w:tblCellSpacing w:w="15" w:type="dxa"/>
        </w:trPr>
        <w:tc>
          <w:tcPr>
            <w:tcW w:w="0" w:type="auto"/>
            <w:vAlign w:val="center"/>
            <w:hideMark/>
          </w:tcPr>
          <w:p w14:paraId="035ECA87"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668C4CB2"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2F673696"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7CE9AD5A" w14:textId="77777777">
        <w:trPr>
          <w:divId w:val="98525094"/>
          <w:trHeight w:val="225"/>
          <w:tblCellSpacing w:w="15" w:type="dxa"/>
        </w:trPr>
        <w:tc>
          <w:tcPr>
            <w:tcW w:w="0" w:type="auto"/>
            <w:vAlign w:val="center"/>
            <w:hideMark/>
          </w:tcPr>
          <w:p w14:paraId="673DBBDB"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465CA676"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6B6AD7E7" w14:textId="77777777" w:rsidR="00000000" w:rsidRDefault="00EB4933">
            <w:pPr>
              <w:jc w:val="both"/>
              <w:rPr>
                <w:rFonts w:eastAsia="Times New Roman"/>
                <w:sz w:val="20"/>
                <w:szCs w:val="20"/>
              </w:rPr>
            </w:pPr>
            <w:r>
              <w:rPr>
                <w:rStyle w:val="Emphasis"/>
                <w:rFonts w:eastAsia="Times New Roman"/>
                <w:sz w:val="20"/>
                <w:szCs w:val="20"/>
              </w:rPr>
              <w:t>Several Opinions on Promoting the Healthy Development of Microfinance Companies in Hubei Province</w:t>
            </w:r>
            <w:r>
              <w:rPr>
                <w:rFonts w:eastAsia="Times New Roman"/>
                <w:sz w:val="20"/>
                <w:szCs w:val="20"/>
              </w:rPr>
              <w:t xml:space="preserve"> (</w:t>
            </w:r>
            <w:r>
              <w:rPr>
                <w:rStyle w:val="Emphasis"/>
                <w:rFonts w:ascii="MS Mincho" w:eastAsia="MS Mincho" w:hAnsi="MS Mincho" w:cs="MS Mincho" w:hint="eastAsia"/>
                <w:sz w:val="20"/>
                <w:szCs w:val="20"/>
              </w:rPr>
              <w:t>《湖北省人民政府</w:t>
            </w:r>
            <w:r>
              <w:rPr>
                <w:rStyle w:val="Emphasis"/>
                <w:rFonts w:ascii="SimSun" w:eastAsia="SimSun" w:hAnsi="SimSun" w:cs="SimSun" w:hint="eastAsia"/>
                <w:sz w:val="20"/>
                <w:szCs w:val="20"/>
              </w:rPr>
              <w:t>办公厅关于促进小额贷款公司健康发展的若干意见》（鄂金办发〔</w:t>
            </w:r>
            <w:r>
              <w:rPr>
                <w:rStyle w:val="Emphasis"/>
                <w:rFonts w:eastAsia="Times New Roman"/>
                <w:sz w:val="20"/>
                <w:szCs w:val="20"/>
              </w:rPr>
              <w:t>2010</w:t>
            </w:r>
            <w:r>
              <w:rPr>
                <w:rStyle w:val="Emphasis"/>
                <w:rFonts w:ascii="Cambria Math" w:eastAsia="Cambria Math" w:hAnsi="Cambria Math" w:cs="Cambria Math" w:hint="eastAsia"/>
                <w:sz w:val="20"/>
                <w:szCs w:val="20"/>
              </w:rPr>
              <w:t>〕</w:t>
            </w:r>
            <w:r>
              <w:rPr>
                <w:rStyle w:val="Emphasis"/>
                <w:rFonts w:eastAsia="Times New Roman"/>
                <w:sz w:val="20"/>
                <w:szCs w:val="20"/>
              </w:rPr>
              <w:t>121</w:t>
            </w:r>
            <w:r>
              <w:rPr>
                <w:rStyle w:val="Emphasis"/>
                <w:rFonts w:ascii="MS Mincho" w:eastAsia="MS Mincho" w:hAnsi="MS Mincho" w:cs="MS Mincho" w:hint="eastAsia"/>
                <w:sz w:val="20"/>
                <w:szCs w:val="20"/>
              </w:rPr>
              <w:t>号文印</w:t>
            </w:r>
            <w:r>
              <w:rPr>
                <w:rStyle w:val="Emphasis"/>
                <w:rFonts w:ascii="SimSun" w:eastAsia="SimSun" w:hAnsi="SimSun" w:cs="SimSun" w:hint="eastAsia"/>
                <w:sz w:val="20"/>
                <w:szCs w:val="20"/>
              </w:rPr>
              <w:t>发）</w:t>
            </w:r>
            <w:r>
              <w:rPr>
                <w:rFonts w:eastAsia="Times New Roman"/>
                <w:sz w:val="20"/>
                <w:szCs w:val="20"/>
              </w:rPr>
              <w:t>) issued by the General Office of the Hubei Province People’s Government on December 23, 2010.</w:t>
            </w:r>
          </w:p>
        </w:tc>
      </w:tr>
      <w:tr w:rsidR="00000000" w14:paraId="243ADF5F" w14:textId="77777777">
        <w:trPr>
          <w:divId w:val="98525094"/>
          <w:trHeight w:val="225"/>
          <w:tblCellSpacing w:w="15" w:type="dxa"/>
        </w:trPr>
        <w:tc>
          <w:tcPr>
            <w:tcW w:w="0" w:type="auto"/>
            <w:vAlign w:val="center"/>
            <w:hideMark/>
          </w:tcPr>
          <w:p w14:paraId="2BAC6064"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0EFA9833"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EAD9506"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6E3C9020" w14:textId="77777777">
        <w:trPr>
          <w:divId w:val="98525094"/>
          <w:trHeight w:val="225"/>
          <w:tblCellSpacing w:w="15" w:type="dxa"/>
        </w:trPr>
        <w:tc>
          <w:tcPr>
            <w:tcW w:w="0" w:type="auto"/>
            <w:vAlign w:val="center"/>
            <w:hideMark/>
          </w:tcPr>
          <w:p w14:paraId="01981156"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41DDD135"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75AFA43C" w14:textId="77777777" w:rsidR="00000000" w:rsidRDefault="00EB4933">
            <w:pPr>
              <w:jc w:val="both"/>
              <w:rPr>
                <w:rFonts w:eastAsia="Times New Roman"/>
                <w:sz w:val="20"/>
                <w:szCs w:val="20"/>
              </w:rPr>
            </w:pPr>
            <w:r>
              <w:rPr>
                <w:rStyle w:val="Emphasis"/>
                <w:rFonts w:eastAsia="Times New Roman"/>
                <w:sz w:val="20"/>
                <w:szCs w:val="20"/>
              </w:rPr>
              <w:t>Work Guideline on the Pilot of Microfinance Companies in Hubei Province</w:t>
            </w:r>
            <w:r>
              <w:rPr>
                <w:rFonts w:eastAsia="Times New Roman"/>
                <w:sz w:val="20"/>
                <w:szCs w:val="20"/>
              </w:rPr>
              <w:t xml:space="preserve"> (</w:t>
            </w:r>
            <w:r>
              <w:rPr>
                <w:rStyle w:val="Emphasis"/>
                <w:rFonts w:ascii="MS Mincho" w:eastAsia="MS Mincho" w:hAnsi="MS Mincho" w:cs="MS Mincho" w:hint="eastAsia"/>
                <w:sz w:val="20"/>
                <w:szCs w:val="20"/>
              </w:rPr>
              <w:t>《湖北省小</w:t>
            </w:r>
            <w:r>
              <w:rPr>
                <w:rStyle w:val="Emphasis"/>
                <w:rFonts w:ascii="SimSun" w:eastAsia="SimSun" w:hAnsi="SimSun" w:cs="SimSun" w:hint="eastAsia"/>
                <w:sz w:val="20"/>
                <w:szCs w:val="20"/>
              </w:rPr>
              <w:t>额贷款公司试点工作指引》（鄂小贷联办发</w:t>
            </w:r>
            <w:r>
              <w:rPr>
                <w:rStyle w:val="Emphasis"/>
                <w:rFonts w:eastAsia="Times New Roman"/>
                <w:sz w:val="20"/>
                <w:szCs w:val="20"/>
              </w:rPr>
              <w:t>[2012]1</w:t>
            </w:r>
            <w:r>
              <w:rPr>
                <w:rStyle w:val="Emphasis"/>
                <w:rFonts w:ascii="MS Mincho" w:eastAsia="MS Mincho" w:hAnsi="MS Mincho" w:cs="MS Mincho" w:hint="eastAsia"/>
                <w:sz w:val="20"/>
                <w:szCs w:val="20"/>
              </w:rPr>
              <w:t>号）</w:t>
            </w:r>
            <w:r>
              <w:rPr>
                <w:rFonts w:eastAsia="Times New Roman"/>
                <w:sz w:val="20"/>
                <w:szCs w:val="20"/>
              </w:rPr>
              <w:t>) issued by the Microfinance Work Joint Ses</w:t>
            </w:r>
            <w:r>
              <w:rPr>
                <w:rFonts w:eastAsia="Times New Roman"/>
                <w:sz w:val="20"/>
                <w:szCs w:val="20"/>
              </w:rPr>
              <w:t>sion Office on April 19, 2012.</w:t>
            </w:r>
          </w:p>
        </w:tc>
      </w:tr>
      <w:tr w:rsidR="00000000" w14:paraId="0DAF82C6" w14:textId="77777777">
        <w:trPr>
          <w:divId w:val="98525094"/>
          <w:trHeight w:val="225"/>
          <w:tblCellSpacing w:w="15" w:type="dxa"/>
        </w:trPr>
        <w:tc>
          <w:tcPr>
            <w:tcW w:w="0" w:type="auto"/>
            <w:vAlign w:val="center"/>
            <w:hideMark/>
          </w:tcPr>
          <w:p w14:paraId="2471FF0F"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4452976C"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2F87F42F"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F743F7B" w14:textId="77777777">
        <w:trPr>
          <w:divId w:val="98525094"/>
          <w:trHeight w:val="225"/>
          <w:tblCellSpacing w:w="15" w:type="dxa"/>
        </w:trPr>
        <w:tc>
          <w:tcPr>
            <w:tcW w:w="0" w:type="auto"/>
            <w:vAlign w:val="center"/>
            <w:hideMark/>
          </w:tcPr>
          <w:p w14:paraId="21389549" w14:textId="77777777" w:rsidR="00000000" w:rsidRDefault="00EB4933">
            <w:pPr>
              <w:pStyle w:val="NormalWeb"/>
              <w:spacing w:before="0" w:beforeAutospacing="0" w:after="0" w:afterAutospacing="0"/>
              <w:jc w:val="both"/>
              <w:rPr>
                <w:sz w:val="20"/>
                <w:szCs w:val="20"/>
              </w:rPr>
            </w:pPr>
            <w:r>
              <w:rPr>
                <w:sz w:val="20"/>
                <w:szCs w:val="20"/>
              </w:rPr>
              <w:lastRenderedPageBreak/>
              <w:t> </w:t>
            </w:r>
          </w:p>
        </w:tc>
        <w:tc>
          <w:tcPr>
            <w:tcW w:w="0" w:type="auto"/>
            <w:hideMark/>
          </w:tcPr>
          <w:p w14:paraId="12C3E392"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7FFE078A" w14:textId="77777777" w:rsidR="00000000" w:rsidRDefault="00EB4933">
            <w:pPr>
              <w:jc w:val="both"/>
              <w:rPr>
                <w:rFonts w:eastAsia="Times New Roman"/>
                <w:sz w:val="20"/>
                <w:szCs w:val="20"/>
              </w:rPr>
            </w:pPr>
            <w:r>
              <w:rPr>
                <w:rStyle w:val="Emphasis"/>
                <w:rFonts w:eastAsia="Times New Roman"/>
                <w:sz w:val="20"/>
                <w:szCs w:val="20"/>
              </w:rPr>
              <w:t>Provisional Administrative Working Guidence for Ultilization of Capital Market by Microfinance Companies in Wuhan</w:t>
            </w:r>
            <w:r>
              <w:rPr>
                <w:rFonts w:ascii="MS Mincho" w:eastAsia="MS Mincho" w:hAnsi="MS Mincho" w:cs="MS Mincho" w:hint="eastAsia"/>
                <w:sz w:val="20"/>
                <w:szCs w:val="20"/>
              </w:rPr>
              <w:t>《武</w:t>
            </w:r>
            <w:r>
              <w:rPr>
                <w:rFonts w:ascii="SimSun" w:eastAsia="SimSun" w:hAnsi="SimSun" w:cs="SimSun" w:hint="eastAsia"/>
                <w:sz w:val="20"/>
                <w:szCs w:val="20"/>
              </w:rPr>
              <w:t>汉市小额贷款公司利用资本市场融资管理工作指引（暂行）》</w:t>
            </w:r>
            <w:r>
              <w:rPr>
                <w:rFonts w:eastAsia="Times New Roman"/>
                <w:sz w:val="20"/>
                <w:szCs w:val="20"/>
              </w:rPr>
              <w:t>, promulgated on Oct 13, 2015.</w:t>
            </w:r>
          </w:p>
        </w:tc>
      </w:tr>
    </w:tbl>
    <w:p w14:paraId="39B41F63"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4E24DA4D" w14:textId="77777777" w:rsidR="00000000" w:rsidRDefault="00EB4933">
      <w:pPr>
        <w:pStyle w:val="NormalWeb"/>
        <w:spacing w:before="0" w:beforeAutospacing="0" w:after="0" w:afterAutospacing="0"/>
        <w:jc w:val="both"/>
        <w:divId w:val="98525094"/>
        <w:rPr>
          <w:sz w:val="20"/>
          <w:szCs w:val="20"/>
        </w:rPr>
      </w:pPr>
      <w:r>
        <w:rPr>
          <w:sz w:val="20"/>
          <w:szCs w:val="20"/>
        </w:rPr>
        <w:t>Key contents of the above regulatory policies are listed as follows:</w:t>
      </w:r>
    </w:p>
    <w:p w14:paraId="76D7A4CB"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0FD16318" w14:textId="77777777">
        <w:trPr>
          <w:divId w:val="98525094"/>
          <w:trHeight w:val="225"/>
          <w:tblCellSpacing w:w="15" w:type="dxa"/>
        </w:trPr>
        <w:tc>
          <w:tcPr>
            <w:tcW w:w="200" w:type="pct"/>
            <w:vAlign w:val="center"/>
            <w:hideMark/>
          </w:tcPr>
          <w:p w14:paraId="49DA045E"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4BE67778"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638210F5" w14:textId="77777777" w:rsidR="00000000" w:rsidRDefault="00EB4933">
            <w:pPr>
              <w:jc w:val="both"/>
              <w:rPr>
                <w:rFonts w:eastAsia="Times New Roman"/>
                <w:sz w:val="20"/>
                <w:szCs w:val="20"/>
              </w:rPr>
            </w:pPr>
            <w:r>
              <w:rPr>
                <w:rFonts w:eastAsia="Times New Roman"/>
                <w:sz w:val="20"/>
                <w:szCs w:val="20"/>
              </w:rPr>
              <w:t>A mi</w:t>
            </w:r>
            <w:r>
              <w:rPr>
                <w:rFonts w:eastAsia="Times New Roman"/>
                <w:sz w:val="20"/>
                <w:szCs w:val="20"/>
              </w:rPr>
              <w:t>crofinance company shall be a limited liability company or joint stock company which is established with investments from natural persons, legal-person enterprises or other social organizations, does not absorb the public deposits and operates a microfinan</w:t>
            </w:r>
            <w:r>
              <w:rPr>
                <w:rFonts w:eastAsia="Times New Roman"/>
                <w:sz w:val="20"/>
                <w:szCs w:val="20"/>
              </w:rPr>
              <w:t>ce business.</w:t>
            </w:r>
          </w:p>
        </w:tc>
      </w:tr>
      <w:tr w:rsidR="00000000" w14:paraId="561763FB" w14:textId="77777777">
        <w:trPr>
          <w:divId w:val="98525094"/>
          <w:trHeight w:val="225"/>
          <w:tblCellSpacing w:w="15" w:type="dxa"/>
        </w:trPr>
        <w:tc>
          <w:tcPr>
            <w:tcW w:w="0" w:type="auto"/>
            <w:vAlign w:val="center"/>
            <w:hideMark/>
          </w:tcPr>
          <w:p w14:paraId="6ED34C42"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3B217730"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0DE645FB"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0D01D1D" w14:textId="77777777">
        <w:trPr>
          <w:divId w:val="98525094"/>
          <w:trHeight w:val="225"/>
          <w:tblCellSpacing w:w="15" w:type="dxa"/>
        </w:trPr>
        <w:tc>
          <w:tcPr>
            <w:tcW w:w="0" w:type="auto"/>
            <w:vAlign w:val="center"/>
            <w:hideMark/>
          </w:tcPr>
          <w:p w14:paraId="5A637E0E"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35E7D22D"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1976E230" w14:textId="77777777" w:rsidR="00000000" w:rsidRDefault="00EB4933">
            <w:pPr>
              <w:jc w:val="both"/>
              <w:rPr>
                <w:rFonts w:eastAsia="Times New Roman"/>
                <w:sz w:val="20"/>
                <w:szCs w:val="20"/>
              </w:rPr>
            </w:pPr>
            <w:r>
              <w:rPr>
                <w:rFonts w:eastAsia="Times New Roman"/>
                <w:sz w:val="20"/>
                <w:szCs w:val="20"/>
              </w:rPr>
              <w:t>The major sources of funds of a microfinance company shall be the capital paid by shareholders, donated capital and the capital borrowed from a maximum of two banking financial institutions.</w:t>
            </w:r>
          </w:p>
        </w:tc>
      </w:tr>
      <w:tr w:rsidR="00000000" w14:paraId="2CDE67A8" w14:textId="77777777">
        <w:trPr>
          <w:divId w:val="98525094"/>
          <w:trHeight w:val="225"/>
          <w:tblCellSpacing w:w="15" w:type="dxa"/>
        </w:trPr>
        <w:tc>
          <w:tcPr>
            <w:tcW w:w="0" w:type="auto"/>
            <w:vAlign w:val="center"/>
            <w:hideMark/>
          </w:tcPr>
          <w:p w14:paraId="4AF99490"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63C52689"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1D64535A"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4A822AC" w14:textId="77777777">
        <w:trPr>
          <w:divId w:val="98525094"/>
          <w:trHeight w:val="225"/>
          <w:tblCellSpacing w:w="15" w:type="dxa"/>
        </w:trPr>
        <w:tc>
          <w:tcPr>
            <w:tcW w:w="0" w:type="auto"/>
            <w:vAlign w:val="center"/>
            <w:hideMark/>
          </w:tcPr>
          <w:p w14:paraId="6B3B6834"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61197A5D"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29783C25" w14:textId="77777777" w:rsidR="00000000" w:rsidRDefault="00EB4933">
            <w:pPr>
              <w:jc w:val="both"/>
              <w:rPr>
                <w:rFonts w:eastAsia="Times New Roman"/>
                <w:sz w:val="20"/>
                <w:szCs w:val="20"/>
              </w:rPr>
            </w:pPr>
            <w:r>
              <w:rPr>
                <w:rFonts w:eastAsia="Times New Roman"/>
                <w:sz w:val="20"/>
                <w:szCs w:val="20"/>
              </w:rPr>
              <w:t>The Financial Office of the People’s Government of Hubei Province establishes the Microfinance Work Joint Session, jointly with other authorities concerned, including Hubei Province Administration for Industry and Commerce, Hubei Bureaus of the CBRC, Hubei</w:t>
            </w:r>
            <w:r>
              <w:rPr>
                <w:rFonts w:eastAsia="Times New Roman"/>
                <w:sz w:val="20"/>
                <w:szCs w:val="20"/>
              </w:rPr>
              <w:t xml:space="preserve"> Branch of the PBOC and the Public Security of Hubei Province. The Microfinance Work Joint Session is in charge of the organization, coordination, regulation and promotion of the pilot work of microfinance companies. The Microfinance Work Joint Session Off</w:t>
            </w:r>
            <w:r>
              <w:rPr>
                <w:rFonts w:eastAsia="Times New Roman"/>
                <w:sz w:val="20"/>
                <w:szCs w:val="20"/>
              </w:rPr>
              <w:t>ice is located in the Financial Office of the Hubei Province People’s Government.</w:t>
            </w:r>
          </w:p>
        </w:tc>
      </w:tr>
      <w:tr w:rsidR="00000000" w14:paraId="19F47587" w14:textId="77777777">
        <w:trPr>
          <w:divId w:val="98525094"/>
          <w:trHeight w:val="225"/>
          <w:tblCellSpacing w:w="15" w:type="dxa"/>
        </w:trPr>
        <w:tc>
          <w:tcPr>
            <w:tcW w:w="0" w:type="auto"/>
            <w:vAlign w:val="center"/>
            <w:hideMark/>
          </w:tcPr>
          <w:p w14:paraId="4146E20C"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575ABDBA"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4F2D5A77"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10AB7822" w14:textId="77777777">
        <w:trPr>
          <w:divId w:val="98525094"/>
          <w:trHeight w:val="225"/>
          <w:tblCellSpacing w:w="15" w:type="dxa"/>
        </w:trPr>
        <w:tc>
          <w:tcPr>
            <w:tcW w:w="0" w:type="auto"/>
            <w:vAlign w:val="center"/>
            <w:hideMark/>
          </w:tcPr>
          <w:p w14:paraId="524D7DE7"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01E3FA29"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2200B84F" w14:textId="77777777" w:rsidR="00000000" w:rsidRDefault="00EB4933">
            <w:pPr>
              <w:jc w:val="both"/>
              <w:rPr>
                <w:rFonts w:eastAsia="Times New Roman"/>
                <w:sz w:val="20"/>
                <w:szCs w:val="20"/>
              </w:rPr>
            </w:pPr>
            <w:r>
              <w:rPr>
                <w:rFonts w:eastAsia="Times New Roman"/>
                <w:sz w:val="20"/>
                <w:szCs w:val="20"/>
              </w:rPr>
              <w:t>The source of the registered and paid-up capital of a microfinance company shall be authentic and legal, and the capital shall comprise of all paid-in money capit</w:t>
            </w:r>
            <w:r>
              <w:rPr>
                <w:rFonts w:eastAsia="Times New Roman"/>
                <w:sz w:val="20"/>
                <w:szCs w:val="20"/>
              </w:rPr>
              <w:t>al and be fully paid in by investors or initiators in a lump sum. If it is a limited liability company, the registered and paid-up capital shall not be less than RMB30 million ($4.4 million); and if it is a joint stock company, the registered and paid-up c</w:t>
            </w:r>
            <w:r>
              <w:rPr>
                <w:rFonts w:eastAsia="Times New Roman"/>
                <w:sz w:val="20"/>
                <w:szCs w:val="20"/>
              </w:rPr>
              <w:t>apital shall not be less than RMB50 million ($7.3 million). The shares held by a single natural person, legal entity, other social organization or affiliated party thereof shall not exceed 10% of the total registered capital of the company. The main promot</w:t>
            </w:r>
            <w:r>
              <w:rPr>
                <w:rFonts w:eastAsia="Times New Roman"/>
                <w:sz w:val="20"/>
                <w:szCs w:val="20"/>
              </w:rPr>
              <w:t>er is, however, allowed to hold up to 50% of the shares of the company and no less than 20% of the shares of the company. And upon approval of the People’s Government of Hubei Province, a wholly owned microfinance company by a sole legal entity can be esta</w:t>
            </w:r>
            <w:r>
              <w:rPr>
                <w:rFonts w:eastAsia="Times New Roman"/>
                <w:sz w:val="20"/>
                <w:szCs w:val="20"/>
              </w:rPr>
              <w:t>blished. It is also provided that with the approval from the relevant government authorities, the shareholding ceiling of the promoter along with other connected shareholders can be lifted.</w:t>
            </w:r>
          </w:p>
        </w:tc>
      </w:tr>
    </w:tbl>
    <w:p w14:paraId="1D2C7B22"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A191653" w14:textId="77777777">
        <w:trPr>
          <w:divId w:val="98525094"/>
          <w:trHeight w:val="225"/>
          <w:tblCellSpacing w:w="15" w:type="dxa"/>
        </w:trPr>
        <w:tc>
          <w:tcPr>
            <w:tcW w:w="0" w:type="auto"/>
            <w:vAlign w:val="center"/>
            <w:hideMark/>
          </w:tcPr>
          <w:p w14:paraId="4E7C8577" w14:textId="77777777" w:rsidR="00000000" w:rsidRDefault="00EB4933">
            <w:pPr>
              <w:rPr>
                <w:rFonts w:eastAsia="Times New Roman"/>
                <w:sz w:val="20"/>
                <w:szCs w:val="20"/>
              </w:rPr>
            </w:pPr>
            <w:r>
              <w:rPr>
                <w:rFonts w:eastAsia="Times New Roman"/>
                <w:sz w:val="20"/>
                <w:szCs w:val="20"/>
              </w:rPr>
              <w:t> </w:t>
            </w:r>
          </w:p>
        </w:tc>
      </w:tr>
      <w:tr w:rsidR="00000000" w14:paraId="1FA1BE89" w14:textId="77777777">
        <w:trPr>
          <w:divId w:val="98525094"/>
          <w:trHeight w:val="225"/>
          <w:tblCellSpacing w:w="15" w:type="dxa"/>
        </w:trPr>
        <w:tc>
          <w:tcPr>
            <w:tcW w:w="0" w:type="auto"/>
            <w:tcBorders>
              <w:bottom w:val="single" w:sz="6" w:space="0" w:color="000000"/>
            </w:tcBorders>
            <w:vAlign w:val="center"/>
            <w:hideMark/>
          </w:tcPr>
          <w:p w14:paraId="4F7A3DCD" w14:textId="77777777" w:rsidR="00000000" w:rsidRDefault="00EB4933">
            <w:pPr>
              <w:jc w:val="center"/>
              <w:rPr>
                <w:rFonts w:eastAsia="Times New Roman"/>
                <w:sz w:val="20"/>
                <w:szCs w:val="20"/>
              </w:rPr>
            </w:pPr>
            <w:r>
              <w:rPr>
                <w:rFonts w:eastAsia="Times New Roman"/>
                <w:sz w:val="20"/>
                <w:szCs w:val="20"/>
              </w:rPr>
              <w:t>50</w:t>
            </w:r>
          </w:p>
        </w:tc>
      </w:tr>
      <w:tr w:rsidR="00000000" w14:paraId="699E77FC" w14:textId="77777777">
        <w:trPr>
          <w:divId w:val="98525094"/>
          <w:trHeight w:val="225"/>
          <w:tblCellSpacing w:w="15" w:type="dxa"/>
        </w:trPr>
        <w:tc>
          <w:tcPr>
            <w:tcW w:w="0" w:type="auto"/>
            <w:vAlign w:val="center"/>
            <w:hideMark/>
          </w:tcPr>
          <w:p w14:paraId="1B17582D" w14:textId="77777777" w:rsidR="00000000" w:rsidRDefault="00EB4933">
            <w:pPr>
              <w:rPr>
                <w:rFonts w:eastAsia="Times New Roman"/>
                <w:sz w:val="20"/>
                <w:szCs w:val="20"/>
              </w:rPr>
            </w:pPr>
          </w:p>
        </w:tc>
      </w:tr>
      <w:tr w:rsidR="00000000" w14:paraId="34BF97E1" w14:textId="77777777">
        <w:trPr>
          <w:divId w:val="98525094"/>
          <w:trHeight w:val="225"/>
          <w:tblCellSpacing w:w="15" w:type="dxa"/>
        </w:trPr>
        <w:tc>
          <w:tcPr>
            <w:tcW w:w="0" w:type="auto"/>
            <w:vAlign w:val="center"/>
            <w:hideMark/>
          </w:tcPr>
          <w:p w14:paraId="7F6DDCE1" w14:textId="77777777" w:rsidR="00000000" w:rsidRDefault="00EB4933">
            <w:pPr>
              <w:rPr>
                <w:rFonts w:eastAsia="Times New Roman"/>
                <w:sz w:val="20"/>
                <w:szCs w:val="20"/>
              </w:rPr>
            </w:pPr>
            <w:hyperlink r:id="rId110" w:anchor="toc" w:history="1">
              <w:r>
                <w:rPr>
                  <w:rStyle w:val="Hyperlink"/>
                  <w:rFonts w:eastAsia="Times New Roman"/>
                  <w:i/>
                  <w:iCs/>
                  <w:sz w:val="20"/>
                  <w:szCs w:val="20"/>
                </w:rPr>
                <w:t>Table of Contents</w:t>
              </w:r>
            </w:hyperlink>
          </w:p>
        </w:tc>
      </w:tr>
    </w:tbl>
    <w:p w14:paraId="35325B32"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12EB51EC" w14:textId="77777777">
        <w:trPr>
          <w:divId w:val="98525094"/>
          <w:trHeight w:val="225"/>
          <w:tblCellSpacing w:w="15" w:type="dxa"/>
        </w:trPr>
        <w:tc>
          <w:tcPr>
            <w:tcW w:w="200" w:type="pct"/>
            <w:vAlign w:val="center"/>
            <w:hideMark/>
          </w:tcPr>
          <w:p w14:paraId="67E15970"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4B311A71"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35D04B73" w14:textId="77777777" w:rsidR="00000000" w:rsidRDefault="00EB4933">
            <w:pPr>
              <w:jc w:val="both"/>
              <w:rPr>
                <w:rFonts w:eastAsia="Times New Roman"/>
                <w:sz w:val="20"/>
                <w:szCs w:val="20"/>
              </w:rPr>
            </w:pPr>
            <w:r>
              <w:rPr>
                <w:rFonts w:eastAsia="Times New Roman"/>
                <w:sz w:val="20"/>
                <w:szCs w:val="20"/>
              </w:rPr>
              <w:t xml:space="preserve">The number of shareholders of a microfinance company shall meet the statutory quorum. If it is a limited liability company, the shareholders shall be no more than 50. If it is a joint stock company, the shareholders shall be not less than two but not more </w:t>
            </w:r>
            <w:r>
              <w:rPr>
                <w:rFonts w:eastAsia="Times New Roman"/>
                <w:sz w:val="20"/>
                <w:szCs w:val="20"/>
              </w:rPr>
              <w:t>than 200, of whom more than half shall have domiciles within the territory of China.</w:t>
            </w:r>
          </w:p>
        </w:tc>
      </w:tr>
      <w:tr w:rsidR="00000000" w14:paraId="05A1AC69" w14:textId="77777777">
        <w:trPr>
          <w:divId w:val="98525094"/>
          <w:trHeight w:val="225"/>
          <w:tblCellSpacing w:w="15" w:type="dxa"/>
        </w:trPr>
        <w:tc>
          <w:tcPr>
            <w:tcW w:w="0" w:type="auto"/>
            <w:vAlign w:val="center"/>
            <w:hideMark/>
          </w:tcPr>
          <w:p w14:paraId="68B287B9"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240DBEDE"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E600B63"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34DFB13" w14:textId="77777777">
        <w:trPr>
          <w:divId w:val="98525094"/>
          <w:trHeight w:val="225"/>
          <w:tblCellSpacing w:w="15" w:type="dxa"/>
        </w:trPr>
        <w:tc>
          <w:tcPr>
            <w:tcW w:w="0" w:type="auto"/>
            <w:vAlign w:val="center"/>
            <w:hideMark/>
          </w:tcPr>
          <w:p w14:paraId="265FEAA6"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48B9A61D"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15268F23" w14:textId="77777777" w:rsidR="00000000" w:rsidRDefault="00EB4933">
            <w:pPr>
              <w:jc w:val="both"/>
              <w:rPr>
                <w:rFonts w:eastAsia="Times New Roman"/>
                <w:sz w:val="20"/>
                <w:szCs w:val="20"/>
              </w:rPr>
            </w:pPr>
            <w:r>
              <w:rPr>
                <w:rFonts w:eastAsia="Times New Roman"/>
                <w:sz w:val="20"/>
                <w:szCs w:val="20"/>
              </w:rPr>
              <w:t>The directors of a microfinance company shall hold a college diploma or above and have working experience in the area of finance or economy for at least three years. The chairman of the board and the manager of a microfinance company shall hold a college d</w:t>
            </w:r>
            <w:r>
              <w:rPr>
                <w:rFonts w:eastAsia="Times New Roman"/>
                <w:sz w:val="20"/>
                <w:szCs w:val="20"/>
              </w:rPr>
              <w:t>iploma or above and have at least a two-year working experience in a commercial bank or at least a five-year working experience in a business environment.</w:t>
            </w:r>
          </w:p>
        </w:tc>
      </w:tr>
      <w:tr w:rsidR="00000000" w14:paraId="13AB42C0" w14:textId="77777777">
        <w:trPr>
          <w:divId w:val="98525094"/>
          <w:trHeight w:val="225"/>
          <w:tblCellSpacing w:w="15" w:type="dxa"/>
        </w:trPr>
        <w:tc>
          <w:tcPr>
            <w:tcW w:w="0" w:type="auto"/>
            <w:vAlign w:val="center"/>
            <w:hideMark/>
          </w:tcPr>
          <w:p w14:paraId="61A5B4B5"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2D12756D"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82F8FC5"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750A997B" w14:textId="77777777">
        <w:trPr>
          <w:divId w:val="98525094"/>
          <w:trHeight w:val="225"/>
          <w:tblCellSpacing w:w="15" w:type="dxa"/>
        </w:trPr>
        <w:tc>
          <w:tcPr>
            <w:tcW w:w="0" w:type="auto"/>
            <w:vAlign w:val="center"/>
            <w:hideMark/>
          </w:tcPr>
          <w:p w14:paraId="2C2C6C7C"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3F4A9562"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2B519D41" w14:textId="77777777" w:rsidR="00000000" w:rsidRDefault="00EB4933">
            <w:pPr>
              <w:jc w:val="both"/>
              <w:rPr>
                <w:rFonts w:eastAsia="Times New Roman"/>
                <w:sz w:val="20"/>
                <w:szCs w:val="20"/>
              </w:rPr>
            </w:pPr>
            <w:r>
              <w:rPr>
                <w:rFonts w:eastAsia="Times New Roman"/>
                <w:sz w:val="20"/>
                <w:szCs w:val="20"/>
              </w:rPr>
              <w:t>To set up a microfinance company, the preparatory establishment shall be firstly applied.</w:t>
            </w:r>
            <w:r>
              <w:rPr>
                <w:rFonts w:eastAsia="Times New Roman"/>
                <w:sz w:val="20"/>
                <w:szCs w:val="20"/>
              </w:rPr>
              <w:t xml:space="preserve"> The applicants shall submit the application materials of preparatory establishment to competent departments of the districts and counties where a proposed microfinance company is located. The competent department shall submit promptly the whole preparator</w:t>
            </w:r>
            <w:r>
              <w:rPr>
                <w:rFonts w:eastAsia="Times New Roman"/>
                <w:sz w:val="20"/>
                <w:szCs w:val="20"/>
              </w:rPr>
              <w:t xml:space="preserve">y application materials together with preliminary examination opinion, credit evaluation, and proof of shareholders to the municipal competent department. The </w:t>
            </w:r>
            <w:r>
              <w:rPr>
                <w:rFonts w:eastAsia="Times New Roman"/>
                <w:sz w:val="20"/>
                <w:szCs w:val="20"/>
              </w:rPr>
              <w:lastRenderedPageBreak/>
              <w:t>establishment of a microfinance company shall ultimately be approved by the Microfinance Work Joi</w:t>
            </w:r>
            <w:r>
              <w:rPr>
                <w:rFonts w:eastAsia="Times New Roman"/>
                <w:sz w:val="20"/>
                <w:szCs w:val="20"/>
              </w:rPr>
              <w:t>nt Session.</w:t>
            </w:r>
          </w:p>
        </w:tc>
      </w:tr>
      <w:tr w:rsidR="00000000" w14:paraId="22E825FA" w14:textId="77777777">
        <w:trPr>
          <w:divId w:val="98525094"/>
          <w:trHeight w:val="225"/>
          <w:tblCellSpacing w:w="15" w:type="dxa"/>
        </w:trPr>
        <w:tc>
          <w:tcPr>
            <w:tcW w:w="0" w:type="auto"/>
            <w:vAlign w:val="center"/>
            <w:hideMark/>
          </w:tcPr>
          <w:p w14:paraId="32AEFFD7" w14:textId="77777777" w:rsidR="00000000" w:rsidRDefault="00EB4933">
            <w:pPr>
              <w:pStyle w:val="NormalWeb"/>
              <w:spacing w:before="0" w:beforeAutospacing="0" w:after="0" w:afterAutospacing="0"/>
              <w:jc w:val="both"/>
              <w:rPr>
                <w:sz w:val="20"/>
                <w:szCs w:val="20"/>
              </w:rPr>
            </w:pPr>
            <w:r>
              <w:rPr>
                <w:sz w:val="20"/>
                <w:szCs w:val="20"/>
              </w:rPr>
              <w:lastRenderedPageBreak/>
              <w:t> </w:t>
            </w:r>
          </w:p>
        </w:tc>
        <w:tc>
          <w:tcPr>
            <w:tcW w:w="0" w:type="auto"/>
            <w:vAlign w:val="center"/>
            <w:hideMark/>
          </w:tcPr>
          <w:p w14:paraId="7E99B431"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9A2BAE0"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76C4D255" w14:textId="77777777">
        <w:trPr>
          <w:divId w:val="98525094"/>
          <w:trHeight w:val="225"/>
          <w:tblCellSpacing w:w="15" w:type="dxa"/>
        </w:trPr>
        <w:tc>
          <w:tcPr>
            <w:tcW w:w="0" w:type="auto"/>
            <w:vAlign w:val="center"/>
            <w:hideMark/>
          </w:tcPr>
          <w:p w14:paraId="3F05B24D"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5895FC94"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0D0793FC" w14:textId="77777777" w:rsidR="00000000" w:rsidRDefault="00EB4933">
            <w:pPr>
              <w:jc w:val="both"/>
              <w:rPr>
                <w:rFonts w:eastAsia="Times New Roman"/>
                <w:sz w:val="20"/>
                <w:szCs w:val="20"/>
              </w:rPr>
            </w:pPr>
            <w:r>
              <w:rPr>
                <w:rFonts w:eastAsia="Times New Roman"/>
                <w:sz w:val="20"/>
                <w:szCs w:val="20"/>
              </w:rPr>
              <w:t>The alteration of name, domicile, registered capital, senior management personnel and the main promoter of a microfinance company shall be approved by the Microfinance Work Joint Session.</w:t>
            </w:r>
          </w:p>
        </w:tc>
      </w:tr>
      <w:tr w:rsidR="00000000" w14:paraId="72AE71C2" w14:textId="77777777">
        <w:trPr>
          <w:divId w:val="98525094"/>
          <w:trHeight w:val="225"/>
          <w:tblCellSpacing w:w="15" w:type="dxa"/>
        </w:trPr>
        <w:tc>
          <w:tcPr>
            <w:tcW w:w="0" w:type="auto"/>
            <w:vAlign w:val="center"/>
            <w:hideMark/>
          </w:tcPr>
          <w:p w14:paraId="77C5F206"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7FE2C6CA"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9F121E7"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6E66DC1A" w14:textId="77777777">
        <w:trPr>
          <w:divId w:val="98525094"/>
          <w:trHeight w:val="225"/>
          <w:tblCellSpacing w:w="15" w:type="dxa"/>
        </w:trPr>
        <w:tc>
          <w:tcPr>
            <w:tcW w:w="0" w:type="auto"/>
            <w:vAlign w:val="center"/>
            <w:hideMark/>
          </w:tcPr>
          <w:p w14:paraId="294F0D5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58BEE7B7"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2ECC4B05" w14:textId="77777777" w:rsidR="00000000" w:rsidRDefault="00EB4933">
            <w:pPr>
              <w:jc w:val="both"/>
              <w:rPr>
                <w:rFonts w:eastAsia="Times New Roman"/>
                <w:sz w:val="20"/>
                <w:szCs w:val="20"/>
              </w:rPr>
            </w:pPr>
            <w:r>
              <w:rPr>
                <w:rFonts w:eastAsia="Times New Roman"/>
                <w:sz w:val="20"/>
                <w:szCs w:val="20"/>
              </w:rPr>
              <w:t xml:space="preserve">The balance of the capital borrowed from banking financial institutions shall not exceed 50% of the net capital within the scope. The interest rate and term of the borrowed capital shall be determined by the company with the banking financial institutions </w:t>
            </w:r>
            <w:r>
              <w:rPr>
                <w:rFonts w:eastAsia="Times New Roman"/>
                <w:sz w:val="20"/>
                <w:szCs w:val="20"/>
              </w:rPr>
              <w:t>upon consultation, and the interest rate shall be determined by taking the Shanghai Inter-bank Offered Rate as the base rate.</w:t>
            </w:r>
          </w:p>
        </w:tc>
      </w:tr>
      <w:tr w:rsidR="00000000" w14:paraId="7D605AB2" w14:textId="77777777">
        <w:trPr>
          <w:divId w:val="98525094"/>
          <w:trHeight w:val="225"/>
          <w:tblCellSpacing w:w="15" w:type="dxa"/>
        </w:trPr>
        <w:tc>
          <w:tcPr>
            <w:tcW w:w="0" w:type="auto"/>
            <w:vAlign w:val="center"/>
            <w:hideMark/>
          </w:tcPr>
          <w:p w14:paraId="7B16B0C0"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3087B7C0"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1A12048"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654F9D72" w14:textId="77777777">
        <w:trPr>
          <w:divId w:val="98525094"/>
          <w:trHeight w:val="225"/>
          <w:tblCellSpacing w:w="15" w:type="dxa"/>
        </w:trPr>
        <w:tc>
          <w:tcPr>
            <w:tcW w:w="0" w:type="auto"/>
            <w:vAlign w:val="center"/>
            <w:hideMark/>
          </w:tcPr>
          <w:p w14:paraId="7484581F"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1435880A"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64B094F6" w14:textId="77777777" w:rsidR="00000000" w:rsidRDefault="00EB4933">
            <w:pPr>
              <w:jc w:val="both"/>
              <w:rPr>
                <w:rFonts w:eastAsia="Times New Roman"/>
                <w:sz w:val="20"/>
                <w:szCs w:val="20"/>
              </w:rPr>
            </w:pPr>
            <w:r>
              <w:rPr>
                <w:rFonts w:eastAsia="Times New Roman"/>
                <w:sz w:val="20"/>
                <w:szCs w:val="20"/>
              </w:rPr>
              <w:t xml:space="preserve">The microfinance company shall establish and perfect the corporate governance structure according to the requirements </w:t>
            </w:r>
            <w:r>
              <w:rPr>
                <w:rFonts w:eastAsia="Times New Roman"/>
                <w:sz w:val="20"/>
                <w:szCs w:val="20"/>
              </w:rPr>
              <w:t xml:space="preserve">of the </w:t>
            </w:r>
            <w:r>
              <w:rPr>
                <w:rStyle w:val="Emphasis"/>
                <w:rFonts w:eastAsia="Times New Roman"/>
                <w:sz w:val="20"/>
                <w:szCs w:val="20"/>
              </w:rPr>
              <w:t>Company Law</w:t>
            </w:r>
            <w:r>
              <w:rPr>
                <w:rFonts w:eastAsia="Times New Roman"/>
                <w:sz w:val="20"/>
                <w:szCs w:val="20"/>
              </w:rPr>
              <w:t>, clarify the right responsibility relationship among the shareholders, directors, supervisors and managers, formulate solid and effective rules of procedure, decision-making procedure and internal audit system and improve the effectivene</w:t>
            </w:r>
            <w:r>
              <w:rPr>
                <w:rFonts w:eastAsia="Times New Roman"/>
                <w:sz w:val="20"/>
                <w:szCs w:val="20"/>
              </w:rPr>
              <w:t>ss of corporate governance. The microfinance companies shall establish and perfect the loan management system, clarify the business procedure and operation norm for the pre-loan investigation, review during the loan term and post-loan examination, and trul</w:t>
            </w:r>
            <w:r>
              <w:rPr>
                <w:rFonts w:eastAsia="Times New Roman"/>
                <w:sz w:val="20"/>
                <w:szCs w:val="20"/>
              </w:rPr>
              <w:t xml:space="preserve">y strengthen the loan management. The microfinance companies shall reinforce the internal control, establish and perfect the enterprise financial accounting system according to relevant provisions of the State, make truthful recordings and comprehensively </w:t>
            </w:r>
            <w:r>
              <w:rPr>
                <w:rFonts w:eastAsia="Times New Roman"/>
                <w:sz w:val="20"/>
                <w:szCs w:val="20"/>
              </w:rPr>
              <w:t>reflect its business activities and financial activities.</w:t>
            </w:r>
          </w:p>
        </w:tc>
      </w:tr>
      <w:tr w:rsidR="00000000" w14:paraId="1F0AAF9A" w14:textId="77777777">
        <w:trPr>
          <w:divId w:val="98525094"/>
          <w:trHeight w:val="225"/>
          <w:tblCellSpacing w:w="15" w:type="dxa"/>
        </w:trPr>
        <w:tc>
          <w:tcPr>
            <w:tcW w:w="0" w:type="auto"/>
            <w:vAlign w:val="center"/>
            <w:hideMark/>
          </w:tcPr>
          <w:p w14:paraId="3A5816D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60707285"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54E6384C"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7344F21A" w14:textId="77777777">
        <w:trPr>
          <w:divId w:val="98525094"/>
          <w:trHeight w:val="225"/>
          <w:tblCellSpacing w:w="15" w:type="dxa"/>
        </w:trPr>
        <w:tc>
          <w:tcPr>
            <w:tcW w:w="0" w:type="auto"/>
            <w:vAlign w:val="center"/>
            <w:hideMark/>
          </w:tcPr>
          <w:p w14:paraId="77FF6150"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1B452703"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46F655C3" w14:textId="77777777" w:rsidR="00000000" w:rsidRDefault="00EB4933">
            <w:pPr>
              <w:jc w:val="both"/>
              <w:rPr>
                <w:rFonts w:eastAsia="Times New Roman"/>
                <w:sz w:val="20"/>
                <w:szCs w:val="20"/>
              </w:rPr>
            </w:pPr>
            <w:r>
              <w:rPr>
                <w:rFonts w:eastAsia="Times New Roman"/>
                <w:sz w:val="20"/>
                <w:szCs w:val="20"/>
              </w:rPr>
              <w:t>The microfinance companies shall establish the information disclosure system, disclose the financial statements audited by the intermediary agent and the annual business operation status</w:t>
            </w:r>
            <w:r>
              <w:rPr>
                <w:rFonts w:eastAsia="Times New Roman"/>
                <w:sz w:val="20"/>
                <w:szCs w:val="20"/>
              </w:rPr>
              <w:t>, financing status, major matters and other information, to the shareholders of the company, competent department, banking financial organizations providing financing to the same, relevant donation organization, and to the public where deemed necessary.</w:t>
            </w:r>
          </w:p>
        </w:tc>
      </w:tr>
      <w:tr w:rsidR="00000000" w14:paraId="797F00E4" w14:textId="77777777">
        <w:trPr>
          <w:divId w:val="98525094"/>
          <w:trHeight w:val="225"/>
          <w:tblCellSpacing w:w="15" w:type="dxa"/>
        </w:trPr>
        <w:tc>
          <w:tcPr>
            <w:tcW w:w="0" w:type="auto"/>
            <w:vAlign w:val="center"/>
            <w:hideMark/>
          </w:tcPr>
          <w:p w14:paraId="3708CE99"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67EAA6DC"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010399D"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B838F09" w14:textId="77777777">
        <w:trPr>
          <w:divId w:val="98525094"/>
          <w:trHeight w:val="225"/>
          <w:tblCellSpacing w:w="15" w:type="dxa"/>
        </w:trPr>
        <w:tc>
          <w:tcPr>
            <w:tcW w:w="0" w:type="auto"/>
            <w:vAlign w:val="center"/>
            <w:hideMark/>
          </w:tcPr>
          <w:p w14:paraId="1852284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22DF4884"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6AEDAFF1" w14:textId="77777777" w:rsidR="00000000" w:rsidRDefault="00EB4933">
            <w:pPr>
              <w:jc w:val="both"/>
              <w:rPr>
                <w:rFonts w:eastAsia="Times New Roman"/>
                <w:sz w:val="20"/>
                <w:szCs w:val="20"/>
              </w:rPr>
            </w:pPr>
            <w:r>
              <w:rPr>
                <w:rFonts w:eastAsia="Times New Roman"/>
                <w:sz w:val="20"/>
                <w:szCs w:val="20"/>
              </w:rPr>
              <w:t>The microfinance companies shall have the autonomy to select prospective borrowers based on the principle of serving the development of farmers, agriculture and rural economy. When granting loans, they shall adhere to the principle of “small sum and decent</w:t>
            </w:r>
            <w:r>
              <w:rPr>
                <w:rFonts w:eastAsia="Times New Roman"/>
                <w:sz w:val="20"/>
                <w:szCs w:val="20"/>
              </w:rPr>
              <w:t>ralization”. Microfinance companies are encouraged to provide credit services for farmers and mini-size enterprises and make more efforts in increasing their number of clients and enlarging the coverage of services. 70% of the outstanding loan balance of t</w:t>
            </w:r>
            <w:r>
              <w:rPr>
                <w:rFonts w:eastAsia="Times New Roman"/>
                <w:sz w:val="20"/>
                <w:szCs w:val="20"/>
              </w:rPr>
              <w:t>he microfinance company shall be applied to borrowers of a single account whose balance of the loan is no more than RMB0.5 million ($0.1 million), while the rest may be applied to other borrowers, provided that loans to any of such borrowers shall not exce</w:t>
            </w:r>
            <w:r>
              <w:rPr>
                <w:rFonts w:eastAsia="Times New Roman"/>
                <w:sz w:val="20"/>
                <w:szCs w:val="20"/>
              </w:rPr>
              <w:t>ed 5% of the net capital. No loans shall be granted to the shareholders of the microfinance company.</w:t>
            </w:r>
          </w:p>
        </w:tc>
      </w:tr>
    </w:tbl>
    <w:p w14:paraId="4113280F"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F0AE604" w14:textId="77777777">
        <w:trPr>
          <w:divId w:val="98525094"/>
          <w:trHeight w:val="225"/>
          <w:tblCellSpacing w:w="15" w:type="dxa"/>
        </w:trPr>
        <w:tc>
          <w:tcPr>
            <w:tcW w:w="0" w:type="auto"/>
            <w:vAlign w:val="center"/>
            <w:hideMark/>
          </w:tcPr>
          <w:p w14:paraId="16F48E7C" w14:textId="77777777" w:rsidR="00000000" w:rsidRDefault="00EB4933">
            <w:pPr>
              <w:rPr>
                <w:rFonts w:eastAsia="Times New Roman"/>
                <w:sz w:val="20"/>
                <w:szCs w:val="20"/>
              </w:rPr>
            </w:pPr>
            <w:r>
              <w:rPr>
                <w:rFonts w:eastAsia="Times New Roman"/>
                <w:sz w:val="20"/>
                <w:szCs w:val="20"/>
              </w:rPr>
              <w:t> </w:t>
            </w:r>
          </w:p>
        </w:tc>
      </w:tr>
      <w:tr w:rsidR="00000000" w14:paraId="13218F27" w14:textId="77777777">
        <w:trPr>
          <w:divId w:val="98525094"/>
          <w:trHeight w:val="225"/>
          <w:tblCellSpacing w:w="15" w:type="dxa"/>
        </w:trPr>
        <w:tc>
          <w:tcPr>
            <w:tcW w:w="0" w:type="auto"/>
            <w:tcBorders>
              <w:bottom w:val="single" w:sz="6" w:space="0" w:color="000000"/>
            </w:tcBorders>
            <w:vAlign w:val="center"/>
            <w:hideMark/>
          </w:tcPr>
          <w:p w14:paraId="2026FF6C" w14:textId="77777777" w:rsidR="00000000" w:rsidRDefault="00EB4933">
            <w:pPr>
              <w:jc w:val="center"/>
              <w:rPr>
                <w:rFonts w:eastAsia="Times New Roman"/>
                <w:sz w:val="20"/>
                <w:szCs w:val="20"/>
              </w:rPr>
            </w:pPr>
            <w:r>
              <w:rPr>
                <w:rFonts w:eastAsia="Times New Roman"/>
                <w:sz w:val="20"/>
                <w:szCs w:val="20"/>
              </w:rPr>
              <w:t>51</w:t>
            </w:r>
          </w:p>
        </w:tc>
      </w:tr>
      <w:tr w:rsidR="00000000" w14:paraId="325004FF" w14:textId="77777777">
        <w:trPr>
          <w:divId w:val="98525094"/>
          <w:trHeight w:val="225"/>
          <w:tblCellSpacing w:w="15" w:type="dxa"/>
        </w:trPr>
        <w:tc>
          <w:tcPr>
            <w:tcW w:w="0" w:type="auto"/>
            <w:vAlign w:val="center"/>
            <w:hideMark/>
          </w:tcPr>
          <w:p w14:paraId="097D987F" w14:textId="77777777" w:rsidR="00000000" w:rsidRDefault="00EB4933">
            <w:pPr>
              <w:rPr>
                <w:rFonts w:eastAsia="Times New Roman"/>
                <w:sz w:val="20"/>
                <w:szCs w:val="20"/>
              </w:rPr>
            </w:pPr>
          </w:p>
        </w:tc>
      </w:tr>
      <w:tr w:rsidR="00000000" w14:paraId="2068B2C8" w14:textId="77777777">
        <w:trPr>
          <w:divId w:val="98525094"/>
          <w:trHeight w:val="225"/>
          <w:tblCellSpacing w:w="15" w:type="dxa"/>
        </w:trPr>
        <w:tc>
          <w:tcPr>
            <w:tcW w:w="0" w:type="auto"/>
            <w:vAlign w:val="center"/>
            <w:hideMark/>
          </w:tcPr>
          <w:p w14:paraId="42DC81B4" w14:textId="77777777" w:rsidR="00000000" w:rsidRDefault="00EB4933">
            <w:pPr>
              <w:rPr>
                <w:rFonts w:eastAsia="Times New Roman"/>
                <w:sz w:val="20"/>
                <w:szCs w:val="20"/>
              </w:rPr>
            </w:pPr>
            <w:hyperlink r:id="rId111" w:anchor="toc" w:history="1">
              <w:r>
                <w:rPr>
                  <w:rStyle w:val="Hyperlink"/>
                  <w:rFonts w:eastAsia="Times New Roman"/>
                  <w:i/>
                  <w:iCs/>
                  <w:sz w:val="20"/>
                  <w:szCs w:val="20"/>
                </w:rPr>
                <w:t>Table of Contents</w:t>
              </w:r>
            </w:hyperlink>
          </w:p>
        </w:tc>
      </w:tr>
    </w:tbl>
    <w:p w14:paraId="6B9F54B5"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0EA7BC57" w14:textId="77777777">
        <w:trPr>
          <w:divId w:val="98525094"/>
          <w:trHeight w:val="225"/>
          <w:tblCellSpacing w:w="15" w:type="dxa"/>
        </w:trPr>
        <w:tc>
          <w:tcPr>
            <w:tcW w:w="200" w:type="pct"/>
            <w:vAlign w:val="center"/>
            <w:hideMark/>
          </w:tcPr>
          <w:p w14:paraId="5A818A7B"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36AA6BB9"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42F36648" w14:textId="77777777" w:rsidR="00000000" w:rsidRDefault="00EB4933">
            <w:pPr>
              <w:jc w:val="both"/>
              <w:rPr>
                <w:rFonts w:eastAsia="Times New Roman"/>
                <w:sz w:val="20"/>
                <w:szCs w:val="20"/>
              </w:rPr>
            </w:pPr>
            <w:r>
              <w:rPr>
                <w:rFonts w:eastAsia="Times New Roman"/>
                <w:sz w:val="20"/>
                <w:szCs w:val="20"/>
              </w:rPr>
              <w:t>The microfinance companies shall operate on the market-oriented principle. The loan interest ceiling shall be fluctuating but shall not exceed the ceiling prescribed by the judicatory authority, and the bottom line shall be 0.9 times the loan base interest</w:t>
            </w:r>
            <w:r>
              <w:rPr>
                <w:rFonts w:eastAsia="Times New Roman"/>
                <w:sz w:val="20"/>
                <w:szCs w:val="20"/>
              </w:rPr>
              <w:t xml:space="preserve"> rate published by the PBC. The specific floating range shall be determined independently according to the market principles. The contract clauses, such as the term of loan and loan repayment provisions, shall be determined by the lender and borrower upon </w:t>
            </w:r>
            <w:r>
              <w:rPr>
                <w:rFonts w:eastAsia="Times New Roman"/>
                <w:sz w:val="20"/>
                <w:szCs w:val="20"/>
              </w:rPr>
              <w:t>negotiation pursuant to law under the principles of fairness and voluntariness.</w:t>
            </w:r>
          </w:p>
        </w:tc>
      </w:tr>
      <w:tr w:rsidR="00000000" w14:paraId="49EE51CD" w14:textId="77777777">
        <w:trPr>
          <w:divId w:val="98525094"/>
          <w:trHeight w:val="225"/>
          <w:tblCellSpacing w:w="15" w:type="dxa"/>
        </w:trPr>
        <w:tc>
          <w:tcPr>
            <w:tcW w:w="0" w:type="auto"/>
            <w:vAlign w:val="center"/>
            <w:hideMark/>
          </w:tcPr>
          <w:p w14:paraId="53F10376"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601EA600"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12D32991"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86BBDE6" w14:textId="77777777">
        <w:trPr>
          <w:divId w:val="98525094"/>
          <w:trHeight w:val="225"/>
          <w:tblCellSpacing w:w="15" w:type="dxa"/>
        </w:trPr>
        <w:tc>
          <w:tcPr>
            <w:tcW w:w="0" w:type="auto"/>
            <w:vAlign w:val="center"/>
            <w:hideMark/>
          </w:tcPr>
          <w:p w14:paraId="56C5132B"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617D2F76"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1A92AFB7" w14:textId="77777777" w:rsidR="00000000" w:rsidRDefault="00EB4933">
            <w:pPr>
              <w:jc w:val="both"/>
              <w:rPr>
                <w:rFonts w:eastAsia="Times New Roman"/>
                <w:sz w:val="20"/>
                <w:szCs w:val="20"/>
              </w:rPr>
            </w:pPr>
            <w:r>
              <w:rPr>
                <w:rFonts w:eastAsia="Times New Roman"/>
                <w:sz w:val="20"/>
                <w:szCs w:val="20"/>
              </w:rPr>
              <w:t>Debt financing instruments referred to issuance of debt financing instruments including private placing bonds, by microfinance companies at legally established open</w:t>
            </w:r>
            <w:r>
              <w:rPr>
                <w:rFonts w:eastAsia="Times New Roman"/>
                <w:sz w:val="20"/>
                <w:szCs w:val="20"/>
              </w:rPr>
              <w:t xml:space="preserve"> exchange markets, including but not limited to Beijing Securities Exchange and Wuhan Securities Exchange. Total asset transfer financing (excludes </w:t>
            </w:r>
            <w:r>
              <w:rPr>
                <w:rFonts w:eastAsia="Times New Roman"/>
                <w:sz w:val="20"/>
                <w:szCs w:val="20"/>
              </w:rPr>
              <w:lastRenderedPageBreak/>
              <w:t>financing provided from shareholders) of the microfinance company acquired from bonds, funds from banking fi</w:t>
            </w:r>
            <w:r>
              <w:rPr>
                <w:rFonts w:eastAsia="Times New Roman"/>
                <w:sz w:val="20"/>
                <w:szCs w:val="20"/>
              </w:rPr>
              <w:t>nancial institutions and buy-back, shall not exceed 150% of its net capital. Total financing provided by legal person shareholders shall not exceed 50% of its net capital.</w:t>
            </w:r>
          </w:p>
        </w:tc>
      </w:tr>
    </w:tbl>
    <w:p w14:paraId="2860DFCC"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xml:space="preserve">  </w:t>
      </w:r>
    </w:p>
    <w:p w14:paraId="27765447"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In accordance with </w:t>
      </w:r>
      <w:r>
        <w:rPr>
          <w:rStyle w:val="Emphasis"/>
          <w:sz w:val="20"/>
          <w:szCs w:val="20"/>
        </w:rPr>
        <w:t>Legislation Law of the People’s Republic of China</w:t>
      </w:r>
      <w:r>
        <w:rPr>
          <w:sz w:val="20"/>
          <w:szCs w:val="20"/>
        </w:rPr>
        <w:t>, laws in Ch</w:t>
      </w:r>
      <w:r>
        <w:rPr>
          <w:sz w:val="20"/>
          <w:szCs w:val="20"/>
        </w:rPr>
        <w:t xml:space="preserve">ina consist of the </w:t>
      </w:r>
      <w:r>
        <w:rPr>
          <w:rStyle w:val="Emphasis"/>
          <w:sz w:val="20"/>
          <w:szCs w:val="20"/>
        </w:rPr>
        <w:t>Constitution</w:t>
      </w:r>
      <w:r>
        <w:rPr>
          <w:sz w:val="20"/>
          <w:szCs w:val="20"/>
        </w:rPr>
        <w:t>, law, administrative regulation, local regulation, autonomous regulation, separate regulation and rule. They are formulated by different legislative bodies and administrative bodies, and are of different ranks of legal effec</w:t>
      </w:r>
      <w:r>
        <w:rPr>
          <w:sz w:val="20"/>
          <w:szCs w:val="20"/>
        </w:rPr>
        <w:t>t.</w:t>
      </w:r>
    </w:p>
    <w:p w14:paraId="018BDFFE"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E1CCF97"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The legal effect of the </w:t>
      </w:r>
      <w:r>
        <w:rPr>
          <w:rStyle w:val="Emphasis"/>
          <w:sz w:val="20"/>
          <w:szCs w:val="20"/>
        </w:rPr>
        <w:t>Constitution</w:t>
      </w:r>
      <w:r>
        <w:rPr>
          <w:sz w:val="20"/>
          <w:szCs w:val="20"/>
        </w:rPr>
        <w:t xml:space="preserve"> </w:t>
      </w:r>
      <w:r>
        <w:rPr>
          <w:sz w:val="20"/>
          <w:szCs w:val="20"/>
        </w:rPr>
        <w:t>is the highest; the effect of laws is higher than that of administrative regulations, local regulations, and rules; the effect of administrative regulations is higher than that of local regulations, and rules; the effect of local regulations is higher than</w:t>
      </w:r>
      <w:r>
        <w:rPr>
          <w:sz w:val="20"/>
          <w:szCs w:val="20"/>
        </w:rPr>
        <w:t xml:space="preserve"> that of the rules of the local governments at or below the corresponding level; rules formulated by the people’s government of a province or autonomous region shall have superior legal authority than rules formulated by the people’s government of a city w</w:t>
      </w:r>
      <w:r>
        <w:rPr>
          <w:sz w:val="20"/>
          <w:szCs w:val="20"/>
        </w:rPr>
        <w:t>ith districts or an autonomous prefecture located within the administrative regions of the province or autonomous region; the effect of the rules of different departments is equal between the departments, and the effect of the department rules and of the r</w:t>
      </w:r>
      <w:r>
        <w:rPr>
          <w:sz w:val="20"/>
          <w:szCs w:val="20"/>
        </w:rPr>
        <w:t>ules of local governments is equal between the departments and local governments; their application shall be confined to their respective limits of authority; with regard to laws, administrative regulations, local regulations, autonomous regulations, separ</w:t>
      </w:r>
      <w:r>
        <w:rPr>
          <w:sz w:val="20"/>
          <w:szCs w:val="20"/>
        </w:rPr>
        <w:t>ate regulations or rules, if they are formulated by one and same organ and if there is inconsistency between special provisions and general provisions, the special provisions shall prevail; if there is inconsistency between the new provisions and the old p</w:t>
      </w:r>
      <w:r>
        <w:rPr>
          <w:sz w:val="20"/>
          <w:szCs w:val="20"/>
        </w:rPr>
        <w:t xml:space="preserve">rovisions, the new provisions shall prevail. </w:t>
      </w:r>
    </w:p>
    <w:p w14:paraId="6254B62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6DD3442" w14:textId="77777777" w:rsidR="00000000" w:rsidRDefault="00EB4933">
      <w:pPr>
        <w:pStyle w:val="NormalWeb"/>
        <w:spacing w:before="0" w:beforeAutospacing="0" w:after="0" w:afterAutospacing="0"/>
        <w:ind w:firstLine="675"/>
        <w:jc w:val="both"/>
        <w:divId w:val="98525094"/>
        <w:rPr>
          <w:sz w:val="20"/>
          <w:szCs w:val="20"/>
        </w:rPr>
      </w:pPr>
      <w:r>
        <w:rPr>
          <w:sz w:val="20"/>
          <w:szCs w:val="20"/>
        </w:rPr>
        <w:t>Currently, there are no specific laws or administrative regulations relating to microfinance companies in China. The main regulations relating to microfinance companies are rules formulated by the CBRC and th</w:t>
      </w:r>
      <w:r>
        <w:rPr>
          <w:sz w:val="20"/>
          <w:szCs w:val="20"/>
        </w:rPr>
        <w:t>e PBC, and rules formulated by local government or departments of local governments.</w:t>
      </w:r>
    </w:p>
    <w:p w14:paraId="4F2AC15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648CA27"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regulatory policies are rules or regional normative documents, and are neither laws nor administrative regulations. The microfinance company should comply with the a</w:t>
      </w:r>
      <w:r>
        <w:rPr>
          <w:sz w:val="20"/>
          <w:szCs w:val="20"/>
        </w:rPr>
        <w:t>bove requirements in the regulatory policies when operating its business. The Microfinance Work Joint Session and the Microfinance Work Joint Session Office, which are responsible for the supervision and administration of microfinance companies, has the au</w:t>
      </w:r>
      <w:r>
        <w:rPr>
          <w:sz w:val="20"/>
          <w:szCs w:val="20"/>
        </w:rPr>
        <w:t>thority to interpret, determine and waive the compliance of any of the above requirements.</w:t>
      </w:r>
    </w:p>
    <w:p w14:paraId="21800AF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830920C" w14:textId="77777777" w:rsidR="00000000" w:rsidRDefault="00EB4933">
      <w:pPr>
        <w:pStyle w:val="NormalWeb"/>
        <w:spacing w:before="0" w:beforeAutospacing="0" w:after="0" w:afterAutospacing="0"/>
        <w:ind w:firstLine="675"/>
        <w:jc w:val="both"/>
        <w:divId w:val="98525094"/>
        <w:rPr>
          <w:sz w:val="20"/>
          <w:szCs w:val="20"/>
        </w:rPr>
      </w:pPr>
      <w:r>
        <w:rPr>
          <w:sz w:val="20"/>
          <w:szCs w:val="20"/>
        </w:rPr>
        <w:t>Failure to comply with the above requirements without a waiver or exemption may subject the microfinance company to (i) warning, (ii) punishment on its senior exec</w:t>
      </w:r>
      <w:r>
        <w:rPr>
          <w:sz w:val="20"/>
          <w:szCs w:val="20"/>
        </w:rPr>
        <w:t>utive, (iii) restriction on business operation, (iv) suspension of its pilot operation permit, and (v) ultimately the abolishment of its pilot operating permit, which will have a material adverse effect on our business.</w:t>
      </w:r>
    </w:p>
    <w:p w14:paraId="0A5FAFAD"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12BA6AF" w14:textId="77777777">
        <w:trPr>
          <w:divId w:val="98525094"/>
          <w:trHeight w:val="225"/>
          <w:tblCellSpacing w:w="15" w:type="dxa"/>
        </w:trPr>
        <w:tc>
          <w:tcPr>
            <w:tcW w:w="0" w:type="auto"/>
            <w:vAlign w:val="center"/>
            <w:hideMark/>
          </w:tcPr>
          <w:p w14:paraId="13E3471C" w14:textId="77777777" w:rsidR="00000000" w:rsidRDefault="00EB4933">
            <w:pPr>
              <w:rPr>
                <w:rFonts w:eastAsia="Times New Roman"/>
                <w:sz w:val="20"/>
                <w:szCs w:val="20"/>
              </w:rPr>
            </w:pPr>
            <w:r>
              <w:rPr>
                <w:rFonts w:eastAsia="Times New Roman"/>
                <w:sz w:val="20"/>
                <w:szCs w:val="20"/>
              </w:rPr>
              <w:t> </w:t>
            </w:r>
          </w:p>
        </w:tc>
      </w:tr>
      <w:tr w:rsidR="00000000" w14:paraId="51D1C9C0" w14:textId="77777777">
        <w:trPr>
          <w:divId w:val="98525094"/>
          <w:trHeight w:val="225"/>
          <w:tblCellSpacing w:w="15" w:type="dxa"/>
        </w:trPr>
        <w:tc>
          <w:tcPr>
            <w:tcW w:w="0" w:type="auto"/>
            <w:tcBorders>
              <w:bottom w:val="single" w:sz="6" w:space="0" w:color="000000"/>
            </w:tcBorders>
            <w:vAlign w:val="center"/>
            <w:hideMark/>
          </w:tcPr>
          <w:p w14:paraId="52A6532D" w14:textId="77777777" w:rsidR="00000000" w:rsidRDefault="00EB4933">
            <w:pPr>
              <w:jc w:val="center"/>
              <w:rPr>
                <w:rFonts w:eastAsia="Times New Roman"/>
                <w:sz w:val="20"/>
                <w:szCs w:val="20"/>
              </w:rPr>
            </w:pPr>
            <w:r>
              <w:rPr>
                <w:rFonts w:eastAsia="Times New Roman"/>
                <w:sz w:val="20"/>
                <w:szCs w:val="20"/>
              </w:rPr>
              <w:t>52</w:t>
            </w:r>
          </w:p>
        </w:tc>
      </w:tr>
      <w:tr w:rsidR="00000000" w14:paraId="3F426C25" w14:textId="77777777">
        <w:trPr>
          <w:divId w:val="98525094"/>
          <w:trHeight w:val="225"/>
          <w:tblCellSpacing w:w="15" w:type="dxa"/>
        </w:trPr>
        <w:tc>
          <w:tcPr>
            <w:tcW w:w="0" w:type="auto"/>
            <w:vAlign w:val="center"/>
            <w:hideMark/>
          </w:tcPr>
          <w:p w14:paraId="7835B3DF" w14:textId="77777777" w:rsidR="00000000" w:rsidRDefault="00EB4933">
            <w:pPr>
              <w:rPr>
                <w:rFonts w:eastAsia="Times New Roman"/>
                <w:sz w:val="20"/>
                <w:szCs w:val="20"/>
              </w:rPr>
            </w:pPr>
          </w:p>
        </w:tc>
      </w:tr>
      <w:tr w:rsidR="00000000" w14:paraId="751A13A7" w14:textId="77777777">
        <w:trPr>
          <w:divId w:val="98525094"/>
          <w:trHeight w:val="225"/>
          <w:tblCellSpacing w:w="15" w:type="dxa"/>
        </w:trPr>
        <w:tc>
          <w:tcPr>
            <w:tcW w:w="0" w:type="auto"/>
            <w:vAlign w:val="center"/>
            <w:hideMark/>
          </w:tcPr>
          <w:p w14:paraId="723BA446" w14:textId="77777777" w:rsidR="00000000" w:rsidRDefault="00EB4933">
            <w:pPr>
              <w:rPr>
                <w:rFonts w:eastAsia="Times New Roman"/>
                <w:sz w:val="20"/>
                <w:szCs w:val="20"/>
              </w:rPr>
            </w:pPr>
            <w:hyperlink r:id="rId112" w:anchor="toc" w:history="1">
              <w:r>
                <w:rPr>
                  <w:rStyle w:val="Hyperlink"/>
                  <w:rFonts w:eastAsia="Times New Roman"/>
                  <w:i/>
                  <w:iCs/>
                  <w:sz w:val="20"/>
                  <w:szCs w:val="20"/>
                </w:rPr>
                <w:t>Table of Contents</w:t>
              </w:r>
            </w:hyperlink>
          </w:p>
        </w:tc>
      </w:tr>
    </w:tbl>
    <w:p w14:paraId="0470E22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9A1E9EE" w14:textId="77777777" w:rsidR="00000000" w:rsidRDefault="00EB4933">
      <w:pPr>
        <w:pStyle w:val="NormalWeb"/>
        <w:spacing w:before="0" w:beforeAutospacing="0" w:after="0" w:afterAutospacing="0"/>
        <w:jc w:val="both"/>
        <w:divId w:val="98525094"/>
        <w:rPr>
          <w:sz w:val="20"/>
          <w:szCs w:val="20"/>
        </w:rPr>
      </w:pPr>
      <w:r>
        <w:rPr>
          <w:rStyle w:val="Strong"/>
          <w:sz w:val="20"/>
          <w:szCs w:val="20"/>
        </w:rPr>
        <w:t>Labor Contract Law</w:t>
      </w:r>
    </w:p>
    <w:p w14:paraId="53984CE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4CAA35E"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PRC Labor Contract Law was promulgated on June 29, 2007, as amended on December 28, 2012, became effective on July 1, 2013. According to the Labor Contract Law of PRC labor contracts shall be entered into if labor relationships are to be established be</w:t>
      </w:r>
      <w:r>
        <w:rPr>
          <w:sz w:val="20"/>
          <w:szCs w:val="20"/>
        </w:rPr>
        <w:t>tween an entity and its employees. The entity cannot require the employees to work in excess of the time limit as permitted under the relevant labor laws and regulations and shall pay to the employees’ wages which are no lower than local standards on minim</w:t>
      </w:r>
      <w:r>
        <w:rPr>
          <w:sz w:val="20"/>
          <w:szCs w:val="20"/>
        </w:rPr>
        <w:t>um wages. The entity shall establish and perfect its system for labor safety and sanitation, strictly abide by rules and standards on labor safety and sanitation, educate employees in labor safety and sanitation in the PRC.</w:t>
      </w:r>
    </w:p>
    <w:p w14:paraId="3CEA0D2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A06D632" w14:textId="77777777" w:rsidR="00000000" w:rsidRDefault="00EB4933">
      <w:pPr>
        <w:pStyle w:val="NormalWeb"/>
        <w:spacing w:before="0" w:beforeAutospacing="0" w:after="0" w:afterAutospacing="0"/>
        <w:jc w:val="both"/>
        <w:divId w:val="98525094"/>
        <w:rPr>
          <w:sz w:val="20"/>
          <w:szCs w:val="20"/>
        </w:rPr>
      </w:pPr>
      <w:r>
        <w:rPr>
          <w:rStyle w:val="Strong"/>
          <w:sz w:val="20"/>
          <w:szCs w:val="20"/>
        </w:rPr>
        <w:t>Social Insurance Regulations</w:t>
      </w:r>
    </w:p>
    <w:p w14:paraId="73543E3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1E49097" w14:textId="77777777" w:rsidR="00000000" w:rsidRDefault="00EB4933">
      <w:pPr>
        <w:pStyle w:val="NormalWeb"/>
        <w:spacing w:before="0" w:beforeAutospacing="0" w:after="0" w:afterAutospacing="0"/>
        <w:ind w:firstLine="675"/>
        <w:jc w:val="both"/>
        <w:divId w:val="98525094"/>
        <w:rPr>
          <w:sz w:val="20"/>
          <w:szCs w:val="20"/>
        </w:rPr>
      </w:pPr>
      <w:r>
        <w:rPr>
          <w:sz w:val="20"/>
          <w:szCs w:val="20"/>
        </w:rPr>
        <w:t>According to the PRC Social Insurance Law and the Rules on Implementing the PRC Social Insurance Law (</w:t>
      </w:r>
      <w:r>
        <w:rPr>
          <w:rFonts w:ascii="MS Mincho" w:eastAsia="MS Mincho" w:hAnsi="MS Mincho" w:cs="MS Mincho" w:hint="eastAsia"/>
          <w:sz w:val="20"/>
          <w:szCs w:val="20"/>
        </w:rPr>
        <w:t>《中</w:t>
      </w:r>
      <w:r>
        <w:rPr>
          <w:rFonts w:ascii="SimSun" w:eastAsia="SimSun" w:hAnsi="SimSun" w:cs="SimSun" w:hint="eastAsia"/>
          <w:sz w:val="20"/>
          <w:szCs w:val="20"/>
        </w:rPr>
        <w:t>华人民共和国社会保险法》及其实施实施细则</w:t>
      </w:r>
      <w:r>
        <w:rPr>
          <w:sz w:val="20"/>
          <w:szCs w:val="20"/>
        </w:rPr>
        <w:t xml:space="preserve">), both effective as of July 1, 2011, and the PRC Social </w:t>
      </w:r>
      <w:r>
        <w:rPr>
          <w:sz w:val="20"/>
          <w:szCs w:val="20"/>
        </w:rPr>
        <w:lastRenderedPageBreak/>
        <w:t xml:space="preserve">Insurance Law was amended on December 29, 2018, the state shall establish </w:t>
      </w:r>
      <w:r>
        <w:rPr>
          <w:sz w:val="20"/>
          <w:szCs w:val="20"/>
        </w:rPr>
        <w:t>a social insurance system including basic pension insurance, basic medical insurance, unemployment insurance, work-related injury insurance and maternity insurance, and both employers and individuals shall pay social insurance premiums. Migrant workers sha</w:t>
      </w:r>
      <w:r>
        <w:rPr>
          <w:sz w:val="20"/>
          <w:szCs w:val="20"/>
        </w:rPr>
        <w:t xml:space="preserve">ll participate in social insurance schemes, and foreigners employed within the territory of the PRC shall participate in social insurance as well. Violations of the PRC Social Insurance Law may result in the imposition of fines, and criminal liability may </w:t>
      </w:r>
      <w:r>
        <w:rPr>
          <w:sz w:val="20"/>
          <w:szCs w:val="20"/>
        </w:rPr>
        <w:t>be incurred in serious cases.</w:t>
      </w:r>
    </w:p>
    <w:p w14:paraId="388BB005"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1EC8E60" w14:textId="77777777" w:rsidR="00000000" w:rsidRDefault="00EB4933">
      <w:pPr>
        <w:pStyle w:val="NormalWeb"/>
        <w:spacing w:before="0" w:beforeAutospacing="0" w:after="0" w:afterAutospacing="0"/>
        <w:ind w:firstLine="675"/>
        <w:jc w:val="both"/>
        <w:divId w:val="98525094"/>
        <w:rPr>
          <w:sz w:val="20"/>
          <w:szCs w:val="20"/>
        </w:rPr>
      </w:pPr>
      <w:r>
        <w:rPr>
          <w:sz w:val="20"/>
          <w:szCs w:val="20"/>
        </w:rPr>
        <w:t>According to Interim Regulations concerning the Levy of Social Insurance (</w:t>
      </w:r>
      <w:r>
        <w:rPr>
          <w:rFonts w:ascii="MS Mincho" w:eastAsia="MS Mincho" w:hAnsi="MS Mincho" w:cs="MS Mincho" w:hint="eastAsia"/>
          <w:sz w:val="20"/>
          <w:szCs w:val="20"/>
        </w:rPr>
        <w:t>社会保</w:t>
      </w:r>
      <w:r>
        <w:rPr>
          <w:rFonts w:ascii="SimSun" w:eastAsia="SimSun" w:hAnsi="SimSun" w:cs="SimSun" w:hint="eastAsia"/>
          <w:sz w:val="20"/>
          <w:szCs w:val="20"/>
        </w:rPr>
        <w:t>险费征缴暂行条例</w:t>
      </w:r>
      <w:r>
        <w:rPr>
          <w:sz w:val="20"/>
          <w:szCs w:val="20"/>
        </w:rPr>
        <w:t>) effective as of January 22, 1999, as amended on March 24, 2019, employers in the PRC shall conduct the registration of social insurance w</w:t>
      </w:r>
      <w:r>
        <w:rPr>
          <w:sz w:val="20"/>
          <w:szCs w:val="20"/>
        </w:rPr>
        <w:t>ith the competent authorities, and make contributions to the basic pension insurance, basic medical insurance and unemployment insurance for their employees.</w:t>
      </w:r>
    </w:p>
    <w:p w14:paraId="4B1EF28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D4C312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According to the Regulations on Occupational Injury Insurance </w:t>
      </w:r>
      <w:r>
        <w:rPr>
          <w:rStyle w:val="Emphasis"/>
          <w:rFonts w:ascii="MS Mincho" w:eastAsia="MS Mincho" w:hAnsi="MS Mincho" w:cs="MS Mincho" w:hint="eastAsia"/>
          <w:sz w:val="20"/>
          <w:szCs w:val="20"/>
        </w:rPr>
        <w:t>（</w:t>
      </w:r>
      <w:r>
        <w:rPr>
          <w:rFonts w:ascii="MS Mincho" w:eastAsia="MS Mincho" w:hAnsi="MS Mincho" w:cs="MS Mincho" w:hint="eastAsia"/>
          <w:sz w:val="20"/>
          <w:szCs w:val="20"/>
        </w:rPr>
        <w:t>工</w:t>
      </w:r>
      <w:r>
        <w:rPr>
          <w:rFonts w:ascii="SimSun" w:eastAsia="SimSun" w:hAnsi="SimSun" w:cs="SimSun" w:hint="eastAsia"/>
          <w:sz w:val="20"/>
          <w:szCs w:val="20"/>
        </w:rPr>
        <w:t>伤保险条例）</w:t>
      </w:r>
      <w:r>
        <w:rPr>
          <w:sz w:val="20"/>
          <w:szCs w:val="20"/>
        </w:rPr>
        <w:t xml:space="preserve">, effective as of January </w:t>
      </w:r>
      <w:r>
        <w:rPr>
          <w:sz w:val="20"/>
          <w:szCs w:val="20"/>
        </w:rPr>
        <w:t>1, 2004, as subsequently amended on December 20, 2010, employers in the PRC shall pay the occupational injury insurance fees for their employees.</w:t>
      </w:r>
    </w:p>
    <w:p w14:paraId="6F07E51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CEC7781"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Foreign Exchange Registration of Offshore Investment by PRC Residents</w:t>
      </w:r>
    </w:p>
    <w:p w14:paraId="36B142B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95A3350"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July 4, 2014, SAFE promulgated th</w:t>
      </w:r>
      <w:r>
        <w:rPr>
          <w:sz w:val="20"/>
          <w:szCs w:val="20"/>
        </w:rPr>
        <w:t xml:space="preserve">e Circular on Relevant Issues Concerning Foreign Exchange Control on Domestic Residents’ Offshore Investment and Financing and Roundtrip Investment through Special Purpose Vehicles, or SAFE Circular 37, which replaced the former circular commonly known as </w:t>
      </w:r>
      <w:r>
        <w:rPr>
          <w:sz w:val="20"/>
          <w:szCs w:val="20"/>
        </w:rPr>
        <w:t>“SAFE Circular 75” promulgated by SAFE on October 21, 2005. SAFE Circular 37 requires PRC residents to register with local branches of SAFE in connection with their direct establishment or indirect control of an offshore entity, for the purpose of overseas</w:t>
      </w:r>
      <w:r>
        <w:rPr>
          <w:sz w:val="20"/>
          <w:szCs w:val="20"/>
        </w:rPr>
        <w:t xml:space="preserve"> investment and financing, with such PRC residents’ legally owned assets or equity interests in domestic enterprises or offshore assets or interests, referred to in SAFE Circular 37 as a “special purpose vehicle.” SAFE Circular 37 further requires amendmen</w:t>
      </w:r>
      <w:r>
        <w:rPr>
          <w:sz w:val="20"/>
          <w:szCs w:val="20"/>
        </w:rPr>
        <w:t xml:space="preserve">t to the registration in the event of any significant changes with respect to the special purpose vehicle, such as increase or decrease of capital contributed by PRC individuals, share transfer or exchange, merger, division or other material event. In the </w:t>
      </w:r>
      <w:r>
        <w:rPr>
          <w:sz w:val="20"/>
          <w:szCs w:val="20"/>
        </w:rPr>
        <w:t xml:space="preserve">event that a PRC shareholder holding interests in a special purpose vehicle fails to fulfill the required SAFE registration, the PRC subsidiaries of that special purpose vehicle may be prohibited from making profit distributions to the offshore parent and </w:t>
      </w:r>
      <w:r>
        <w:rPr>
          <w:sz w:val="20"/>
          <w:szCs w:val="20"/>
        </w:rPr>
        <w:t>from carrying out subsequent cross-border foreign exchange activities, and the special purpose vehicle may be restricted in its ability to contribute additional capital into its PRC subsidiary. Furthermore, failure to comply with the various SAFE registrat</w:t>
      </w:r>
      <w:r>
        <w:rPr>
          <w:sz w:val="20"/>
          <w:szCs w:val="20"/>
        </w:rPr>
        <w:t xml:space="preserve">ion requirements described above could result in liability under PRC law for evasion of foreign exchange controls. SAFE promulgated the Notice on Further Simplifying and Improving the Administration of the Foreign Exchange Concerning Direct Investment </w:t>
      </w:r>
      <w:r>
        <w:rPr>
          <w:rStyle w:val="Emphasis"/>
          <w:rFonts w:ascii="MS Mincho" w:eastAsia="MS Mincho" w:hAnsi="MS Mincho" w:cs="MS Mincho" w:hint="eastAsia"/>
          <w:sz w:val="20"/>
          <w:szCs w:val="20"/>
        </w:rPr>
        <w:t>（《</w:t>
      </w:r>
      <w:r>
        <w:rPr>
          <w:rFonts w:ascii="MS Mincho" w:eastAsia="MS Mincho" w:hAnsi="MS Mincho" w:cs="MS Mincho" w:hint="eastAsia"/>
          <w:sz w:val="20"/>
          <w:szCs w:val="20"/>
        </w:rPr>
        <w:t>国家</w:t>
      </w:r>
      <w:r>
        <w:rPr>
          <w:rFonts w:ascii="MS Mincho" w:eastAsia="MS Mincho" w:hAnsi="MS Mincho" w:cs="MS Mincho" w:hint="eastAsia"/>
          <w:sz w:val="20"/>
          <w:szCs w:val="20"/>
        </w:rPr>
        <w:t>外</w:t>
      </w:r>
      <w:r>
        <w:rPr>
          <w:rFonts w:ascii="SimSun" w:eastAsia="SimSun" w:hAnsi="SimSun" w:cs="SimSun" w:hint="eastAsia"/>
          <w:sz w:val="20"/>
          <w:szCs w:val="20"/>
        </w:rPr>
        <w:t>汇管理局关于进一步简化和改进直接投资外汇管理政策的通知</w:t>
      </w:r>
      <w:r>
        <w:rPr>
          <w:rStyle w:val="Emphasis"/>
          <w:rFonts w:ascii="MS Mincho" w:eastAsia="MS Mincho" w:hAnsi="MS Mincho" w:cs="MS Mincho" w:hint="eastAsia"/>
          <w:sz w:val="20"/>
          <w:szCs w:val="20"/>
        </w:rPr>
        <w:t>》）</w:t>
      </w:r>
      <w:r>
        <w:rPr>
          <w:sz w:val="20"/>
          <w:szCs w:val="20"/>
        </w:rPr>
        <w:t>in February 2015 (partially invalid on December 30, 2019), which took effect on June 1, 2015. This notice has amended SAFE Circular 37 requiring PRC residents or entities to register with qualified banks rather than SAFE or it</w:t>
      </w:r>
      <w:r>
        <w:rPr>
          <w:sz w:val="20"/>
          <w:szCs w:val="20"/>
        </w:rPr>
        <w:t xml:space="preserve">s local branch in connection with their establishment or control of an offshore entity established for the purpose of overseas investment or financing. Several articles of this notice were abolished by SAFE on December 30, 2019, but these amended articles </w:t>
      </w:r>
      <w:r>
        <w:rPr>
          <w:sz w:val="20"/>
          <w:szCs w:val="20"/>
        </w:rPr>
        <w:t xml:space="preserve">are not related to the foreign exchange registration of offshore investment by residents. </w:t>
      </w:r>
    </w:p>
    <w:p w14:paraId="246F580F"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27D8EC6" w14:textId="77777777">
        <w:trPr>
          <w:divId w:val="98525094"/>
          <w:trHeight w:val="225"/>
          <w:tblCellSpacing w:w="15" w:type="dxa"/>
        </w:trPr>
        <w:tc>
          <w:tcPr>
            <w:tcW w:w="0" w:type="auto"/>
            <w:vAlign w:val="center"/>
            <w:hideMark/>
          </w:tcPr>
          <w:p w14:paraId="5E9202AD" w14:textId="77777777" w:rsidR="00000000" w:rsidRDefault="00EB4933">
            <w:pPr>
              <w:rPr>
                <w:rFonts w:eastAsia="Times New Roman"/>
                <w:sz w:val="20"/>
                <w:szCs w:val="20"/>
              </w:rPr>
            </w:pPr>
            <w:r>
              <w:rPr>
                <w:rFonts w:eastAsia="Times New Roman"/>
                <w:sz w:val="20"/>
                <w:szCs w:val="20"/>
              </w:rPr>
              <w:t> </w:t>
            </w:r>
          </w:p>
        </w:tc>
      </w:tr>
      <w:tr w:rsidR="00000000" w14:paraId="01664A83" w14:textId="77777777">
        <w:trPr>
          <w:divId w:val="98525094"/>
          <w:trHeight w:val="225"/>
          <w:tblCellSpacing w:w="15" w:type="dxa"/>
        </w:trPr>
        <w:tc>
          <w:tcPr>
            <w:tcW w:w="0" w:type="auto"/>
            <w:tcBorders>
              <w:bottom w:val="single" w:sz="6" w:space="0" w:color="000000"/>
            </w:tcBorders>
            <w:vAlign w:val="center"/>
            <w:hideMark/>
          </w:tcPr>
          <w:p w14:paraId="45DB194C" w14:textId="77777777" w:rsidR="00000000" w:rsidRDefault="00EB4933">
            <w:pPr>
              <w:jc w:val="center"/>
              <w:rPr>
                <w:rFonts w:eastAsia="Times New Roman"/>
                <w:sz w:val="20"/>
                <w:szCs w:val="20"/>
              </w:rPr>
            </w:pPr>
            <w:r>
              <w:rPr>
                <w:rFonts w:eastAsia="Times New Roman"/>
                <w:sz w:val="20"/>
                <w:szCs w:val="20"/>
              </w:rPr>
              <w:t>53</w:t>
            </w:r>
          </w:p>
        </w:tc>
      </w:tr>
      <w:tr w:rsidR="00000000" w14:paraId="13AF57C3" w14:textId="77777777">
        <w:trPr>
          <w:divId w:val="98525094"/>
          <w:trHeight w:val="225"/>
          <w:tblCellSpacing w:w="15" w:type="dxa"/>
        </w:trPr>
        <w:tc>
          <w:tcPr>
            <w:tcW w:w="0" w:type="auto"/>
            <w:vAlign w:val="center"/>
            <w:hideMark/>
          </w:tcPr>
          <w:p w14:paraId="4C452528" w14:textId="77777777" w:rsidR="00000000" w:rsidRDefault="00EB4933">
            <w:pPr>
              <w:rPr>
                <w:rFonts w:eastAsia="Times New Roman"/>
                <w:sz w:val="20"/>
                <w:szCs w:val="20"/>
              </w:rPr>
            </w:pPr>
          </w:p>
        </w:tc>
      </w:tr>
      <w:tr w:rsidR="00000000" w14:paraId="030882B0" w14:textId="77777777">
        <w:trPr>
          <w:divId w:val="98525094"/>
          <w:trHeight w:val="225"/>
          <w:tblCellSpacing w:w="15" w:type="dxa"/>
        </w:trPr>
        <w:tc>
          <w:tcPr>
            <w:tcW w:w="0" w:type="auto"/>
            <w:vAlign w:val="center"/>
            <w:hideMark/>
          </w:tcPr>
          <w:p w14:paraId="48C685D1" w14:textId="77777777" w:rsidR="00000000" w:rsidRDefault="00EB4933">
            <w:pPr>
              <w:rPr>
                <w:rFonts w:eastAsia="Times New Roman"/>
                <w:sz w:val="20"/>
                <w:szCs w:val="20"/>
              </w:rPr>
            </w:pPr>
            <w:hyperlink r:id="rId113" w:anchor="toc" w:history="1">
              <w:r>
                <w:rPr>
                  <w:rStyle w:val="Hyperlink"/>
                  <w:rFonts w:eastAsia="Times New Roman"/>
                  <w:i/>
                  <w:iCs/>
                  <w:sz w:val="20"/>
                  <w:szCs w:val="20"/>
                </w:rPr>
                <w:t>Table of Contents</w:t>
              </w:r>
            </w:hyperlink>
          </w:p>
        </w:tc>
      </w:tr>
    </w:tbl>
    <w:p w14:paraId="788A52A8"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6D91E420"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Foreign Currency Exchange</w:t>
      </w:r>
    </w:p>
    <w:p w14:paraId="10E9A28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E0CD51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The principal regulation governing foreign currency exchange in China is the Foreign Exchange Administration Rules of the PRC </w:t>
      </w:r>
      <w:r>
        <w:rPr>
          <w:rStyle w:val="Emphasis"/>
          <w:rFonts w:ascii="MS Mincho" w:eastAsia="MS Mincho" w:hAnsi="MS Mincho" w:cs="MS Mincho" w:hint="eastAsia"/>
          <w:sz w:val="20"/>
          <w:szCs w:val="20"/>
        </w:rPr>
        <w:t>（《</w:t>
      </w:r>
      <w:r>
        <w:rPr>
          <w:rFonts w:ascii="MS Mincho" w:eastAsia="MS Mincho" w:hAnsi="MS Mincho" w:cs="MS Mincho" w:hint="eastAsia"/>
          <w:sz w:val="20"/>
          <w:szCs w:val="20"/>
        </w:rPr>
        <w:t>中</w:t>
      </w:r>
      <w:r>
        <w:rPr>
          <w:rFonts w:ascii="SimSun" w:eastAsia="SimSun" w:hAnsi="SimSun" w:cs="SimSun" w:hint="eastAsia"/>
          <w:sz w:val="20"/>
          <w:szCs w:val="20"/>
        </w:rPr>
        <w:t>华人民共和国外汇管理条例</w:t>
      </w:r>
      <w:r>
        <w:rPr>
          <w:rStyle w:val="Emphasis"/>
          <w:rFonts w:ascii="MS Mincho" w:eastAsia="MS Mincho" w:hAnsi="MS Mincho" w:cs="MS Mincho" w:hint="eastAsia"/>
          <w:sz w:val="20"/>
          <w:szCs w:val="20"/>
        </w:rPr>
        <w:t>》）</w:t>
      </w:r>
      <w:r>
        <w:rPr>
          <w:sz w:val="20"/>
          <w:szCs w:val="20"/>
        </w:rPr>
        <w:t>, or the Foreign Exchange Administration Rules, promulgated on January 29, 1996, as subsequently amended on Janua</w:t>
      </w:r>
      <w:r>
        <w:rPr>
          <w:sz w:val="20"/>
          <w:szCs w:val="20"/>
        </w:rPr>
        <w:t>ry 14, 1997 and August 1, 2008. Under these rules, RMB is generally freely convertible for payments of current account items, such as trade and service-related foreign exchange transactions and dividend payments, but not freely convertible for capital acco</w:t>
      </w:r>
      <w:r>
        <w:rPr>
          <w:sz w:val="20"/>
          <w:szCs w:val="20"/>
        </w:rPr>
        <w:t>unt items, such as capital transfer, direct investment, investment in securities, derivative products or loan unless prior approval of SAFE is obtained.</w:t>
      </w:r>
    </w:p>
    <w:p w14:paraId="7D585242"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 </w:t>
      </w:r>
    </w:p>
    <w:p w14:paraId="4058AC15" w14:textId="77777777" w:rsidR="00000000" w:rsidRDefault="00EB4933">
      <w:pPr>
        <w:pStyle w:val="NormalWeb"/>
        <w:spacing w:before="0" w:beforeAutospacing="0" w:after="0" w:afterAutospacing="0"/>
        <w:ind w:firstLine="675"/>
        <w:jc w:val="both"/>
        <w:divId w:val="98525094"/>
        <w:rPr>
          <w:sz w:val="20"/>
          <w:szCs w:val="20"/>
        </w:rPr>
      </w:pPr>
      <w:r>
        <w:rPr>
          <w:sz w:val="20"/>
          <w:szCs w:val="20"/>
        </w:rPr>
        <w:t>Under the Foreign Exchange Administration Rules, foreign-invested enterprises in the PRC may purchase</w:t>
      </w:r>
      <w:r>
        <w:rPr>
          <w:sz w:val="20"/>
          <w:szCs w:val="20"/>
        </w:rPr>
        <w:t xml:space="preserve"> foreign exchange without the approval of SAFE for paying dividends by providing certain evidencing documents, such as board resolutions and tax certificates, or for trade and services-related foreign exchange transactions by providing commercial documents</w:t>
      </w:r>
      <w:r>
        <w:rPr>
          <w:sz w:val="20"/>
          <w:szCs w:val="20"/>
        </w:rPr>
        <w:t xml:space="preserve"> evidencing such transactions. They are also allowed to retain foreign currency, subject to an approval by SAFE of a cap amount, to satisfy foreign exchange liabilities. In addition, foreign exchange transactions involving overseas direct investment or inv</w:t>
      </w:r>
      <w:r>
        <w:rPr>
          <w:sz w:val="20"/>
          <w:szCs w:val="20"/>
        </w:rPr>
        <w:t>estment and exchange in securities and derivative products abroad are subject to registration with SAFE and approval or file with the relevant governmental authorities if necessary.</w:t>
      </w:r>
    </w:p>
    <w:p w14:paraId="24CE7015"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EAE8FE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On November 19, 2012, SAFE promulgated </w:t>
      </w:r>
      <w:r>
        <w:rPr>
          <w:rStyle w:val="Emphasis"/>
          <w:sz w:val="20"/>
          <w:szCs w:val="20"/>
        </w:rPr>
        <w:t>the Circular of Further Improving</w:t>
      </w:r>
      <w:r>
        <w:rPr>
          <w:rStyle w:val="Emphasis"/>
          <w:sz w:val="20"/>
          <w:szCs w:val="20"/>
        </w:rPr>
        <w:t xml:space="preserve"> and Adjusting Foreign Exchange Administration Policies on Foreign Direct Investment </w:t>
      </w:r>
      <w:r>
        <w:rPr>
          <w:rFonts w:ascii="MS Mincho" w:eastAsia="MS Mincho" w:hAnsi="MS Mincho" w:cs="MS Mincho" w:hint="eastAsia"/>
          <w:sz w:val="20"/>
          <w:szCs w:val="20"/>
        </w:rPr>
        <w:t>（《国家外</w:t>
      </w:r>
      <w:r>
        <w:rPr>
          <w:rFonts w:ascii="SimSun" w:eastAsia="SimSun" w:hAnsi="SimSun" w:cs="SimSun" w:hint="eastAsia"/>
          <w:sz w:val="20"/>
          <w:szCs w:val="20"/>
        </w:rPr>
        <w:t>汇管理局关于进一步改进和调整直接投资外汇管理政策的通知》（汇发〔</w:t>
      </w:r>
      <w:r>
        <w:rPr>
          <w:sz w:val="20"/>
          <w:szCs w:val="20"/>
        </w:rPr>
        <w:t>2012</w:t>
      </w:r>
      <w:r>
        <w:rPr>
          <w:rFonts w:ascii="Cambria Math" w:eastAsia="Cambria Math" w:hAnsi="Cambria Math" w:cs="Cambria Math" w:hint="eastAsia"/>
          <w:sz w:val="20"/>
          <w:szCs w:val="20"/>
        </w:rPr>
        <w:t>〕</w:t>
      </w:r>
      <w:r>
        <w:rPr>
          <w:sz w:val="20"/>
          <w:szCs w:val="20"/>
        </w:rPr>
        <w:t>59</w:t>
      </w:r>
      <w:r>
        <w:rPr>
          <w:rFonts w:ascii="MS Mincho" w:eastAsia="MS Mincho" w:hAnsi="MS Mincho" w:cs="MS Mincho" w:hint="eastAsia"/>
          <w:sz w:val="20"/>
          <w:szCs w:val="20"/>
        </w:rPr>
        <w:t>号））</w:t>
      </w:r>
      <w:r>
        <w:rPr>
          <w:sz w:val="20"/>
          <w:szCs w:val="20"/>
        </w:rPr>
        <w:t>, as amended on May 4, 2015, which substantially amends and simplifies the current foreign exchange procedure. Pursuant to t</w:t>
      </w:r>
      <w:r>
        <w:rPr>
          <w:sz w:val="20"/>
          <w:szCs w:val="20"/>
        </w:rPr>
        <w:t>his circular, the opening of various special purpose foreign exchange accounts, such as pre-establishment expenses accounts, foreign exchange capital accounts and guarantee accounts, the reinvestment of RMB proceeds by foreign investors in the PRC, and rem</w:t>
      </w:r>
      <w:r>
        <w:rPr>
          <w:sz w:val="20"/>
          <w:szCs w:val="20"/>
        </w:rPr>
        <w:t>ittance of foreign exchange profits and dividends by a foreign-invested enterprise to its foreign shareholders no longer require the approval or verification of SAFE, and multiple capital accounts for the same entity may be opened in different provinces, w</w:t>
      </w:r>
      <w:r>
        <w:rPr>
          <w:sz w:val="20"/>
          <w:szCs w:val="20"/>
        </w:rPr>
        <w:t xml:space="preserve">hich was not possible previously. In addition, SAFE promulgated the </w:t>
      </w:r>
      <w:r>
        <w:rPr>
          <w:rStyle w:val="Emphasis"/>
          <w:sz w:val="20"/>
          <w:szCs w:val="20"/>
        </w:rPr>
        <w:t xml:space="preserve">Circular onPrinting and Distributing the Provisions on Foreign Exchange Administration over Domestic Direct Investment by Foreign Investors and the Supporting Documents </w:t>
      </w:r>
      <w:r>
        <w:rPr>
          <w:rStyle w:val="Emphasis"/>
          <w:rFonts w:ascii="MS Mincho" w:eastAsia="MS Mincho" w:hAnsi="MS Mincho" w:cs="MS Mincho" w:hint="eastAsia"/>
          <w:sz w:val="20"/>
          <w:szCs w:val="20"/>
        </w:rPr>
        <w:t>（</w:t>
      </w:r>
      <w:r>
        <w:rPr>
          <w:rFonts w:ascii="MS Gothic" w:eastAsia="MS Gothic" w:hAnsi="MS Gothic" w:cs="MS Gothic" w:hint="eastAsia"/>
          <w:sz w:val="20"/>
          <w:szCs w:val="20"/>
        </w:rPr>
        <w:t>关于《国家外</w:t>
      </w:r>
      <w:r>
        <w:rPr>
          <w:rFonts w:ascii="SimSun" w:eastAsia="SimSun" w:hAnsi="SimSun" w:cs="SimSun" w:hint="eastAsia"/>
          <w:sz w:val="20"/>
          <w:szCs w:val="20"/>
        </w:rPr>
        <w:t>汇管理局关于印发〈外国投</w:t>
      </w:r>
      <w:r>
        <w:rPr>
          <w:rFonts w:ascii="SimSun" w:eastAsia="SimSun" w:hAnsi="SimSun" w:cs="SimSun" w:hint="eastAsia"/>
          <w:sz w:val="20"/>
          <w:szCs w:val="20"/>
        </w:rPr>
        <w:t>资者境内直接投资外汇管理规定〉及配套文件的通知》（汇发〔</w:t>
      </w:r>
      <w:r>
        <w:rPr>
          <w:sz w:val="20"/>
          <w:szCs w:val="20"/>
        </w:rPr>
        <w:t>2013</w:t>
      </w:r>
      <w:r>
        <w:rPr>
          <w:rFonts w:ascii="Cambria Math" w:eastAsia="Cambria Math" w:hAnsi="Cambria Math" w:cs="Cambria Math" w:hint="eastAsia"/>
          <w:sz w:val="20"/>
          <w:szCs w:val="20"/>
        </w:rPr>
        <w:t>〕</w:t>
      </w:r>
      <w:r>
        <w:rPr>
          <w:sz w:val="20"/>
          <w:szCs w:val="20"/>
        </w:rPr>
        <w:t>21</w:t>
      </w:r>
      <w:r>
        <w:rPr>
          <w:rFonts w:ascii="MS Mincho" w:eastAsia="MS Mincho" w:hAnsi="MS Mincho" w:cs="MS Mincho" w:hint="eastAsia"/>
          <w:sz w:val="20"/>
          <w:szCs w:val="20"/>
        </w:rPr>
        <w:t>号）</w:t>
      </w:r>
      <w:r>
        <w:rPr>
          <w:rStyle w:val="Emphasis"/>
          <w:rFonts w:ascii="MS Mincho" w:eastAsia="MS Mincho" w:hAnsi="MS Mincho" w:cs="MS Mincho" w:hint="eastAsia"/>
          <w:sz w:val="20"/>
          <w:szCs w:val="20"/>
        </w:rPr>
        <w:t>）</w:t>
      </w:r>
      <w:r>
        <w:rPr>
          <w:rStyle w:val="Emphasis"/>
          <w:sz w:val="20"/>
          <w:szCs w:val="20"/>
        </w:rPr>
        <w:t xml:space="preserve"> </w:t>
      </w:r>
      <w:r>
        <w:rPr>
          <w:sz w:val="20"/>
          <w:szCs w:val="20"/>
        </w:rPr>
        <w:t>in May 2013 (partially Invalid on December 30, 2019), which specifies that the administration by SAFE or its local branches over direct investment by foreign investors in the PRC shall be conducted by way of registrat</w:t>
      </w:r>
      <w:r>
        <w:rPr>
          <w:sz w:val="20"/>
          <w:szCs w:val="20"/>
        </w:rPr>
        <w:t>ion and banks shall process foreign exchange business relating to the direct investment in the PRC based on the registration information provided by SAFE and its branches.</w:t>
      </w:r>
    </w:p>
    <w:p w14:paraId="29D436B7"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D43C61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On February 13, 2015, SAFE promulgated the </w:t>
      </w:r>
      <w:r>
        <w:rPr>
          <w:rStyle w:val="Emphasis"/>
          <w:sz w:val="20"/>
          <w:szCs w:val="20"/>
        </w:rPr>
        <w:t>Notice on Further Simplifying and Impro</w:t>
      </w:r>
      <w:r>
        <w:rPr>
          <w:rStyle w:val="Emphasis"/>
          <w:sz w:val="20"/>
          <w:szCs w:val="20"/>
        </w:rPr>
        <w:t>ving the Administration of the Foreign Exchange Concerning Direct Investment,</w:t>
      </w:r>
      <w:r>
        <w:rPr>
          <w:sz w:val="20"/>
          <w:szCs w:val="20"/>
        </w:rPr>
        <w:t xml:space="preserve"> or SAFE Notice 13 </w:t>
      </w:r>
      <w:r>
        <w:rPr>
          <w:rFonts w:ascii="MS Mincho" w:eastAsia="MS Mincho" w:hAnsi="MS Mincho" w:cs="MS Mincho" w:hint="eastAsia"/>
          <w:sz w:val="20"/>
          <w:szCs w:val="20"/>
        </w:rPr>
        <w:t>国家外</w:t>
      </w:r>
      <w:r>
        <w:rPr>
          <w:rFonts w:ascii="SimSun" w:eastAsia="SimSun" w:hAnsi="SimSun" w:cs="SimSun" w:hint="eastAsia"/>
          <w:sz w:val="20"/>
          <w:szCs w:val="20"/>
        </w:rPr>
        <w:t>汇管理局关于进一步简化和改进直接投资外汇管理政策的通知</w:t>
      </w:r>
      <w:r>
        <w:rPr>
          <w:sz w:val="20"/>
          <w:szCs w:val="20"/>
        </w:rPr>
        <w:t>-</w:t>
      </w:r>
      <w:r>
        <w:rPr>
          <w:rFonts w:ascii="SimSun" w:eastAsia="SimSun" w:hAnsi="SimSun" w:cs="SimSun" w:hint="eastAsia"/>
          <w:sz w:val="20"/>
          <w:szCs w:val="20"/>
        </w:rPr>
        <w:t>汇发</w:t>
      </w:r>
      <w:r>
        <w:rPr>
          <w:sz w:val="20"/>
          <w:szCs w:val="20"/>
        </w:rPr>
        <w:t>[2015]13</w:t>
      </w:r>
      <w:r>
        <w:rPr>
          <w:rFonts w:ascii="MS Mincho" w:eastAsia="MS Mincho" w:hAnsi="MS Mincho" w:cs="MS Mincho" w:hint="eastAsia"/>
          <w:sz w:val="20"/>
          <w:szCs w:val="20"/>
        </w:rPr>
        <w:t>号）</w:t>
      </w:r>
      <w:r>
        <w:rPr>
          <w:sz w:val="20"/>
          <w:szCs w:val="20"/>
        </w:rPr>
        <w:t xml:space="preserve">(partially Invalid on December 30, 2019). After SAFE Notice 13 became effective on June 1, 2015, instead of applying </w:t>
      </w:r>
      <w:r>
        <w:rPr>
          <w:sz w:val="20"/>
          <w:szCs w:val="20"/>
        </w:rPr>
        <w:t>for approvals regarding foreign exchange registrations of foreign direct investment and overseas direct investment from SAFE, entities and individuals will be required to apply for such foreign exchange registrations from qualified banks. The qualified ban</w:t>
      </w:r>
      <w:r>
        <w:rPr>
          <w:sz w:val="20"/>
          <w:szCs w:val="20"/>
        </w:rPr>
        <w:t>ks, under the supervision of SAFE, will directly examine the applications and conduct the registration.</w:t>
      </w:r>
    </w:p>
    <w:p w14:paraId="3C148394"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9547F7D" w14:textId="77777777">
        <w:trPr>
          <w:divId w:val="98525094"/>
          <w:trHeight w:val="225"/>
          <w:tblCellSpacing w:w="15" w:type="dxa"/>
        </w:trPr>
        <w:tc>
          <w:tcPr>
            <w:tcW w:w="0" w:type="auto"/>
            <w:vAlign w:val="center"/>
            <w:hideMark/>
          </w:tcPr>
          <w:p w14:paraId="7A08A951" w14:textId="77777777" w:rsidR="00000000" w:rsidRDefault="00EB4933">
            <w:pPr>
              <w:rPr>
                <w:rFonts w:eastAsia="Times New Roman"/>
                <w:sz w:val="20"/>
                <w:szCs w:val="20"/>
              </w:rPr>
            </w:pPr>
            <w:r>
              <w:rPr>
                <w:rFonts w:eastAsia="Times New Roman"/>
                <w:sz w:val="20"/>
                <w:szCs w:val="20"/>
              </w:rPr>
              <w:t> </w:t>
            </w:r>
          </w:p>
        </w:tc>
      </w:tr>
      <w:tr w:rsidR="00000000" w14:paraId="49A6197E" w14:textId="77777777">
        <w:trPr>
          <w:divId w:val="98525094"/>
          <w:trHeight w:val="225"/>
          <w:tblCellSpacing w:w="15" w:type="dxa"/>
        </w:trPr>
        <w:tc>
          <w:tcPr>
            <w:tcW w:w="0" w:type="auto"/>
            <w:tcBorders>
              <w:bottom w:val="single" w:sz="6" w:space="0" w:color="000000"/>
            </w:tcBorders>
            <w:vAlign w:val="center"/>
            <w:hideMark/>
          </w:tcPr>
          <w:p w14:paraId="79ABAA02" w14:textId="77777777" w:rsidR="00000000" w:rsidRDefault="00EB4933">
            <w:pPr>
              <w:jc w:val="center"/>
              <w:rPr>
                <w:rFonts w:eastAsia="Times New Roman"/>
                <w:sz w:val="20"/>
                <w:szCs w:val="20"/>
              </w:rPr>
            </w:pPr>
            <w:r>
              <w:rPr>
                <w:rFonts w:eastAsia="Times New Roman"/>
                <w:sz w:val="20"/>
                <w:szCs w:val="20"/>
              </w:rPr>
              <w:t>54</w:t>
            </w:r>
          </w:p>
        </w:tc>
      </w:tr>
      <w:tr w:rsidR="00000000" w14:paraId="48964E53" w14:textId="77777777">
        <w:trPr>
          <w:divId w:val="98525094"/>
          <w:trHeight w:val="225"/>
          <w:tblCellSpacing w:w="15" w:type="dxa"/>
        </w:trPr>
        <w:tc>
          <w:tcPr>
            <w:tcW w:w="0" w:type="auto"/>
            <w:vAlign w:val="center"/>
            <w:hideMark/>
          </w:tcPr>
          <w:p w14:paraId="042CDFE7" w14:textId="77777777" w:rsidR="00000000" w:rsidRDefault="00EB4933">
            <w:pPr>
              <w:rPr>
                <w:rFonts w:eastAsia="Times New Roman"/>
                <w:sz w:val="20"/>
                <w:szCs w:val="20"/>
              </w:rPr>
            </w:pPr>
          </w:p>
        </w:tc>
      </w:tr>
      <w:tr w:rsidR="00000000" w14:paraId="5C3EE008" w14:textId="77777777">
        <w:trPr>
          <w:divId w:val="98525094"/>
          <w:trHeight w:val="225"/>
          <w:tblCellSpacing w:w="15" w:type="dxa"/>
        </w:trPr>
        <w:tc>
          <w:tcPr>
            <w:tcW w:w="0" w:type="auto"/>
            <w:vAlign w:val="center"/>
            <w:hideMark/>
          </w:tcPr>
          <w:p w14:paraId="4947A2D7" w14:textId="77777777" w:rsidR="00000000" w:rsidRDefault="00EB4933">
            <w:pPr>
              <w:rPr>
                <w:rFonts w:eastAsia="Times New Roman"/>
                <w:sz w:val="20"/>
                <w:szCs w:val="20"/>
              </w:rPr>
            </w:pPr>
            <w:hyperlink r:id="rId114" w:anchor="toc" w:history="1">
              <w:r>
                <w:rPr>
                  <w:rStyle w:val="Hyperlink"/>
                  <w:rFonts w:eastAsia="Times New Roman"/>
                  <w:i/>
                  <w:iCs/>
                  <w:sz w:val="20"/>
                  <w:szCs w:val="20"/>
                </w:rPr>
                <w:t>Table of Contents</w:t>
              </w:r>
            </w:hyperlink>
          </w:p>
        </w:tc>
      </w:tr>
    </w:tbl>
    <w:p w14:paraId="73256925"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7D3FB343" w14:textId="77777777" w:rsidR="00000000" w:rsidRDefault="00EB4933">
      <w:pPr>
        <w:pStyle w:val="NormalWeb"/>
        <w:spacing w:before="0" w:beforeAutospacing="0" w:after="0" w:afterAutospacing="0"/>
        <w:jc w:val="both"/>
        <w:divId w:val="98525094"/>
        <w:rPr>
          <w:sz w:val="20"/>
          <w:szCs w:val="20"/>
        </w:rPr>
      </w:pPr>
      <w:r>
        <w:rPr>
          <w:rStyle w:val="Strong"/>
          <w:sz w:val="20"/>
          <w:szCs w:val="20"/>
        </w:rPr>
        <w:t>Dividend Distribution</w:t>
      </w:r>
    </w:p>
    <w:p w14:paraId="0FCD173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A01496A"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The EIT Law prescribes a standard withholding tax rate of 20% on dividends and other PRC sourced passive income of non-resident enterprises. The Implementation Rules reduced the rate from 20% to 10%. The central government of the PRC and the government of </w:t>
      </w:r>
      <w:r>
        <w:rPr>
          <w:sz w:val="20"/>
          <w:szCs w:val="20"/>
        </w:rPr>
        <w:t xml:space="preserve">Hong Kong signed the Arrangement between the </w:t>
      </w:r>
      <w:r>
        <w:rPr>
          <w:rStyle w:val="Emphasis"/>
          <w:sz w:val="20"/>
          <w:szCs w:val="20"/>
        </w:rPr>
        <w:t>Mainland of the PRC and Hong Kong for the Avoidance of Double Taxation and the Prevention of Fiscal Evasion with respect to Taxes on Income</w:t>
      </w:r>
      <w:r>
        <w:rPr>
          <w:sz w:val="20"/>
          <w:szCs w:val="20"/>
        </w:rPr>
        <w:t xml:space="preserve"> on August 21, 2006, or the Arrangement. According to the Arrangement, n</w:t>
      </w:r>
      <w:r>
        <w:rPr>
          <w:sz w:val="20"/>
          <w:szCs w:val="20"/>
        </w:rPr>
        <w:t>o more than 5% withholding tax shall apply to dividends paid by a PRC company to a Hong Kong resident, provided that the recipient is a company that holds at least 25% of the equity interests of the PRC company and is deemed as the “beneficial owner” under</w:t>
      </w:r>
      <w:r>
        <w:rPr>
          <w:sz w:val="20"/>
          <w:szCs w:val="20"/>
        </w:rPr>
        <w:t xml:space="preserve"> the Arrangement. Notice on the Implementation of the Fourth Protocol of Arrangement between Chinese Mainland and Hong Kong SAR on Avoidance of Double Taxation and Prevention of Fiscal Evasion with Respect to Taxes on Income (Announcement [2016] No.12 of t</w:t>
      </w:r>
      <w:r>
        <w:rPr>
          <w:sz w:val="20"/>
          <w:szCs w:val="20"/>
        </w:rPr>
        <w:t>he State Administration of Taxation), Announcement of the State Administration of Taxation on the Implementation of the Third Protocol of Arrangement between Chinese Mainland and Hong Kong SAR on Avoidance of Double Taxation and Prevention of Fiscal Evasio</w:t>
      </w:r>
      <w:r>
        <w:rPr>
          <w:sz w:val="20"/>
          <w:szCs w:val="20"/>
        </w:rPr>
        <w:t xml:space="preserve">n with Respect to Taxes on Income, Announcement [2011] No.1 , Notice on the Implementation of the Second Protocol of Arrangement between Chinese </w:t>
      </w:r>
      <w:r>
        <w:rPr>
          <w:sz w:val="20"/>
          <w:szCs w:val="20"/>
        </w:rPr>
        <w:lastRenderedPageBreak/>
        <w:t>Mainland and Hong Kong SAR on Avoidance of Double Taxation and Prevention of Fiscal Evasion with Respect to Tax</w:t>
      </w:r>
      <w:r>
        <w:rPr>
          <w:sz w:val="20"/>
          <w:szCs w:val="20"/>
        </w:rPr>
        <w:t>es on Income (Guo Shui Han [2008] No. 685) and Circular of the State Administration of Taxation on Interpreting and Implementing Some Clauses in the Arrangement between Mainland China and Hong Kong SAR concerning Avoiding Double Taxation and Preventing Tax</w:t>
      </w:r>
      <w:r>
        <w:rPr>
          <w:sz w:val="20"/>
          <w:szCs w:val="20"/>
        </w:rPr>
        <w:t xml:space="preserve"> Evasion on Income(Guo Shui Han [2007] No. 403) have amended the Arrangement accordingly.</w:t>
      </w:r>
    </w:p>
    <w:p w14:paraId="2E6A419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D62649E"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On February 3, 2018, the SAT promulgated </w:t>
      </w:r>
      <w:r>
        <w:rPr>
          <w:rStyle w:val="Emphasis"/>
          <w:sz w:val="20"/>
          <w:szCs w:val="20"/>
        </w:rPr>
        <w:t xml:space="preserve">Announcement of the State Administration of Taxation on Issues Relating to “Beneficial Owner” in Tax Treaties, </w:t>
      </w:r>
      <w:r>
        <w:rPr>
          <w:sz w:val="20"/>
          <w:szCs w:val="20"/>
        </w:rPr>
        <w:t>State Admini</w:t>
      </w:r>
      <w:r>
        <w:rPr>
          <w:sz w:val="20"/>
          <w:szCs w:val="20"/>
        </w:rPr>
        <w:t>stration of Taxation Announcement [2018] No. 9, Circular 9, which clarifies that a beneficial owner shall be a person who has ownership and control over the income and the rights and property from which the income is derived. To prove “beneficial owner” st</w:t>
      </w:r>
      <w:r>
        <w:rPr>
          <w:sz w:val="20"/>
          <w:szCs w:val="20"/>
        </w:rPr>
        <w:t>atus, the applicant shall submit the materials pursuant to the provisions of Article 7 of the Announcement of the State Administration of Taxation on Promulgation of the “Administrative Measures on Entitlement of Non-residents to Treatment under Tax Treati</w:t>
      </w:r>
      <w:r>
        <w:rPr>
          <w:sz w:val="20"/>
          <w:szCs w:val="20"/>
        </w:rPr>
        <w:t xml:space="preserve">es” (State Administration of Taxation Announcement [2015] No. 60). Therein, where an applicant is a “beneficial owner” pursuant to the provisions of Article 3 of this Announcement, the applicant shall also provide, in addition to the tax resident identity </w:t>
      </w:r>
      <w:r>
        <w:rPr>
          <w:sz w:val="20"/>
          <w:szCs w:val="20"/>
        </w:rPr>
        <w:t>of the applicant, the tax resident identity documents of the person who satisfies the criteria for “beneficial owner” and the person who satisfies the criteria, issued by the tax authorities in charge at the country (region) where he/she resides; where the</w:t>
      </w:r>
      <w:r>
        <w:rPr>
          <w:sz w:val="20"/>
          <w:szCs w:val="20"/>
        </w:rPr>
        <w:t xml:space="preserve"> applicant is a “beneficial owner” pursuant to the provisions of item (4) of Article 4 of this Announcement, the applicant shall also provide, in addition to the tax resident identity document of the applicant, the tax resident identity documents of the pe</w:t>
      </w:r>
      <w:r>
        <w:rPr>
          <w:sz w:val="20"/>
          <w:szCs w:val="20"/>
        </w:rPr>
        <w:t>rson who holds 100% of the applicant’s shares directly or indirectly and the multi-tier holders, issued by the tax authorities in charge at the country (region) for which the said person and the multi-tier holders are residents; the tax resident identity d</w:t>
      </w:r>
      <w:r>
        <w:rPr>
          <w:sz w:val="20"/>
          <w:szCs w:val="20"/>
        </w:rPr>
        <w:t>ocument shall prove that the person is a tax resident in the year in which the income is obtained or the preceding year.</w:t>
      </w:r>
    </w:p>
    <w:p w14:paraId="02BACE6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38DFAF2" w14:textId="77777777" w:rsidR="00000000" w:rsidRDefault="00EB4933">
      <w:pPr>
        <w:pStyle w:val="NormalWeb"/>
        <w:spacing w:before="0" w:beforeAutospacing="0" w:after="0" w:afterAutospacing="0"/>
        <w:jc w:val="both"/>
        <w:divId w:val="98525094"/>
        <w:rPr>
          <w:sz w:val="20"/>
          <w:szCs w:val="20"/>
        </w:rPr>
      </w:pPr>
      <w:r>
        <w:rPr>
          <w:rStyle w:val="Strong"/>
          <w:sz w:val="20"/>
          <w:szCs w:val="20"/>
        </w:rPr>
        <w:t>Provisions Regarding Mergers and Acquisitions of Domestic Enterprises by Foreign Investors</w:t>
      </w:r>
    </w:p>
    <w:p w14:paraId="08E0FD7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A68B01F"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August 8, 2006, six PRC regulatory agencies, including MOFCOM, the State-owned Assets Supervision and Administration Commission of the State Council, the State Administration for Taxation, the State Administration for Industry and Commerce, the CSRC and</w:t>
      </w:r>
      <w:r>
        <w:rPr>
          <w:sz w:val="20"/>
          <w:szCs w:val="20"/>
        </w:rPr>
        <w:t xml:space="preserve"> SAFE, jointly adopted the </w:t>
      </w:r>
      <w:r>
        <w:rPr>
          <w:rStyle w:val="Emphasis"/>
          <w:sz w:val="20"/>
          <w:szCs w:val="20"/>
        </w:rPr>
        <w:t>Regulations on Mergers and Acquisitions of Domestic Enterprises by Foreign Investors</w:t>
      </w:r>
      <w:r>
        <w:rPr>
          <w:sz w:val="20"/>
          <w:szCs w:val="20"/>
        </w:rPr>
        <w:t>, or the M&amp;A Rules, which became effective on September 8, 2006 and were amended on June 26, 2009. The M&amp;A Rules, among other things, include pro</w:t>
      </w:r>
      <w:r>
        <w:rPr>
          <w:sz w:val="20"/>
          <w:szCs w:val="20"/>
        </w:rPr>
        <w:t>visions that purport to require an offshore special purpose vehicle formed for the purpose of acquiring PRC domestic companies and controlled by PRC individuals to obtain the approval of the CSRC prior to the listing and trading of such special purpose veh</w:t>
      </w:r>
      <w:r>
        <w:rPr>
          <w:sz w:val="20"/>
          <w:szCs w:val="20"/>
        </w:rPr>
        <w:t>icle’s securities on an overseas stock exchange. On September 21, 2006, the CSRC published on its official website procedures regarding its approval of overseas listings by special purpose vehicles. The CSRC approval procedures require the filing of an app</w:t>
      </w:r>
      <w:r>
        <w:rPr>
          <w:sz w:val="20"/>
          <w:szCs w:val="20"/>
        </w:rPr>
        <w:t>lication and supporting documents with the CSRC.</w:t>
      </w:r>
    </w:p>
    <w:p w14:paraId="5D3972B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FF203E8" w14:textId="77777777" w:rsidR="00000000" w:rsidRDefault="00EB4933">
      <w:pPr>
        <w:pStyle w:val="NormalWeb"/>
        <w:spacing w:before="0" w:beforeAutospacing="0" w:after="0" w:afterAutospacing="0"/>
        <w:jc w:val="both"/>
        <w:divId w:val="98525094"/>
        <w:rPr>
          <w:sz w:val="20"/>
          <w:szCs w:val="20"/>
        </w:rPr>
      </w:pPr>
      <w:r>
        <w:rPr>
          <w:rStyle w:val="Strong"/>
          <w:sz w:val="20"/>
          <w:szCs w:val="20"/>
        </w:rPr>
        <w:t>C. Organizational Structure</w:t>
      </w:r>
      <w:r>
        <w:rPr>
          <w:sz w:val="20"/>
          <w:szCs w:val="20"/>
        </w:rPr>
        <w:t xml:space="preserve"> </w:t>
      </w:r>
    </w:p>
    <w:p w14:paraId="028CD50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FD5C0EA" w14:textId="77777777" w:rsidR="00000000" w:rsidRDefault="00EB4933">
      <w:pPr>
        <w:pStyle w:val="NormalWeb"/>
        <w:spacing w:before="0" w:beforeAutospacing="0" w:after="0" w:afterAutospacing="0"/>
        <w:ind w:firstLine="675"/>
        <w:jc w:val="both"/>
        <w:divId w:val="98525094"/>
        <w:rPr>
          <w:sz w:val="20"/>
          <w:szCs w:val="20"/>
        </w:rPr>
      </w:pPr>
      <w:r>
        <w:rPr>
          <w:sz w:val="20"/>
          <w:szCs w:val="20"/>
        </w:rPr>
        <w:t>For a description of our organizational structure, see “Item 4. Information on the Company—A. History and Development of the Company.”</w:t>
      </w:r>
    </w:p>
    <w:p w14:paraId="7656BA82"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BDBB1A4" w14:textId="77777777">
        <w:trPr>
          <w:divId w:val="98525094"/>
          <w:trHeight w:val="225"/>
          <w:tblCellSpacing w:w="15" w:type="dxa"/>
        </w:trPr>
        <w:tc>
          <w:tcPr>
            <w:tcW w:w="0" w:type="auto"/>
            <w:vAlign w:val="center"/>
            <w:hideMark/>
          </w:tcPr>
          <w:p w14:paraId="783DF48D" w14:textId="77777777" w:rsidR="00000000" w:rsidRDefault="00EB4933">
            <w:pPr>
              <w:rPr>
                <w:rFonts w:eastAsia="Times New Roman"/>
                <w:sz w:val="20"/>
                <w:szCs w:val="20"/>
              </w:rPr>
            </w:pPr>
            <w:r>
              <w:rPr>
                <w:rFonts w:eastAsia="Times New Roman"/>
                <w:sz w:val="20"/>
                <w:szCs w:val="20"/>
              </w:rPr>
              <w:t> </w:t>
            </w:r>
          </w:p>
        </w:tc>
      </w:tr>
      <w:tr w:rsidR="00000000" w14:paraId="0ADCB545" w14:textId="77777777">
        <w:trPr>
          <w:divId w:val="98525094"/>
          <w:trHeight w:val="225"/>
          <w:tblCellSpacing w:w="15" w:type="dxa"/>
        </w:trPr>
        <w:tc>
          <w:tcPr>
            <w:tcW w:w="0" w:type="auto"/>
            <w:tcBorders>
              <w:bottom w:val="single" w:sz="6" w:space="0" w:color="000000"/>
            </w:tcBorders>
            <w:vAlign w:val="center"/>
            <w:hideMark/>
          </w:tcPr>
          <w:p w14:paraId="363ADA7D" w14:textId="77777777" w:rsidR="00000000" w:rsidRDefault="00EB4933">
            <w:pPr>
              <w:jc w:val="center"/>
              <w:rPr>
                <w:rFonts w:eastAsia="Times New Roman"/>
                <w:sz w:val="20"/>
                <w:szCs w:val="20"/>
              </w:rPr>
            </w:pPr>
            <w:r>
              <w:rPr>
                <w:rFonts w:eastAsia="Times New Roman"/>
                <w:sz w:val="20"/>
                <w:szCs w:val="20"/>
              </w:rPr>
              <w:t>55</w:t>
            </w:r>
          </w:p>
        </w:tc>
      </w:tr>
      <w:tr w:rsidR="00000000" w14:paraId="6303F85D" w14:textId="77777777">
        <w:trPr>
          <w:divId w:val="98525094"/>
          <w:trHeight w:val="225"/>
          <w:tblCellSpacing w:w="15" w:type="dxa"/>
        </w:trPr>
        <w:tc>
          <w:tcPr>
            <w:tcW w:w="0" w:type="auto"/>
            <w:vAlign w:val="center"/>
            <w:hideMark/>
          </w:tcPr>
          <w:p w14:paraId="5022D2F6" w14:textId="77777777" w:rsidR="00000000" w:rsidRDefault="00EB4933">
            <w:pPr>
              <w:rPr>
                <w:rFonts w:eastAsia="Times New Roman"/>
                <w:sz w:val="20"/>
                <w:szCs w:val="20"/>
              </w:rPr>
            </w:pPr>
          </w:p>
        </w:tc>
      </w:tr>
      <w:tr w:rsidR="00000000" w14:paraId="23F3D164" w14:textId="77777777">
        <w:trPr>
          <w:divId w:val="98525094"/>
          <w:trHeight w:val="225"/>
          <w:tblCellSpacing w:w="15" w:type="dxa"/>
        </w:trPr>
        <w:tc>
          <w:tcPr>
            <w:tcW w:w="0" w:type="auto"/>
            <w:vAlign w:val="center"/>
            <w:hideMark/>
          </w:tcPr>
          <w:p w14:paraId="2A5BEF30" w14:textId="77777777" w:rsidR="00000000" w:rsidRDefault="00EB4933">
            <w:pPr>
              <w:rPr>
                <w:rFonts w:eastAsia="Times New Roman"/>
                <w:sz w:val="20"/>
                <w:szCs w:val="20"/>
              </w:rPr>
            </w:pPr>
            <w:hyperlink r:id="rId115" w:anchor="toc" w:history="1">
              <w:r>
                <w:rPr>
                  <w:rStyle w:val="Hyperlink"/>
                  <w:rFonts w:eastAsia="Times New Roman"/>
                  <w:i/>
                  <w:iCs/>
                  <w:sz w:val="20"/>
                  <w:szCs w:val="20"/>
                </w:rPr>
                <w:t>Table of Contents</w:t>
              </w:r>
            </w:hyperlink>
          </w:p>
        </w:tc>
      </w:tr>
    </w:tbl>
    <w:p w14:paraId="5BB4B1B5"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3E12586D" w14:textId="77777777" w:rsidR="00000000" w:rsidRDefault="00EB4933">
      <w:pPr>
        <w:pStyle w:val="NormalWeb"/>
        <w:spacing w:before="0" w:beforeAutospacing="0" w:after="0" w:afterAutospacing="0"/>
        <w:jc w:val="both"/>
        <w:divId w:val="98525094"/>
        <w:rPr>
          <w:sz w:val="20"/>
          <w:szCs w:val="20"/>
        </w:rPr>
      </w:pPr>
      <w:r>
        <w:rPr>
          <w:rStyle w:val="Strong"/>
          <w:sz w:val="20"/>
          <w:szCs w:val="20"/>
        </w:rPr>
        <w:t>D. Property, Plant and Equipment</w:t>
      </w:r>
      <w:r>
        <w:rPr>
          <w:sz w:val="20"/>
          <w:szCs w:val="20"/>
        </w:rPr>
        <w:t xml:space="preserve"> </w:t>
      </w:r>
    </w:p>
    <w:p w14:paraId="60D7281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92AA432"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principal executive office is located at 23rd Floor, LianFa International Building, No 128 Xu Dong Road, Wuchang District, Wuhan City, Hubei Province, People’s Republic of China 430063, where we moved to this new office which have approximately 1,492 s</w:t>
      </w:r>
      <w:r>
        <w:rPr>
          <w:sz w:val="20"/>
          <w:szCs w:val="20"/>
        </w:rPr>
        <w:t xml:space="preserve">quare meters of office space in December 2018. </w:t>
      </w:r>
    </w:p>
    <w:p w14:paraId="33E9ECD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02F529D"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do not have any land use rights.</w:t>
      </w:r>
    </w:p>
    <w:p w14:paraId="2281237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F3A11D9" w14:textId="77777777" w:rsidR="00000000" w:rsidRDefault="00EB4933">
      <w:pPr>
        <w:pStyle w:val="NormalWeb"/>
        <w:spacing w:before="0" w:beforeAutospacing="0" w:after="0" w:afterAutospacing="0"/>
        <w:jc w:val="both"/>
        <w:divId w:val="98525094"/>
        <w:rPr>
          <w:sz w:val="20"/>
          <w:szCs w:val="20"/>
        </w:rPr>
      </w:pPr>
      <w:bookmarkStart w:id="8" w:name="i4a"/>
      <w:r>
        <w:rPr>
          <w:rStyle w:val="Strong"/>
          <w:sz w:val="20"/>
          <w:szCs w:val="20"/>
        </w:rPr>
        <w:t>ITEM 4A. UNRESOLVED STAFF COMMENTS</w:t>
      </w:r>
      <w:bookmarkEnd w:id="8"/>
    </w:p>
    <w:p w14:paraId="01CBA394"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p w14:paraId="7C4F0DE6" w14:textId="77777777" w:rsidR="00000000" w:rsidRDefault="00EB4933">
      <w:pPr>
        <w:pStyle w:val="NormalWeb"/>
        <w:spacing w:before="0" w:beforeAutospacing="0" w:after="0" w:afterAutospacing="0"/>
        <w:ind w:firstLine="675"/>
        <w:jc w:val="both"/>
        <w:divId w:val="98525094"/>
        <w:rPr>
          <w:sz w:val="20"/>
          <w:szCs w:val="20"/>
        </w:rPr>
      </w:pPr>
      <w:r>
        <w:rPr>
          <w:sz w:val="20"/>
          <w:szCs w:val="20"/>
        </w:rPr>
        <w:t>None.</w:t>
      </w:r>
    </w:p>
    <w:p w14:paraId="7FD5260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F215DB9" w14:textId="77777777" w:rsidR="00000000" w:rsidRDefault="00EB4933">
      <w:pPr>
        <w:pStyle w:val="NormalWeb"/>
        <w:spacing w:before="0" w:beforeAutospacing="0" w:after="0" w:afterAutospacing="0"/>
        <w:jc w:val="both"/>
        <w:divId w:val="98525094"/>
        <w:rPr>
          <w:sz w:val="20"/>
          <w:szCs w:val="20"/>
        </w:rPr>
      </w:pPr>
      <w:bookmarkStart w:id="9" w:name="i5"/>
      <w:r>
        <w:rPr>
          <w:rStyle w:val="Strong"/>
          <w:sz w:val="20"/>
          <w:szCs w:val="20"/>
        </w:rPr>
        <w:t>ITEM 5. OPERATING AND FINANCIAL REVIEW AND PROSPECTS</w:t>
      </w:r>
      <w:bookmarkEnd w:id="9"/>
    </w:p>
    <w:p w14:paraId="2E15411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06E3898" w14:textId="77777777" w:rsidR="00000000" w:rsidRDefault="00EB4933">
      <w:pPr>
        <w:pStyle w:val="NormalWeb"/>
        <w:spacing w:before="0" w:beforeAutospacing="0" w:after="0" w:afterAutospacing="0"/>
        <w:ind w:firstLine="675"/>
        <w:jc w:val="both"/>
        <w:divId w:val="98525094"/>
        <w:rPr>
          <w:sz w:val="20"/>
          <w:szCs w:val="20"/>
        </w:rPr>
      </w:pPr>
      <w:r>
        <w:rPr>
          <w:rStyle w:val="Emphasis"/>
          <w:sz w:val="20"/>
          <w:szCs w:val="20"/>
        </w:rPr>
        <w:t>You should read the following discussion and analysis of our financial condition and results of operations in conjunction with our financial statements and the related notes included elsewhere in this annual report. This discussion contains forward-looking</w:t>
      </w:r>
      <w:r>
        <w:rPr>
          <w:rStyle w:val="Emphasis"/>
          <w:sz w:val="20"/>
          <w:szCs w:val="20"/>
        </w:rPr>
        <w:t xml:space="preserve"> statements that involve risks, uncertainties and assumptions. Our actual results and the timing of selected events could differ materially from those anticipated in these forward-looking statements as a result of various factors, including those set forth</w:t>
      </w:r>
      <w:r>
        <w:rPr>
          <w:rStyle w:val="Emphasis"/>
          <w:sz w:val="20"/>
          <w:szCs w:val="20"/>
        </w:rPr>
        <w:t xml:space="preserve"> under “Item 3. Key Information—D. Risk Factors” and elsewhere in this annual report.</w:t>
      </w:r>
    </w:p>
    <w:p w14:paraId="1F7DC5A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7149ED7" w14:textId="77777777" w:rsidR="00000000" w:rsidRDefault="00EB4933">
      <w:pPr>
        <w:pStyle w:val="NormalWeb"/>
        <w:spacing w:before="0" w:beforeAutospacing="0" w:after="0" w:afterAutospacing="0"/>
        <w:jc w:val="both"/>
        <w:divId w:val="98525094"/>
        <w:rPr>
          <w:sz w:val="20"/>
          <w:szCs w:val="20"/>
        </w:rPr>
      </w:pPr>
      <w:r>
        <w:rPr>
          <w:rStyle w:val="Strong"/>
          <w:sz w:val="20"/>
          <w:szCs w:val="20"/>
        </w:rPr>
        <w:t>CIB Transaction</w:t>
      </w:r>
    </w:p>
    <w:p w14:paraId="2D1E772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4CE21FC"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December 28, 2017, Honest Plus acquired 91,997,543 Shares and Perfect Lead acquired 22,999,386 Shares for an aggregate purchase price of RMB86,426,</w:t>
      </w:r>
      <w:r>
        <w:rPr>
          <w:sz w:val="20"/>
          <w:szCs w:val="20"/>
        </w:rPr>
        <w:t>660 (or approximately $0.11 per share) pursuant to a Share Purchase Agreement, as amended on October 27, 2016, and on December 10, 2017 (the “Share Purchase Agreement”), by and between Qiming Investment Limited, a British Virgin Islands company (“Qiming In</w:t>
      </w:r>
      <w:r>
        <w:rPr>
          <w:sz w:val="20"/>
          <w:szCs w:val="20"/>
        </w:rPr>
        <w:t>vestment”), Qiming Xu, the chairman and chief executive officer of the Xiniya (“Mr. Qiming Xu”), Honest Plus, and Perfect Lead. Wei Qizhi, our chairman and chief executive officer, is the sole director of Honest Plus and Perfect Lead.</w:t>
      </w:r>
    </w:p>
    <w:p w14:paraId="72FA7BF6"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E728E25"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a condition to t</w:t>
      </w:r>
      <w:r>
        <w:rPr>
          <w:sz w:val="20"/>
          <w:szCs w:val="20"/>
        </w:rPr>
        <w:t xml:space="preserve">he Share Purchase Agreement, on December 10, 2017, the Xiniya entered into (1) a Share Transfer Agreement with Qiming Investment pursuant to which the Xiniya agreed to sell Xiniya Holdings Limited, the Xiniya’s wholly-owned subsidiary in Hong Kong, to Mr. </w:t>
      </w:r>
      <w:r>
        <w:rPr>
          <w:sz w:val="20"/>
          <w:szCs w:val="20"/>
        </w:rPr>
        <w:t>Qminig Xu in exchange for a purchase price of RMB228,000,000 ($34,588,428) (“Divestiture”) subject to the terms set forth therein, and (2) a Securities Purchase Agreement with True Silver Limited (“True Silver”), a British Virgin Islands company, and Hones</w:t>
      </w:r>
      <w:r>
        <w:rPr>
          <w:sz w:val="20"/>
          <w:szCs w:val="20"/>
        </w:rPr>
        <w:t>t Plus pursuant to which the Xiniya agreed to acquire all of the issued and outstanding shares of True Silver owned by Honest Plus for a purchase price of $34,588,428 and the issuance of 772,283,308 newly issued ordinary shares of the Xiniya (“Acquisition”</w:t>
      </w:r>
      <w:r>
        <w:rPr>
          <w:sz w:val="20"/>
          <w:szCs w:val="20"/>
        </w:rPr>
        <w:t>) at RMB1.00 ($0.15) per share, which through a VIE structure, operates and consolidates eighty percent (80%) of the financial results of Hubei Chutian Microfinance Co., Ltd., a Chinese company that engages in the lending of small loans to customers in Chi</w:t>
      </w:r>
      <w:r>
        <w:rPr>
          <w:sz w:val="20"/>
          <w:szCs w:val="20"/>
        </w:rPr>
        <w:t>na (“Chutian”). On December 28, 2017, the Divestiture and the Acquisition closed concurrently with the closing of the Share Purchase Agreement (collectively, the “CIB Transaction”). At the closing of the CIB Transaction, the Company discontinued its appare</w:t>
      </w:r>
      <w:r>
        <w:rPr>
          <w:sz w:val="20"/>
          <w:szCs w:val="20"/>
        </w:rPr>
        <w:t>l business and became a microfinance lending business in Hubei Province.</w:t>
      </w:r>
    </w:p>
    <w:p w14:paraId="5BC3EBFE"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6416537"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a result of the CIB Transaction, Honest Plus and Perfect Lead, the former shareholders of True Silver, became the controlling shareholders of the Company. The CIB Transaction was</w:t>
      </w:r>
      <w:r>
        <w:rPr>
          <w:sz w:val="20"/>
          <w:szCs w:val="20"/>
        </w:rPr>
        <w:t xml:space="preserve"> accounted for as a reverse acquisition, wherein True Silver is considered the acquirer for accounting and financial reporting purposes.</w:t>
      </w:r>
    </w:p>
    <w:p w14:paraId="15D49EB6"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8D97AA5"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Accordingly and except as otherwise provided, the historical financial statements of True Silver were treated as the </w:t>
      </w:r>
      <w:r>
        <w:rPr>
          <w:sz w:val="20"/>
          <w:szCs w:val="20"/>
        </w:rPr>
        <w:t>historical financial statements of the Company. Unless the context otherwise indicates, references to “we”, “our”, “us” and the “Company” refer to the post-CIB Transaction combined company and its subsidiaries on a consolidated basis.</w:t>
      </w:r>
    </w:p>
    <w:p w14:paraId="6A42CD34"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5FFF2C5" w14:textId="77777777">
        <w:trPr>
          <w:divId w:val="98525094"/>
          <w:trHeight w:val="225"/>
          <w:tblCellSpacing w:w="15" w:type="dxa"/>
        </w:trPr>
        <w:tc>
          <w:tcPr>
            <w:tcW w:w="0" w:type="auto"/>
            <w:vAlign w:val="center"/>
            <w:hideMark/>
          </w:tcPr>
          <w:p w14:paraId="1FC725C0" w14:textId="77777777" w:rsidR="00000000" w:rsidRDefault="00EB4933">
            <w:pPr>
              <w:rPr>
                <w:rFonts w:eastAsia="Times New Roman"/>
                <w:sz w:val="20"/>
                <w:szCs w:val="20"/>
              </w:rPr>
            </w:pPr>
            <w:r>
              <w:rPr>
                <w:rFonts w:eastAsia="Times New Roman"/>
                <w:sz w:val="20"/>
                <w:szCs w:val="20"/>
              </w:rPr>
              <w:t> </w:t>
            </w:r>
          </w:p>
        </w:tc>
      </w:tr>
      <w:tr w:rsidR="00000000" w14:paraId="2A516DF3" w14:textId="77777777">
        <w:trPr>
          <w:divId w:val="98525094"/>
          <w:trHeight w:val="225"/>
          <w:tblCellSpacing w:w="15" w:type="dxa"/>
        </w:trPr>
        <w:tc>
          <w:tcPr>
            <w:tcW w:w="0" w:type="auto"/>
            <w:tcBorders>
              <w:bottom w:val="single" w:sz="6" w:space="0" w:color="000000"/>
            </w:tcBorders>
            <w:vAlign w:val="center"/>
            <w:hideMark/>
          </w:tcPr>
          <w:p w14:paraId="37113600" w14:textId="77777777" w:rsidR="00000000" w:rsidRDefault="00EB4933">
            <w:pPr>
              <w:jc w:val="center"/>
              <w:rPr>
                <w:rFonts w:eastAsia="Times New Roman"/>
                <w:sz w:val="20"/>
                <w:szCs w:val="20"/>
              </w:rPr>
            </w:pPr>
            <w:r>
              <w:rPr>
                <w:rFonts w:eastAsia="Times New Roman"/>
                <w:sz w:val="20"/>
                <w:szCs w:val="20"/>
              </w:rPr>
              <w:t>56</w:t>
            </w:r>
          </w:p>
        </w:tc>
      </w:tr>
      <w:tr w:rsidR="00000000" w14:paraId="755FC61D" w14:textId="77777777">
        <w:trPr>
          <w:divId w:val="98525094"/>
          <w:trHeight w:val="225"/>
          <w:tblCellSpacing w:w="15" w:type="dxa"/>
        </w:trPr>
        <w:tc>
          <w:tcPr>
            <w:tcW w:w="0" w:type="auto"/>
            <w:vAlign w:val="center"/>
            <w:hideMark/>
          </w:tcPr>
          <w:p w14:paraId="10F3D5DA" w14:textId="77777777" w:rsidR="00000000" w:rsidRDefault="00EB4933">
            <w:pPr>
              <w:rPr>
                <w:rFonts w:eastAsia="Times New Roman"/>
                <w:sz w:val="20"/>
                <w:szCs w:val="20"/>
              </w:rPr>
            </w:pPr>
          </w:p>
        </w:tc>
      </w:tr>
      <w:tr w:rsidR="00000000" w14:paraId="177F9985" w14:textId="77777777">
        <w:trPr>
          <w:divId w:val="98525094"/>
          <w:trHeight w:val="225"/>
          <w:tblCellSpacing w:w="15" w:type="dxa"/>
        </w:trPr>
        <w:tc>
          <w:tcPr>
            <w:tcW w:w="0" w:type="auto"/>
            <w:vAlign w:val="center"/>
            <w:hideMark/>
          </w:tcPr>
          <w:p w14:paraId="76403008" w14:textId="77777777" w:rsidR="00000000" w:rsidRDefault="00EB4933">
            <w:pPr>
              <w:rPr>
                <w:rFonts w:eastAsia="Times New Roman"/>
                <w:sz w:val="20"/>
                <w:szCs w:val="20"/>
              </w:rPr>
            </w:pPr>
            <w:hyperlink r:id="rId116" w:anchor="toc" w:history="1">
              <w:r>
                <w:rPr>
                  <w:rStyle w:val="Hyperlink"/>
                  <w:rFonts w:eastAsia="Times New Roman"/>
                  <w:i/>
                  <w:iCs/>
                  <w:sz w:val="20"/>
                  <w:szCs w:val="20"/>
                </w:rPr>
                <w:t>Table of Contents</w:t>
              </w:r>
            </w:hyperlink>
          </w:p>
        </w:tc>
      </w:tr>
    </w:tbl>
    <w:p w14:paraId="15314B7A"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1F2937BA" w14:textId="77777777" w:rsidR="00000000" w:rsidRDefault="00EB4933">
      <w:pPr>
        <w:pStyle w:val="NormalWeb"/>
        <w:spacing w:before="0" w:beforeAutospacing="0" w:after="0" w:afterAutospacing="0"/>
        <w:jc w:val="both"/>
        <w:divId w:val="98525094"/>
        <w:rPr>
          <w:sz w:val="20"/>
          <w:szCs w:val="20"/>
        </w:rPr>
      </w:pPr>
      <w:r>
        <w:rPr>
          <w:rStyle w:val="Strong"/>
          <w:sz w:val="20"/>
          <w:szCs w:val="20"/>
        </w:rPr>
        <w:t>A. Operating Results</w:t>
      </w:r>
      <w:r>
        <w:rPr>
          <w:sz w:val="20"/>
          <w:szCs w:val="20"/>
        </w:rPr>
        <w:t xml:space="preserve"> </w:t>
      </w:r>
    </w:p>
    <w:p w14:paraId="0B4B9B1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E895D87" w14:textId="77777777" w:rsidR="00000000" w:rsidRDefault="00EB4933">
      <w:pPr>
        <w:pStyle w:val="NormalWeb"/>
        <w:spacing w:before="0" w:beforeAutospacing="0" w:after="0" w:afterAutospacing="0"/>
        <w:jc w:val="both"/>
        <w:divId w:val="98525094"/>
        <w:rPr>
          <w:sz w:val="20"/>
          <w:szCs w:val="20"/>
        </w:rPr>
      </w:pPr>
      <w:r>
        <w:rPr>
          <w:rStyle w:val="Strong"/>
          <w:sz w:val="20"/>
          <w:szCs w:val="20"/>
        </w:rPr>
        <w:t>Overview</w:t>
      </w:r>
    </w:p>
    <w:p w14:paraId="26D5E94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762E530"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are a lending company primarily engaging in the business of providing loan facilities to small and medium sized enterprises and sole proprietors in Hubei prov</w:t>
      </w:r>
      <w:r>
        <w:rPr>
          <w:sz w:val="20"/>
          <w:szCs w:val="20"/>
        </w:rPr>
        <w:t xml:space="preserve">ince of the PRC. We typically provide family-run businesses, </w:t>
      </w:r>
      <w:r>
        <w:rPr>
          <w:sz w:val="20"/>
          <w:szCs w:val="20"/>
        </w:rPr>
        <w:lastRenderedPageBreak/>
        <w:t>farmers and individual borrowers with working capital and bridge financing support, primarily through means of short-term loans based upon their needs and qualifications. In line with our busines</w:t>
      </w:r>
      <w:r>
        <w:rPr>
          <w:sz w:val="20"/>
          <w:szCs w:val="20"/>
        </w:rPr>
        <w:t>s environment and funding demands, as well as the risk minimization requirements and increased adaptability to the changes in economy and industry, our mandate is to maintain loan facilities that are small in size and short term and to diversify our custom</w:t>
      </w:r>
      <w:r>
        <w:rPr>
          <w:sz w:val="20"/>
          <w:szCs w:val="20"/>
        </w:rPr>
        <w:t>er base into multiple industries.</w:t>
      </w:r>
    </w:p>
    <w:p w14:paraId="27FF5C9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A8F29E1" w14:textId="77777777" w:rsidR="00000000" w:rsidRDefault="00EB4933">
      <w:pPr>
        <w:pStyle w:val="NormalWeb"/>
        <w:spacing w:before="0" w:beforeAutospacing="0" w:after="0" w:afterAutospacing="0"/>
        <w:ind w:firstLine="675"/>
        <w:jc w:val="both"/>
        <w:divId w:val="98525094"/>
        <w:rPr>
          <w:sz w:val="20"/>
          <w:szCs w:val="20"/>
        </w:rPr>
      </w:pPr>
      <w:r>
        <w:rPr>
          <w:sz w:val="20"/>
          <w:szCs w:val="20"/>
        </w:rPr>
        <w:t>All of our operations are conducted in the PRC through Chutian. We operate our microfinance lending business in the PRC on the basis of the approval certificates, business license and other requisite licenses held by Chu</w:t>
      </w:r>
      <w:r>
        <w:rPr>
          <w:sz w:val="20"/>
          <w:szCs w:val="20"/>
        </w:rPr>
        <w:t>tian. We conduct our microfinance lending business in the PRC and generate virtually all of our revenues for our business through the VIE Agreements.</w:t>
      </w:r>
    </w:p>
    <w:p w14:paraId="3146523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1CDBC28" w14:textId="77777777" w:rsidR="00000000" w:rsidRDefault="00EB4933">
      <w:pPr>
        <w:pStyle w:val="NormalWeb"/>
        <w:spacing w:before="0" w:beforeAutospacing="0" w:after="0" w:afterAutospacing="0"/>
        <w:jc w:val="both"/>
        <w:divId w:val="98525094"/>
        <w:rPr>
          <w:sz w:val="20"/>
          <w:szCs w:val="20"/>
        </w:rPr>
      </w:pPr>
      <w:r>
        <w:rPr>
          <w:rStyle w:val="Strong"/>
          <w:sz w:val="20"/>
          <w:szCs w:val="20"/>
        </w:rPr>
        <w:t>Key factors that affect operating results</w:t>
      </w:r>
    </w:p>
    <w:p w14:paraId="7CB84E1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5993A26"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operations and assets are located in China. Accordingly, our results of operations, financial condition and prospects are affected by China’s economic and regulation conditions in the following factors: (a) an economic downturn in China or any regional</w:t>
      </w:r>
      <w:r>
        <w:rPr>
          <w:sz w:val="20"/>
          <w:szCs w:val="20"/>
        </w:rPr>
        <w:t xml:space="preserve"> market in China; (b) economic policies and initiatives undertaken by the Chinese government; (c) changes to prevailing market interest rates; and (d) a higher rate of bankruptcy. Unfavorable changes could affect demand for services that we provide and cou</w:t>
      </w:r>
      <w:r>
        <w:rPr>
          <w:sz w:val="20"/>
          <w:szCs w:val="20"/>
        </w:rPr>
        <w:t xml:space="preserve">ld materially and adversely affect the results of operations. Although we have generally benefited from China’s economic growth, we are also affected by the complexity, uncertainties and changes in the Chinese economic conditions and regulations governing </w:t>
      </w:r>
      <w:r>
        <w:rPr>
          <w:sz w:val="20"/>
          <w:szCs w:val="20"/>
        </w:rPr>
        <w:t>the non- banking financial industry.</w:t>
      </w:r>
    </w:p>
    <w:p w14:paraId="2258A3A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D8A8A45"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results of operations are also affected by the provision for loan losses which are a noncash item and represent an assessment of the risk of future loan losses. The amount of provisions or allowances has been reco</w:t>
      </w:r>
      <w:r>
        <w:rPr>
          <w:sz w:val="20"/>
          <w:szCs w:val="20"/>
        </w:rPr>
        <w:t>rded based on management’s assessment. We may increase or decrease the allowance for loan based on any such change of economic conditions and the change of management’s assessment. Any change in the allowance for loan losses would have an effect on our fin</w:t>
      </w:r>
      <w:r>
        <w:rPr>
          <w:sz w:val="20"/>
          <w:szCs w:val="20"/>
        </w:rPr>
        <w:t>ancial condition and results of operation.</w:t>
      </w:r>
    </w:p>
    <w:p w14:paraId="06E73BAE"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37DB2EC" w14:textId="77777777">
        <w:trPr>
          <w:divId w:val="98525094"/>
          <w:trHeight w:val="225"/>
          <w:tblCellSpacing w:w="15" w:type="dxa"/>
        </w:trPr>
        <w:tc>
          <w:tcPr>
            <w:tcW w:w="0" w:type="auto"/>
            <w:vAlign w:val="center"/>
            <w:hideMark/>
          </w:tcPr>
          <w:p w14:paraId="6FE9480B" w14:textId="77777777" w:rsidR="00000000" w:rsidRDefault="00EB4933">
            <w:pPr>
              <w:rPr>
                <w:rFonts w:eastAsia="Times New Roman"/>
                <w:sz w:val="20"/>
                <w:szCs w:val="20"/>
              </w:rPr>
            </w:pPr>
            <w:r>
              <w:rPr>
                <w:rFonts w:eastAsia="Times New Roman"/>
                <w:sz w:val="20"/>
                <w:szCs w:val="20"/>
              </w:rPr>
              <w:t> </w:t>
            </w:r>
          </w:p>
        </w:tc>
      </w:tr>
      <w:tr w:rsidR="00000000" w14:paraId="5FC86996" w14:textId="77777777">
        <w:trPr>
          <w:divId w:val="98525094"/>
          <w:trHeight w:val="225"/>
          <w:tblCellSpacing w:w="15" w:type="dxa"/>
        </w:trPr>
        <w:tc>
          <w:tcPr>
            <w:tcW w:w="0" w:type="auto"/>
            <w:tcBorders>
              <w:bottom w:val="single" w:sz="6" w:space="0" w:color="000000"/>
            </w:tcBorders>
            <w:vAlign w:val="center"/>
            <w:hideMark/>
          </w:tcPr>
          <w:p w14:paraId="6845FB59" w14:textId="77777777" w:rsidR="00000000" w:rsidRDefault="00EB4933">
            <w:pPr>
              <w:jc w:val="center"/>
              <w:rPr>
                <w:rFonts w:eastAsia="Times New Roman"/>
                <w:sz w:val="20"/>
                <w:szCs w:val="20"/>
              </w:rPr>
            </w:pPr>
            <w:r>
              <w:rPr>
                <w:rFonts w:eastAsia="Times New Roman"/>
                <w:sz w:val="20"/>
                <w:szCs w:val="20"/>
              </w:rPr>
              <w:t>57</w:t>
            </w:r>
          </w:p>
        </w:tc>
      </w:tr>
      <w:tr w:rsidR="00000000" w14:paraId="367A4139" w14:textId="77777777">
        <w:trPr>
          <w:divId w:val="98525094"/>
          <w:trHeight w:val="225"/>
          <w:tblCellSpacing w:w="15" w:type="dxa"/>
        </w:trPr>
        <w:tc>
          <w:tcPr>
            <w:tcW w:w="0" w:type="auto"/>
            <w:vAlign w:val="center"/>
            <w:hideMark/>
          </w:tcPr>
          <w:p w14:paraId="26877AAF" w14:textId="77777777" w:rsidR="00000000" w:rsidRDefault="00EB4933">
            <w:pPr>
              <w:rPr>
                <w:rFonts w:eastAsia="Times New Roman"/>
                <w:sz w:val="20"/>
                <w:szCs w:val="20"/>
              </w:rPr>
            </w:pPr>
          </w:p>
        </w:tc>
      </w:tr>
      <w:tr w:rsidR="00000000" w14:paraId="2609A5E9" w14:textId="77777777">
        <w:trPr>
          <w:divId w:val="98525094"/>
          <w:trHeight w:val="225"/>
          <w:tblCellSpacing w:w="15" w:type="dxa"/>
        </w:trPr>
        <w:tc>
          <w:tcPr>
            <w:tcW w:w="0" w:type="auto"/>
            <w:vAlign w:val="center"/>
            <w:hideMark/>
          </w:tcPr>
          <w:p w14:paraId="0B2503A6" w14:textId="77777777" w:rsidR="00000000" w:rsidRDefault="00EB4933">
            <w:pPr>
              <w:rPr>
                <w:rFonts w:eastAsia="Times New Roman"/>
                <w:sz w:val="20"/>
                <w:szCs w:val="20"/>
              </w:rPr>
            </w:pPr>
            <w:hyperlink r:id="rId117" w:anchor="toc" w:history="1">
              <w:r>
                <w:rPr>
                  <w:rStyle w:val="Hyperlink"/>
                  <w:rFonts w:eastAsia="Times New Roman"/>
                  <w:i/>
                  <w:iCs/>
                  <w:sz w:val="20"/>
                  <w:szCs w:val="20"/>
                </w:rPr>
                <w:t>Table of Contents</w:t>
              </w:r>
            </w:hyperlink>
          </w:p>
        </w:tc>
      </w:tr>
    </w:tbl>
    <w:p w14:paraId="5B2EB4BC"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29D86903" w14:textId="77777777" w:rsidR="00000000" w:rsidRDefault="00EB4933">
      <w:pPr>
        <w:pStyle w:val="NormalWeb"/>
        <w:spacing w:before="0" w:beforeAutospacing="0" w:after="0" w:afterAutospacing="0"/>
        <w:jc w:val="both"/>
        <w:divId w:val="98525094"/>
        <w:rPr>
          <w:sz w:val="20"/>
          <w:szCs w:val="20"/>
        </w:rPr>
      </w:pPr>
      <w:r>
        <w:rPr>
          <w:rStyle w:val="Strong"/>
          <w:sz w:val="20"/>
          <w:szCs w:val="20"/>
        </w:rPr>
        <w:t>Critical Accounting Policies and Estimates</w:t>
      </w:r>
    </w:p>
    <w:p w14:paraId="6E41745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01884FE"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discussion and analysis of our financial condition and results of operations are based on ou</w:t>
      </w:r>
      <w:r>
        <w:rPr>
          <w:sz w:val="20"/>
          <w:szCs w:val="20"/>
        </w:rPr>
        <w:t xml:space="preserve">r financial statements, which have been prepared in accordance with IFRS. The preparation of these financial statements requires us to make estimates and judgments that affect the reported amounts of assets, liabilities, revenues and expenses. We base our </w:t>
      </w:r>
      <w:r>
        <w:rPr>
          <w:sz w:val="20"/>
          <w:szCs w:val="20"/>
        </w:rPr>
        <w:t xml:space="preserve">estimates on historical experience and on various other assumptions that we believe to be reasonable under the circumstances, the results of which form the basis for making judgments about the carrying values of assets and liabilities that are not readily </w:t>
      </w:r>
      <w:r>
        <w:rPr>
          <w:sz w:val="20"/>
          <w:szCs w:val="20"/>
        </w:rPr>
        <w:t>apparent from other sources. Actual results may differ from these estimates under different assumptions or conditions. We consider the policies discussed below to be critical to an understanding of our financial statements as their application places the m</w:t>
      </w:r>
      <w:r>
        <w:rPr>
          <w:sz w:val="20"/>
          <w:szCs w:val="20"/>
        </w:rPr>
        <w:t>ost significant demands on our management’s judgment. When reviewing our financial statements, you should take into account:</w:t>
      </w:r>
    </w:p>
    <w:p w14:paraId="27B2F365"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65483C2B" w14:textId="77777777">
        <w:trPr>
          <w:divId w:val="98525094"/>
          <w:trHeight w:val="225"/>
          <w:tblCellSpacing w:w="15" w:type="dxa"/>
        </w:trPr>
        <w:tc>
          <w:tcPr>
            <w:tcW w:w="200" w:type="pct"/>
            <w:vAlign w:val="center"/>
            <w:hideMark/>
          </w:tcPr>
          <w:p w14:paraId="17302B7B"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2E00D398"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70C233C0" w14:textId="77777777" w:rsidR="00000000" w:rsidRDefault="00EB4933">
            <w:pPr>
              <w:rPr>
                <w:rFonts w:eastAsia="Times New Roman"/>
                <w:sz w:val="20"/>
                <w:szCs w:val="20"/>
              </w:rPr>
            </w:pPr>
            <w:r>
              <w:rPr>
                <w:rFonts w:eastAsia="Times New Roman"/>
                <w:sz w:val="20"/>
                <w:szCs w:val="20"/>
              </w:rPr>
              <w:t>our critical accounting policies discussed below;</w:t>
            </w:r>
          </w:p>
        </w:tc>
      </w:tr>
      <w:tr w:rsidR="00000000" w14:paraId="16612B87" w14:textId="77777777">
        <w:trPr>
          <w:divId w:val="98525094"/>
          <w:trHeight w:val="225"/>
          <w:tblCellSpacing w:w="15" w:type="dxa"/>
        </w:trPr>
        <w:tc>
          <w:tcPr>
            <w:tcW w:w="0" w:type="auto"/>
            <w:vAlign w:val="center"/>
            <w:hideMark/>
          </w:tcPr>
          <w:p w14:paraId="1F391B5C"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6CDB54D0"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355198D6" w14:textId="77777777" w:rsidR="00000000" w:rsidRDefault="00EB4933">
            <w:pPr>
              <w:pStyle w:val="NormalWeb"/>
              <w:spacing w:before="0" w:beforeAutospacing="0" w:after="0" w:afterAutospacing="0"/>
              <w:rPr>
                <w:sz w:val="20"/>
                <w:szCs w:val="20"/>
              </w:rPr>
            </w:pPr>
            <w:r>
              <w:rPr>
                <w:sz w:val="20"/>
                <w:szCs w:val="20"/>
              </w:rPr>
              <w:t> </w:t>
            </w:r>
          </w:p>
        </w:tc>
      </w:tr>
      <w:tr w:rsidR="00000000" w14:paraId="6EAC7B74" w14:textId="77777777">
        <w:trPr>
          <w:divId w:val="98525094"/>
          <w:trHeight w:val="225"/>
          <w:tblCellSpacing w:w="15" w:type="dxa"/>
        </w:trPr>
        <w:tc>
          <w:tcPr>
            <w:tcW w:w="0" w:type="auto"/>
            <w:vAlign w:val="center"/>
            <w:hideMark/>
          </w:tcPr>
          <w:p w14:paraId="28CF8F18"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3DB15646"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57478B01" w14:textId="77777777" w:rsidR="00000000" w:rsidRDefault="00EB4933">
            <w:pPr>
              <w:rPr>
                <w:rFonts w:eastAsia="Times New Roman"/>
                <w:sz w:val="20"/>
                <w:szCs w:val="20"/>
              </w:rPr>
            </w:pPr>
            <w:r>
              <w:rPr>
                <w:rFonts w:eastAsia="Times New Roman"/>
                <w:sz w:val="20"/>
                <w:szCs w:val="20"/>
              </w:rPr>
              <w:t>the related judgment made by our management and other uncertainties affecting the application of these policies;</w:t>
            </w:r>
          </w:p>
        </w:tc>
      </w:tr>
      <w:tr w:rsidR="00000000" w14:paraId="776C03D9" w14:textId="77777777">
        <w:trPr>
          <w:divId w:val="98525094"/>
          <w:trHeight w:val="225"/>
          <w:tblCellSpacing w:w="15" w:type="dxa"/>
        </w:trPr>
        <w:tc>
          <w:tcPr>
            <w:tcW w:w="0" w:type="auto"/>
            <w:vAlign w:val="center"/>
            <w:hideMark/>
          </w:tcPr>
          <w:p w14:paraId="6A090607"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7739222A"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65E0AD7A" w14:textId="77777777" w:rsidR="00000000" w:rsidRDefault="00EB4933">
            <w:pPr>
              <w:pStyle w:val="NormalWeb"/>
              <w:spacing w:before="0" w:beforeAutospacing="0" w:after="0" w:afterAutospacing="0"/>
              <w:rPr>
                <w:sz w:val="20"/>
                <w:szCs w:val="20"/>
              </w:rPr>
            </w:pPr>
            <w:r>
              <w:rPr>
                <w:sz w:val="20"/>
                <w:szCs w:val="20"/>
              </w:rPr>
              <w:t> </w:t>
            </w:r>
          </w:p>
        </w:tc>
      </w:tr>
      <w:tr w:rsidR="00000000" w14:paraId="409844E8" w14:textId="77777777">
        <w:trPr>
          <w:divId w:val="98525094"/>
          <w:trHeight w:val="225"/>
          <w:tblCellSpacing w:w="15" w:type="dxa"/>
        </w:trPr>
        <w:tc>
          <w:tcPr>
            <w:tcW w:w="0" w:type="auto"/>
            <w:vAlign w:val="center"/>
            <w:hideMark/>
          </w:tcPr>
          <w:p w14:paraId="05DC9692"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7A890087"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74E642A9" w14:textId="77777777" w:rsidR="00000000" w:rsidRDefault="00EB4933">
            <w:pPr>
              <w:rPr>
                <w:rFonts w:eastAsia="Times New Roman"/>
                <w:sz w:val="20"/>
                <w:szCs w:val="20"/>
              </w:rPr>
            </w:pPr>
            <w:r>
              <w:rPr>
                <w:rFonts w:eastAsia="Times New Roman"/>
                <w:sz w:val="20"/>
                <w:szCs w:val="20"/>
              </w:rPr>
              <w:t>the sensitivity of our reported results to changes in prevailing facts and circumstances and our related estimates and assumptions; and</w:t>
            </w:r>
          </w:p>
        </w:tc>
      </w:tr>
      <w:tr w:rsidR="00000000" w14:paraId="7DEEF101" w14:textId="77777777">
        <w:trPr>
          <w:divId w:val="98525094"/>
          <w:trHeight w:val="225"/>
          <w:tblCellSpacing w:w="15" w:type="dxa"/>
        </w:trPr>
        <w:tc>
          <w:tcPr>
            <w:tcW w:w="0" w:type="auto"/>
            <w:vAlign w:val="center"/>
            <w:hideMark/>
          </w:tcPr>
          <w:p w14:paraId="2C984755"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68F5538E"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269359F6" w14:textId="77777777" w:rsidR="00000000" w:rsidRDefault="00EB4933">
            <w:pPr>
              <w:pStyle w:val="NormalWeb"/>
              <w:spacing w:before="0" w:beforeAutospacing="0" w:after="0" w:afterAutospacing="0"/>
              <w:rPr>
                <w:sz w:val="20"/>
                <w:szCs w:val="20"/>
              </w:rPr>
            </w:pPr>
            <w:r>
              <w:rPr>
                <w:sz w:val="20"/>
                <w:szCs w:val="20"/>
              </w:rPr>
              <w:t> </w:t>
            </w:r>
          </w:p>
        </w:tc>
      </w:tr>
      <w:tr w:rsidR="00000000" w14:paraId="3FBBA010" w14:textId="77777777">
        <w:trPr>
          <w:divId w:val="98525094"/>
          <w:trHeight w:val="225"/>
          <w:tblCellSpacing w:w="15" w:type="dxa"/>
        </w:trPr>
        <w:tc>
          <w:tcPr>
            <w:tcW w:w="0" w:type="auto"/>
            <w:vAlign w:val="center"/>
            <w:hideMark/>
          </w:tcPr>
          <w:p w14:paraId="52A0ADDF"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793B1D40"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BDE06E6" w14:textId="77777777" w:rsidR="00000000" w:rsidRDefault="00EB4933">
            <w:pPr>
              <w:rPr>
                <w:rFonts w:eastAsia="Times New Roman"/>
                <w:sz w:val="20"/>
                <w:szCs w:val="20"/>
              </w:rPr>
            </w:pPr>
            <w:r>
              <w:rPr>
                <w:rFonts w:eastAsia="Times New Roman"/>
                <w:sz w:val="20"/>
                <w:szCs w:val="20"/>
              </w:rPr>
              <w:t>the risks and uncertainties described under “Risk Factors.”</w:t>
            </w:r>
          </w:p>
        </w:tc>
      </w:tr>
    </w:tbl>
    <w:p w14:paraId="1BF85F0E"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p w14:paraId="22635C60"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 xml:space="preserve">Interest income and expense </w:t>
      </w:r>
    </w:p>
    <w:p w14:paraId="58DBA2D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D04103C"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Interest incom</w:t>
      </w:r>
      <w:r>
        <w:rPr>
          <w:sz w:val="20"/>
          <w:szCs w:val="20"/>
        </w:rPr>
        <w:t xml:space="preserve">e and expense for all financial instruments are recognized in “Net interest income” as “Interest income” and “Interest expense” in the Consolidated Statement of Profit and Other Comprehensive Income using the effective interest method. Interest income for </w:t>
      </w:r>
      <w:r>
        <w:rPr>
          <w:sz w:val="20"/>
          <w:szCs w:val="20"/>
        </w:rPr>
        <w:t>financial assets held at amortized cost is recognized in profit or loss using the effective interest method.</w:t>
      </w:r>
    </w:p>
    <w:p w14:paraId="1FEFDC17"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FDB0F6F"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effective interest rate is the rate that exactly discount estimated future cash payments or receipts through the expected life of the financi</w:t>
      </w:r>
      <w:r>
        <w:rPr>
          <w:sz w:val="20"/>
          <w:szCs w:val="20"/>
        </w:rPr>
        <w:t>al asset or financial liability (or, where appropriate, a shorter period) to the gross carrying amount of a financial asset (i.e. its amortized cost before any impairment allowance) or to the amortized cost of a financial liability. When calculating the ef</w:t>
      </w:r>
      <w:r>
        <w:rPr>
          <w:sz w:val="20"/>
          <w:szCs w:val="20"/>
        </w:rPr>
        <w:t>fective interest rate, we estimate cash flows considering all contractual terms of the financial instrument but does not consider expected credit losses and includes transaction costs, premiums or discounts and fees and points paid or received that are int</w:t>
      </w:r>
      <w:r>
        <w:rPr>
          <w:sz w:val="20"/>
          <w:szCs w:val="20"/>
        </w:rPr>
        <w:t xml:space="preserve">egral to the effective interest rate, such as origination fees. </w:t>
      </w:r>
    </w:p>
    <w:p w14:paraId="21EBEE3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31D919C" w14:textId="77777777" w:rsidR="00000000" w:rsidRDefault="00EB4933">
      <w:pPr>
        <w:pStyle w:val="NormalWeb"/>
        <w:spacing w:before="0" w:beforeAutospacing="0" w:after="0" w:afterAutospacing="0"/>
        <w:ind w:firstLine="675"/>
        <w:jc w:val="both"/>
        <w:divId w:val="98525094"/>
        <w:rPr>
          <w:sz w:val="20"/>
          <w:szCs w:val="20"/>
        </w:rPr>
      </w:pPr>
      <w:r>
        <w:rPr>
          <w:sz w:val="20"/>
          <w:szCs w:val="20"/>
        </w:rPr>
        <w:t>When we revise the estimates of future cash flows, the carrying amount of the respective financial assets or financial liability is adjusted to reflect the new estimate discounted using the</w:t>
      </w:r>
      <w:r>
        <w:rPr>
          <w:sz w:val="20"/>
          <w:szCs w:val="20"/>
        </w:rPr>
        <w:t xml:space="preserve"> original effective interest rate. Any changes are recognized in profit or loss.</w:t>
      </w:r>
    </w:p>
    <w:p w14:paraId="5067F645"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F5FA4C9"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interest income / interest expense is calculated by applying the effective interest rate to the gross carrying amount of non-credit impaired financial assets (i.e. at the amortized cost of the financial asset before adjusting for any expected credit lo</w:t>
      </w:r>
      <w:r>
        <w:rPr>
          <w:sz w:val="20"/>
          <w:szCs w:val="20"/>
        </w:rPr>
        <w:t>ss allowance), or at amortised cost of financial liabilities. Interest income for financial assets that are amortized cost that have become credit-impaired subsequent to initial recognition (Stage 3) is recognized using the credit adjusted effective intere</w:t>
      </w:r>
      <w:r>
        <w:rPr>
          <w:sz w:val="20"/>
          <w:szCs w:val="20"/>
        </w:rPr>
        <w:t>st rate. This rate is calculated in the same manner as the effective interest rate except that expected credit losses are included in the expected cash flows. Interest income is therefore recognized on the amortized cost of the financial asset including ex</w:t>
      </w:r>
      <w:r>
        <w:rPr>
          <w:sz w:val="20"/>
          <w:szCs w:val="20"/>
        </w:rPr>
        <w:t>pected credit losses. Should the credit risk on a stage 3 financial asset improve such that the financial asset is no longer considered credit-impaired, interest income recognition reverts to a computation based on the rehabilitated gross carrying value of</w:t>
      </w:r>
      <w:r>
        <w:rPr>
          <w:sz w:val="20"/>
          <w:szCs w:val="20"/>
        </w:rPr>
        <w:t xml:space="preserve"> the financial asset.</w:t>
      </w:r>
    </w:p>
    <w:p w14:paraId="53418630"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6F3C157" w14:textId="77777777">
        <w:trPr>
          <w:divId w:val="98525094"/>
          <w:trHeight w:val="225"/>
          <w:tblCellSpacing w:w="15" w:type="dxa"/>
        </w:trPr>
        <w:tc>
          <w:tcPr>
            <w:tcW w:w="0" w:type="auto"/>
            <w:vAlign w:val="center"/>
            <w:hideMark/>
          </w:tcPr>
          <w:p w14:paraId="13C5D11B" w14:textId="77777777" w:rsidR="00000000" w:rsidRDefault="00EB4933">
            <w:pPr>
              <w:rPr>
                <w:rFonts w:eastAsia="Times New Roman"/>
                <w:sz w:val="20"/>
                <w:szCs w:val="20"/>
              </w:rPr>
            </w:pPr>
            <w:r>
              <w:rPr>
                <w:rFonts w:eastAsia="Times New Roman"/>
                <w:sz w:val="20"/>
                <w:szCs w:val="20"/>
              </w:rPr>
              <w:t> </w:t>
            </w:r>
          </w:p>
        </w:tc>
      </w:tr>
      <w:tr w:rsidR="00000000" w14:paraId="5419F277" w14:textId="77777777">
        <w:trPr>
          <w:divId w:val="98525094"/>
          <w:trHeight w:val="225"/>
          <w:tblCellSpacing w:w="15" w:type="dxa"/>
        </w:trPr>
        <w:tc>
          <w:tcPr>
            <w:tcW w:w="0" w:type="auto"/>
            <w:tcBorders>
              <w:bottom w:val="single" w:sz="6" w:space="0" w:color="000000"/>
            </w:tcBorders>
            <w:vAlign w:val="center"/>
            <w:hideMark/>
          </w:tcPr>
          <w:p w14:paraId="704CF9D9" w14:textId="77777777" w:rsidR="00000000" w:rsidRDefault="00EB4933">
            <w:pPr>
              <w:jc w:val="center"/>
              <w:rPr>
                <w:rFonts w:eastAsia="Times New Roman"/>
                <w:sz w:val="20"/>
                <w:szCs w:val="20"/>
              </w:rPr>
            </w:pPr>
            <w:r>
              <w:rPr>
                <w:rFonts w:eastAsia="Times New Roman"/>
                <w:sz w:val="20"/>
                <w:szCs w:val="20"/>
              </w:rPr>
              <w:t>58</w:t>
            </w:r>
          </w:p>
        </w:tc>
      </w:tr>
      <w:tr w:rsidR="00000000" w14:paraId="43C77BBA" w14:textId="77777777">
        <w:trPr>
          <w:divId w:val="98525094"/>
          <w:trHeight w:val="225"/>
          <w:tblCellSpacing w:w="15" w:type="dxa"/>
        </w:trPr>
        <w:tc>
          <w:tcPr>
            <w:tcW w:w="0" w:type="auto"/>
            <w:vAlign w:val="center"/>
            <w:hideMark/>
          </w:tcPr>
          <w:p w14:paraId="0277AA28" w14:textId="77777777" w:rsidR="00000000" w:rsidRDefault="00EB4933">
            <w:pPr>
              <w:rPr>
                <w:rFonts w:eastAsia="Times New Roman"/>
                <w:sz w:val="20"/>
                <w:szCs w:val="20"/>
              </w:rPr>
            </w:pPr>
          </w:p>
        </w:tc>
      </w:tr>
      <w:tr w:rsidR="00000000" w14:paraId="43E6CE2F" w14:textId="77777777">
        <w:trPr>
          <w:divId w:val="98525094"/>
          <w:trHeight w:val="225"/>
          <w:tblCellSpacing w:w="15" w:type="dxa"/>
        </w:trPr>
        <w:tc>
          <w:tcPr>
            <w:tcW w:w="0" w:type="auto"/>
            <w:vAlign w:val="center"/>
            <w:hideMark/>
          </w:tcPr>
          <w:p w14:paraId="56E25514" w14:textId="77777777" w:rsidR="00000000" w:rsidRDefault="00EB4933">
            <w:pPr>
              <w:rPr>
                <w:rFonts w:eastAsia="Times New Roman"/>
                <w:sz w:val="20"/>
                <w:szCs w:val="20"/>
              </w:rPr>
            </w:pPr>
            <w:hyperlink r:id="rId118" w:anchor="toc" w:history="1">
              <w:r>
                <w:rPr>
                  <w:rStyle w:val="Hyperlink"/>
                  <w:rFonts w:eastAsia="Times New Roman"/>
                  <w:i/>
                  <w:iCs/>
                  <w:sz w:val="20"/>
                  <w:szCs w:val="20"/>
                </w:rPr>
                <w:t>Table of Contents</w:t>
              </w:r>
            </w:hyperlink>
          </w:p>
        </w:tc>
      </w:tr>
    </w:tbl>
    <w:p w14:paraId="0880CCD3"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503E75C5"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Impairment measurement and recognition</w:t>
      </w:r>
    </w:p>
    <w:p w14:paraId="0738EC7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spacing="0"/>
        <w:ind w:firstLine="675"/>
        <w:jc w:val="both"/>
        <w:divId w:val="98525094"/>
        <w:rPr>
          <w:sz w:val="20"/>
          <w:szCs w:val="20"/>
        </w:rPr>
      </w:pPr>
      <w:r>
        <w:rPr>
          <w:sz w:val="20"/>
          <w:szCs w:val="20"/>
        </w:rPr>
        <w:t>IFRS 9 outlines a “three-stage” model for impairment based on changes in credit quality since initial recognition as summar</w:t>
      </w:r>
      <w:r>
        <w:rPr>
          <w:sz w:val="20"/>
          <w:szCs w:val="20"/>
        </w:rPr>
        <w:t>ized below:</w:t>
      </w:r>
    </w:p>
    <w:p w14:paraId="4F0A1EED"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74CA4B44" w14:textId="77777777">
        <w:trPr>
          <w:divId w:val="98525094"/>
          <w:trHeight w:val="225"/>
          <w:tblCellSpacing w:w="15" w:type="dxa"/>
        </w:trPr>
        <w:tc>
          <w:tcPr>
            <w:tcW w:w="200" w:type="pct"/>
            <w:vAlign w:val="center"/>
            <w:hideMark/>
          </w:tcPr>
          <w:p w14:paraId="52514E47"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1434CE04"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8D02939" w14:textId="77777777" w:rsidR="00000000" w:rsidRDefault="00EB4933">
            <w:pPr>
              <w:rPr>
                <w:rFonts w:eastAsia="Times New Roman"/>
                <w:sz w:val="20"/>
                <w:szCs w:val="20"/>
              </w:rPr>
            </w:pPr>
            <w:r>
              <w:rPr>
                <w:rFonts w:eastAsia="Times New Roman"/>
                <w:sz w:val="20"/>
                <w:szCs w:val="20"/>
              </w:rPr>
              <w:t>A financial instrument that is not credit-impaired on initial recognition is classified in “Stage 1” and has its credit risk continuously monitored by the Group.</w:t>
            </w:r>
          </w:p>
        </w:tc>
      </w:tr>
      <w:tr w:rsidR="00000000" w14:paraId="7B4B715E" w14:textId="77777777">
        <w:trPr>
          <w:divId w:val="98525094"/>
          <w:trHeight w:val="225"/>
          <w:tblCellSpacing w:w="15" w:type="dxa"/>
        </w:trPr>
        <w:tc>
          <w:tcPr>
            <w:tcW w:w="0" w:type="auto"/>
            <w:vAlign w:val="center"/>
            <w:hideMark/>
          </w:tcPr>
          <w:p w14:paraId="0FB66E8F"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64BC2B5B"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21D81FDF" w14:textId="77777777" w:rsidR="00000000" w:rsidRDefault="00EB4933">
            <w:pPr>
              <w:pStyle w:val="NormalWeb"/>
              <w:spacing w:before="0" w:beforeAutospacing="0" w:after="0" w:afterAutospacing="0"/>
              <w:rPr>
                <w:sz w:val="20"/>
                <w:szCs w:val="20"/>
              </w:rPr>
            </w:pPr>
            <w:r>
              <w:rPr>
                <w:sz w:val="20"/>
                <w:szCs w:val="20"/>
              </w:rPr>
              <w:t> </w:t>
            </w:r>
          </w:p>
        </w:tc>
      </w:tr>
      <w:tr w:rsidR="00000000" w14:paraId="1CF75EC2" w14:textId="77777777">
        <w:trPr>
          <w:divId w:val="98525094"/>
          <w:trHeight w:val="225"/>
          <w:tblCellSpacing w:w="15" w:type="dxa"/>
        </w:trPr>
        <w:tc>
          <w:tcPr>
            <w:tcW w:w="0" w:type="auto"/>
            <w:vAlign w:val="center"/>
            <w:hideMark/>
          </w:tcPr>
          <w:p w14:paraId="18492EAB"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4A9011FD"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140EF5C6" w14:textId="77777777" w:rsidR="00000000" w:rsidRDefault="00EB4933">
            <w:pPr>
              <w:rPr>
                <w:rFonts w:eastAsia="Times New Roman"/>
                <w:sz w:val="20"/>
                <w:szCs w:val="20"/>
              </w:rPr>
            </w:pPr>
            <w:r>
              <w:rPr>
                <w:rFonts w:eastAsia="Times New Roman"/>
                <w:sz w:val="20"/>
                <w:szCs w:val="20"/>
              </w:rPr>
              <w:t>If a significant increase in credit risk since initial recognition is identified, the financial instrument is moved to “Stage 2” but is not yet deemed to be credit-impaired.</w:t>
            </w:r>
          </w:p>
        </w:tc>
      </w:tr>
      <w:tr w:rsidR="00000000" w14:paraId="3D41597D" w14:textId="77777777">
        <w:trPr>
          <w:divId w:val="98525094"/>
          <w:trHeight w:val="225"/>
          <w:tblCellSpacing w:w="15" w:type="dxa"/>
        </w:trPr>
        <w:tc>
          <w:tcPr>
            <w:tcW w:w="0" w:type="auto"/>
            <w:vAlign w:val="center"/>
            <w:hideMark/>
          </w:tcPr>
          <w:p w14:paraId="58FB0A4C"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31C6ECF0"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377C792C" w14:textId="77777777" w:rsidR="00000000" w:rsidRDefault="00EB4933">
            <w:pPr>
              <w:pStyle w:val="NormalWeb"/>
              <w:spacing w:before="0" w:beforeAutospacing="0" w:after="0" w:afterAutospacing="0"/>
              <w:rPr>
                <w:sz w:val="20"/>
                <w:szCs w:val="20"/>
              </w:rPr>
            </w:pPr>
            <w:r>
              <w:rPr>
                <w:sz w:val="20"/>
                <w:szCs w:val="20"/>
              </w:rPr>
              <w:t> </w:t>
            </w:r>
          </w:p>
        </w:tc>
      </w:tr>
      <w:tr w:rsidR="00000000" w14:paraId="63226647" w14:textId="77777777">
        <w:trPr>
          <w:divId w:val="98525094"/>
          <w:trHeight w:val="225"/>
          <w:tblCellSpacing w:w="15" w:type="dxa"/>
        </w:trPr>
        <w:tc>
          <w:tcPr>
            <w:tcW w:w="0" w:type="auto"/>
            <w:vAlign w:val="center"/>
            <w:hideMark/>
          </w:tcPr>
          <w:p w14:paraId="0F12D559"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608F6F01"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79A251A0" w14:textId="77777777" w:rsidR="00000000" w:rsidRDefault="00EB4933">
            <w:pPr>
              <w:rPr>
                <w:rFonts w:eastAsia="Times New Roman"/>
                <w:sz w:val="20"/>
                <w:szCs w:val="20"/>
              </w:rPr>
            </w:pPr>
            <w:r>
              <w:rPr>
                <w:rFonts w:eastAsia="Times New Roman"/>
                <w:sz w:val="20"/>
                <w:szCs w:val="20"/>
              </w:rPr>
              <w:t>If the financial instrument is credit-impaired, the financial instrume</w:t>
            </w:r>
            <w:r>
              <w:rPr>
                <w:rFonts w:eastAsia="Times New Roman"/>
                <w:sz w:val="20"/>
                <w:szCs w:val="20"/>
              </w:rPr>
              <w:t>nt is then moved to “Stage 3”.</w:t>
            </w:r>
          </w:p>
        </w:tc>
      </w:tr>
      <w:tr w:rsidR="00000000" w14:paraId="01FDFF51" w14:textId="77777777">
        <w:trPr>
          <w:divId w:val="98525094"/>
          <w:trHeight w:val="225"/>
          <w:tblCellSpacing w:w="15" w:type="dxa"/>
        </w:trPr>
        <w:tc>
          <w:tcPr>
            <w:tcW w:w="0" w:type="auto"/>
            <w:vAlign w:val="center"/>
            <w:hideMark/>
          </w:tcPr>
          <w:p w14:paraId="39BA9513"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45F5C73A"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00E8E74C" w14:textId="77777777" w:rsidR="00000000" w:rsidRDefault="00EB4933">
            <w:pPr>
              <w:pStyle w:val="NormalWeb"/>
              <w:spacing w:before="0" w:beforeAutospacing="0" w:after="0" w:afterAutospacing="0"/>
              <w:rPr>
                <w:sz w:val="20"/>
                <w:szCs w:val="20"/>
              </w:rPr>
            </w:pPr>
            <w:r>
              <w:rPr>
                <w:sz w:val="20"/>
                <w:szCs w:val="20"/>
              </w:rPr>
              <w:t> </w:t>
            </w:r>
          </w:p>
        </w:tc>
      </w:tr>
      <w:tr w:rsidR="00000000" w14:paraId="77D21DF9" w14:textId="77777777">
        <w:trPr>
          <w:divId w:val="98525094"/>
          <w:trHeight w:val="225"/>
          <w:tblCellSpacing w:w="15" w:type="dxa"/>
        </w:trPr>
        <w:tc>
          <w:tcPr>
            <w:tcW w:w="0" w:type="auto"/>
            <w:vAlign w:val="center"/>
            <w:hideMark/>
          </w:tcPr>
          <w:p w14:paraId="08387C74"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7A0B2BB0"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199803AF" w14:textId="77777777" w:rsidR="00000000" w:rsidRDefault="00EB4933">
            <w:pPr>
              <w:rPr>
                <w:rFonts w:eastAsia="Times New Roman"/>
                <w:sz w:val="20"/>
                <w:szCs w:val="20"/>
              </w:rPr>
            </w:pPr>
            <w:r>
              <w:rPr>
                <w:rFonts w:eastAsia="Times New Roman"/>
                <w:sz w:val="20"/>
                <w:szCs w:val="20"/>
              </w:rPr>
              <w:t>Financial instruments in Stage 1 have their expected credit loss measured at an amount equal to the portion of lifetime expected credit losses that result from default events possible within the next 12 months. Financial instruments in Stages 2 or 3 have t</w:t>
            </w:r>
            <w:r>
              <w:rPr>
                <w:rFonts w:eastAsia="Times New Roman"/>
                <w:sz w:val="20"/>
                <w:szCs w:val="20"/>
              </w:rPr>
              <w:t>heir expected credit loss measured based on expected credit losses on a lifetime basis.</w:t>
            </w:r>
          </w:p>
        </w:tc>
      </w:tr>
      <w:tr w:rsidR="00000000" w14:paraId="27EDEDFC" w14:textId="77777777">
        <w:trPr>
          <w:divId w:val="98525094"/>
          <w:trHeight w:val="225"/>
          <w:tblCellSpacing w:w="15" w:type="dxa"/>
        </w:trPr>
        <w:tc>
          <w:tcPr>
            <w:tcW w:w="0" w:type="auto"/>
            <w:vAlign w:val="center"/>
            <w:hideMark/>
          </w:tcPr>
          <w:p w14:paraId="52D4CBA6"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48957240"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284CDE03" w14:textId="77777777" w:rsidR="00000000" w:rsidRDefault="00EB4933">
            <w:pPr>
              <w:pStyle w:val="NormalWeb"/>
              <w:spacing w:before="0" w:beforeAutospacing="0" w:after="0" w:afterAutospacing="0"/>
              <w:rPr>
                <w:sz w:val="20"/>
                <w:szCs w:val="20"/>
              </w:rPr>
            </w:pPr>
            <w:r>
              <w:rPr>
                <w:sz w:val="20"/>
                <w:szCs w:val="20"/>
              </w:rPr>
              <w:t> </w:t>
            </w:r>
          </w:p>
        </w:tc>
      </w:tr>
      <w:tr w:rsidR="00000000" w14:paraId="65A0BE84" w14:textId="77777777">
        <w:trPr>
          <w:divId w:val="98525094"/>
          <w:trHeight w:val="225"/>
          <w:tblCellSpacing w:w="15" w:type="dxa"/>
        </w:trPr>
        <w:tc>
          <w:tcPr>
            <w:tcW w:w="0" w:type="auto"/>
            <w:vAlign w:val="center"/>
            <w:hideMark/>
          </w:tcPr>
          <w:p w14:paraId="6DCFAEAA"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536CB2F5"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0C1A3CF2" w14:textId="77777777" w:rsidR="00000000" w:rsidRDefault="00EB4933">
            <w:pPr>
              <w:rPr>
                <w:rFonts w:eastAsia="Times New Roman"/>
                <w:sz w:val="20"/>
                <w:szCs w:val="20"/>
              </w:rPr>
            </w:pPr>
            <w:r>
              <w:rPr>
                <w:rFonts w:eastAsia="Times New Roman"/>
                <w:sz w:val="20"/>
                <w:szCs w:val="20"/>
              </w:rPr>
              <w:t>A pervasive concept in measuring expected credit loss in accordance with IFRS 9 is that it should consider forward looking information.</w:t>
            </w:r>
          </w:p>
        </w:tc>
      </w:tr>
    </w:tbl>
    <w:p w14:paraId="62B9CD68"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002CF5F" w14:textId="77777777">
        <w:trPr>
          <w:divId w:val="98525094"/>
          <w:trHeight w:val="225"/>
          <w:tblCellSpacing w:w="15" w:type="dxa"/>
        </w:trPr>
        <w:tc>
          <w:tcPr>
            <w:tcW w:w="0" w:type="auto"/>
            <w:vAlign w:val="center"/>
            <w:hideMark/>
          </w:tcPr>
          <w:p w14:paraId="0D09E780" w14:textId="77777777" w:rsidR="00000000" w:rsidRDefault="00EB4933">
            <w:pPr>
              <w:rPr>
                <w:rFonts w:eastAsia="Times New Roman"/>
                <w:sz w:val="20"/>
                <w:szCs w:val="20"/>
              </w:rPr>
            </w:pPr>
            <w:r>
              <w:rPr>
                <w:rFonts w:eastAsia="Times New Roman"/>
                <w:sz w:val="20"/>
                <w:szCs w:val="20"/>
              </w:rPr>
              <w:t> </w:t>
            </w:r>
          </w:p>
        </w:tc>
      </w:tr>
      <w:tr w:rsidR="00000000" w14:paraId="52AF4BAA" w14:textId="77777777">
        <w:trPr>
          <w:divId w:val="98525094"/>
          <w:trHeight w:val="225"/>
          <w:tblCellSpacing w:w="15" w:type="dxa"/>
        </w:trPr>
        <w:tc>
          <w:tcPr>
            <w:tcW w:w="0" w:type="auto"/>
            <w:tcBorders>
              <w:bottom w:val="single" w:sz="6" w:space="0" w:color="000000"/>
            </w:tcBorders>
            <w:vAlign w:val="center"/>
            <w:hideMark/>
          </w:tcPr>
          <w:p w14:paraId="16DA605B" w14:textId="77777777" w:rsidR="00000000" w:rsidRDefault="00EB4933">
            <w:pPr>
              <w:jc w:val="center"/>
              <w:rPr>
                <w:rFonts w:eastAsia="Times New Roman"/>
                <w:sz w:val="20"/>
                <w:szCs w:val="20"/>
              </w:rPr>
            </w:pPr>
            <w:r>
              <w:rPr>
                <w:rFonts w:eastAsia="Times New Roman"/>
                <w:sz w:val="20"/>
                <w:szCs w:val="20"/>
              </w:rPr>
              <w:t>59</w:t>
            </w:r>
          </w:p>
        </w:tc>
      </w:tr>
      <w:tr w:rsidR="00000000" w14:paraId="7371289B" w14:textId="77777777">
        <w:trPr>
          <w:divId w:val="98525094"/>
          <w:trHeight w:val="225"/>
          <w:tblCellSpacing w:w="15" w:type="dxa"/>
        </w:trPr>
        <w:tc>
          <w:tcPr>
            <w:tcW w:w="0" w:type="auto"/>
            <w:vAlign w:val="center"/>
            <w:hideMark/>
          </w:tcPr>
          <w:p w14:paraId="29F692F9" w14:textId="77777777" w:rsidR="00000000" w:rsidRDefault="00EB4933">
            <w:pPr>
              <w:rPr>
                <w:rFonts w:eastAsia="Times New Roman"/>
                <w:sz w:val="20"/>
                <w:szCs w:val="20"/>
              </w:rPr>
            </w:pPr>
          </w:p>
        </w:tc>
      </w:tr>
      <w:tr w:rsidR="00000000" w14:paraId="5B1E31C0" w14:textId="77777777">
        <w:trPr>
          <w:divId w:val="98525094"/>
          <w:trHeight w:val="225"/>
          <w:tblCellSpacing w:w="15" w:type="dxa"/>
        </w:trPr>
        <w:tc>
          <w:tcPr>
            <w:tcW w:w="0" w:type="auto"/>
            <w:vAlign w:val="center"/>
            <w:hideMark/>
          </w:tcPr>
          <w:p w14:paraId="572FAD74" w14:textId="77777777" w:rsidR="00000000" w:rsidRDefault="00EB4933">
            <w:pPr>
              <w:rPr>
                <w:rFonts w:eastAsia="Times New Roman"/>
                <w:sz w:val="20"/>
                <w:szCs w:val="20"/>
              </w:rPr>
            </w:pPr>
            <w:hyperlink r:id="rId119" w:anchor="toc" w:history="1">
              <w:r>
                <w:rPr>
                  <w:rStyle w:val="Hyperlink"/>
                  <w:rFonts w:eastAsia="Times New Roman"/>
                  <w:i/>
                  <w:iCs/>
                  <w:sz w:val="20"/>
                  <w:szCs w:val="20"/>
                </w:rPr>
                <w:t>Table of Contents</w:t>
              </w:r>
            </w:hyperlink>
          </w:p>
        </w:tc>
      </w:tr>
    </w:tbl>
    <w:p w14:paraId="30678132"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0DD42AF7" w14:textId="77777777" w:rsidR="00000000" w:rsidRDefault="00EB4933">
      <w:pPr>
        <w:pStyle w:val="NormalWeb"/>
        <w:spacing w:before="0" w:beforeAutospacing="0" w:after="0" w:afterAutospacing="0"/>
        <w:jc w:val="both"/>
        <w:divId w:val="98525094"/>
        <w:rPr>
          <w:sz w:val="20"/>
          <w:szCs w:val="20"/>
        </w:rPr>
      </w:pPr>
      <w:r>
        <w:rPr>
          <w:rStyle w:val="Strong"/>
          <w:sz w:val="20"/>
          <w:szCs w:val="20"/>
        </w:rPr>
        <w:t>Significant increase in credit risk</w:t>
      </w:r>
    </w:p>
    <w:p w14:paraId="1F810A5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4777A50"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monitor financial assets that are subject to the impairment requirements to assess whether there has been a significant increase in credit risk since initia</w:t>
      </w:r>
      <w:r>
        <w:rPr>
          <w:sz w:val="20"/>
          <w:szCs w:val="20"/>
        </w:rPr>
        <w:t>l recognition. If there has been a significant increase in credit risk we will measure the loss allowance based on lifetime rather than 12-month expected credit loss. Our accounting policy is not to use the practical expedient that financial assets with “l</w:t>
      </w:r>
      <w:r>
        <w:rPr>
          <w:sz w:val="20"/>
          <w:szCs w:val="20"/>
        </w:rPr>
        <w:t>ow” credit risk at the reporting date are deemed not to have had a significant increase in credit risk. As a result, we monitor all financial assets that are subject to impairment for significant increase in credit risk.</w:t>
      </w:r>
    </w:p>
    <w:p w14:paraId="669C1172"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C564013"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assessing whether the credit r</w:t>
      </w:r>
      <w:r>
        <w:rPr>
          <w:sz w:val="20"/>
          <w:szCs w:val="20"/>
        </w:rPr>
        <w:t>isk on a financial instrument has increased significantly since initial recognition, we compare the risk of a default occurring on the financial instrument at the reporting date based on the remaining maturity of the instrument with the risk of a default o</w:t>
      </w:r>
      <w:r>
        <w:rPr>
          <w:sz w:val="20"/>
          <w:szCs w:val="20"/>
        </w:rPr>
        <w:t>ccurring that was anticipated for the remaining maturity at the current reporting date when the financial instrument was first recognized. In making this assessment, we consider both quantitative and qualitative information that is reasonable and supportab</w:t>
      </w:r>
      <w:r>
        <w:rPr>
          <w:sz w:val="20"/>
          <w:szCs w:val="20"/>
        </w:rPr>
        <w:t xml:space="preserve">le, including historical experience and forward-looking information that is available without undue cost or effort, based on our historical experience and expert credit assessment including forward-looking information. </w:t>
      </w:r>
    </w:p>
    <w:p w14:paraId="63E4BD77"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594570A5"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The quantitative information is a </w:t>
      </w:r>
      <w:r>
        <w:rPr>
          <w:sz w:val="20"/>
          <w:szCs w:val="20"/>
        </w:rPr>
        <w:t>primary indicator of significant increase in credit risk and is based on the change in lifetime probability of default by comparing:</w:t>
      </w:r>
    </w:p>
    <w:p w14:paraId="57FF51CA"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45"/>
        <w:gridCol w:w="8815"/>
      </w:tblGrid>
      <w:tr w:rsidR="00000000" w14:paraId="21B4646D" w14:textId="77777777">
        <w:trPr>
          <w:divId w:val="98525094"/>
          <w:trHeight w:val="225"/>
          <w:tblCellSpacing w:w="15" w:type="dxa"/>
        </w:trPr>
        <w:tc>
          <w:tcPr>
            <w:tcW w:w="200" w:type="pct"/>
            <w:hideMark/>
          </w:tcPr>
          <w:p w14:paraId="78F1A924"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9F2C675" w14:textId="77777777" w:rsidR="00000000" w:rsidRDefault="00EB4933">
            <w:pPr>
              <w:rPr>
                <w:rFonts w:eastAsia="Times New Roman"/>
                <w:sz w:val="20"/>
                <w:szCs w:val="20"/>
              </w:rPr>
            </w:pPr>
            <w:r>
              <w:rPr>
                <w:rFonts w:eastAsia="Times New Roman"/>
                <w:sz w:val="14"/>
                <w:szCs w:val="14"/>
              </w:rPr>
              <w:t> </w:t>
            </w:r>
            <w:r>
              <w:rPr>
                <w:rFonts w:eastAsia="Times New Roman"/>
                <w:sz w:val="20"/>
                <w:szCs w:val="20"/>
              </w:rPr>
              <w:t>the remaining lifetime probability of default at the reporting date; with</w:t>
            </w:r>
          </w:p>
        </w:tc>
      </w:tr>
      <w:tr w:rsidR="00000000" w14:paraId="29E383A9" w14:textId="77777777">
        <w:trPr>
          <w:divId w:val="98525094"/>
          <w:trHeight w:val="225"/>
          <w:tblCellSpacing w:w="15" w:type="dxa"/>
        </w:trPr>
        <w:tc>
          <w:tcPr>
            <w:tcW w:w="0" w:type="auto"/>
            <w:vAlign w:val="center"/>
            <w:hideMark/>
          </w:tcPr>
          <w:p w14:paraId="207D6EFC"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071774AB" w14:textId="77777777" w:rsidR="00000000" w:rsidRDefault="00EB4933">
            <w:pPr>
              <w:pStyle w:val="NormalWeb"/>
              <w:spacing w:before="0" w:beforeAutospacing="0" w:after="0" w:afterAutospacing="0"/>
              <w:rPr>
                <w:sz w:val="20"/>
                <w:szCs w:val="20"/>
              </w:rPr>
            </w:pPr>
            <w:r>
              <w:rPr>
                <w:sz w:val="20"/>
                <w:szCs w:val="20"/>
              </w:rPr>
              <w:t> </w:t>
            </w:r>
          </w:p>
        </w:tc>
      </w:tr>
      <w:tr w:rsidR="00000000" w14:paraId="2F278A3C" w14:textId="77777777">
        <w:trPr>
          <w:divId w:val="98525094"/>
          <w:trHeight w:val="225"/>
          <w:tblCellSpacing w:w="15" w:type="dxa"/>
        </w:trPr>
        <w:tc>
          <w:tcPr>
            <w:tcW w:w="0" w:type="auto"/>
            <w:hideMark/>
          </w:tcPr>
          <w:p w14:paraId="183EC56F"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3B290166" w14:textId="77777777" w:rsidR="00000000" w:rsidRDefault="00EB4933">
            <w:pPr>
              <w:rPr>
                <w:rFonts w:eastAsia="Times New Roman"/>
                <w:sz w:val="20"/>
                <w:szCs w:val="20"/>
              </w:rPr>
            </w:pPr>
            <w:r>
              <w:rPr>
                <w:rFonts w:eastAsia="Times New Roman"/>
                <w:sz w:val="14"/>
                <w:szCs w:val="14"/>
              </w:rPr>
              <w:t> </w:t>
            </w:r>
            <w:r>
              <w:rPr>
                <w:rFonts w:eastAsia="Times New Roman"/>
                <w:sz w:val="20"/>
                <w:szCs w:val="20"/>
              </w:rPr>
              <w:t>the remaining lifetime probability of default for this point in time that was estimated based on facts and circumstances at the time of initial recognition of the exposure.</w:t>
            </w:r>
          </w:p>
        </w:tc>
      </w:tr>
    </w:tbl>
    <w:p w14:paraId="1AEEF40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C141D96"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probability of defaults used are forward looking and we use the same methodologies and data used to measure the loss allowance for expected credit loss.</w:t>
      </w:r>
    </w:p>
    <w:p w14:paraId="0ABFDF0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DDCF493"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qualitative factors that indicate significant increase in credit risk are reflected in pro</w:t>
      </w:r>
      <w:r>
        <w:rPr>
          <w:sz w:val="20"/>
          <w:szCs w:val="20"/>
        </w:rPr>
        <w:t xml:space="preserve">bability of default models on a timely basis. </w:t>
      </w:r>
    </w:p>
    <w:p w14:paraId="209F991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5C12AED" w14:textId="77777777" w:rsidR="00000000" w:rsidRDefault="00EB4933">
      <w:pPr>
        <w:pStyle w:val="NormalWeb"/>
        <w:spacing w:before="0" w:beforeAutospacing="0" w:after="0" w:afterAutospacing="0"/>
        <w:ind w:firstLine="675"/>
        <w:jc w:val="both"/>
        <w:divId w:val="98525094"/>
        <w:rPr>
          <w:sz w:val="20"/>
          <w:szCs w:val="20"/>
        </w:rPr>
      </w:pPr>
      <w:r>
        <w:rPr>
          <w:sz w:val="20"/>
          <w:szCs w:val="20"/>
        </w:rPr>
        <w:t>Given that a significant increase in credit risk since initial recognition is a relative measure, a given change, in absolute terms, in the probability of default will be more significant for a financial ins</w:t>
      </w:r>
      <w:r>
        <w:rPr>
          <w:sz w:val="20"/>
          <w:szCs w:val="20"/>
        </w:rPr>
        <w:t>trument with a lower initial probability of default than compared to a financial instrument with a higher probability of default.</w:t>
      </w:r>
    </w:p>
    <w:p w14:paraId="7E988D9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D7C4B8B"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a back-stop when an asset becomes 30 days past due, we consider that a significant increase in credit risk has occurred and the asset is in stage 2 of the impairment model, i.e. the loss allowance is measured as the lifetime expected credit loss.</w:t>
      </w:r>
    </w:p>
    <w:p w14:paraId="646AF92C"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FA0BE1F" w14:textId="77777777">
        <w:trPr>
          <w:divId w:val="98525094"/>
          <w:trHeight w:val="225"/>
          <w:tblCellSpacing w:w="15" w:type="dxa"/>
        </w:trPr>
        <w:tc>
          <w:tcPr>
            <w:tcW w:w="0" w:type="auto"/>
            <w:vAlign w:val="center"/>
            <w:hideMark/>
          </w:tcPr>
          <w:p w14:paraId="76E5F97A" w14:textId="77777777" w:rsidR="00000000" w:rsidRDefault="00EB4933">
            <w:pPr>
              <w:rPr>
                <w:rFonts w:eastAsia="Times New Roman"/>
                <w:sz w:val="20"/>
                <w:szCs w:val="20"/>
              </w:rPr>
            </w:pPr>
            <w:r>
              <w:rPr>
                <w:rFonts w:eastAsia="Times New Roman"/>
                <w:sz w:val="20"/>
                <w:szCs w:val="20"/>
              </w:rPr>
              <w:t> </w:t>
            </w:r>
          </w:p>
        </w:tc>
      </w:tr>
      <w:tr w:rsidR="00000000" w14:paraId="1E257828" w14:textId="77777777">
        <w:trPr>
          <w:divId w:val="98525094"/>
          <w:trHeight w:val="225"/>
          <w:tblCellSpacing w:w="15" w:type="dxa"/>
        </w:trPr>
        <w:tc>
          <w:tcPr>
            <w:tcW w:w="0" w:type="auto"/>
            <w:tcBorders>
              <w:bottom w:val="single" w:sz="6" w:space="0" w:color="000000"/>
            </w:tcBorders>
            <w:vAlign w:val="center"/>
            <w:hideMark/>
          </w:tcPr>
          <w:p w14:paraId="04AA8E65" w14:textId="77777777" w:rsidR="00000000" w:rsidRDefault="00EB4933">
            <w:pPr>
              <w:jc w:val="center"/>
              <w:rPr>
                <w:rFonts w:eastAsia="Times New Roman"/>
                <w:sz w:val="20"/>
                <w:szCs w:val="20"/>
              </w:rPr>
            </w:pPr>
            <w:r>
              <w:rPr>
                <w:rFonts w:eastAsia="Times New Roman"/>
                <w:sz w:val="20"/>
                <w:szCs w:val="20"/>
              </w:rPr>
              <w:t>60</w:t>
            </w:r>
          </w:p>
        </w:tc>
      </w:tr>
      <w:tr w:rsidR="00000000" w14:paraId="19296825" w14:textId="77777777">
        <w:trPr>
          <w:divId w:val="98525094"/>
          <w:trHeight w:val="225"/>
          <w:tblCellSpacing w:w="15" w:type="dxa"/>
        </w:trPr>
        <w:tc>
          <w:tcPr>
            <w:tcW w:w="0" w:type="auto"/>
            <w:vAlign w:val="center"/>
            <w:hideMark/>
          </w:tcPr>
          <w:p w14:paraId="1E7F6A9A" w14:textId="77777777" w:rsidR="00000000" w:rsidRDefault="00EB4933">
            <w:pPr>
              <w:rPr>
                <w:rFonts w:eastAsia="Times New Roman"/>
                <w:sz w:val="20"/>
                <w:szCs w:val="20"/>
              </w:rPr>
            </w:pPr>
          </w:p>
        </w:tc>
      </w:tr>
      <w:tr w:rsidR="00000000" w14:paraId="12CD85D8" w14:textId="77777777">
        <w:trPr>
          <w:divId w:val="98525094"/>
          <w:trHeight w:val="225"/>
          <w:tblCellSpacing w:w="15" w:type="dxa"/>
        </w:trPr>
        <w:tc>
          <w:tcPr>
            <w:tcW w:w="0" w:type="auto"/>
            <w:vAlign w:val="center"/>
            <w:hideMark/>
          </w:tcPr>
          <w:p w14:paraId="648D10E1" w14:textId="77777777" w:rsidR="00000000" w:rsidRDefault="00EB4933">
            <w:pPr>
              <w:rPr>
                <w:rFonts w:eastAsia="Times New Roman"/>
                <w:sz w:val="20"/>
                <w:szCs w:val="20"/>
              </w:rPr>
            </w:pPr>
            <w:hyperlink r:id="rId120" w:anchor="toc" w:history="1">
              <w:r>
                <w:rPr>
                  <w:rStyle w:val="Hyperlink"/>
                  <w:rFonts w:eastAsia="Times New Roman"/>
                  <w:i/>
                  <w:iCs/>
                  <w:sz w:val="20"/>
                  <w:szCs w:val="20"/>
                </w:rPr>
                <w:t>Table of Contents</w:t>
              </w:r>
            </w:hyperlink>
          </w:p>
        </w:tc>
      </w:tr>
    </w:tbl>
    <w:p w14:paraId="71947DD7"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68ACA128" w14:textId="77777777" w:rsidR="00000000" w:rsidRDefault="00EB4933">
      <w:pPr>
        <w:pStyle w:val="NormalWeb"/>
        <w:spacing w:before="0" w:beforeAutospacing="0" w:after="0" w:afterAutospacing="0"/>
        <w:jc w:val="both"/>
        <w:divId w:val="98525094"/>
        <w:rPr>
          <w:sz w:val="20"/>
          <w:szCs w:val="20"/>
        </w:rPr>
      </w:pPr>
      <w:r>
        <w:rPr>
          <w:rStyle w:val="Strong"/>
          <w:sz w:val="20"/>
          <w:szCs w:val="20"/>
        </w:rPr>
        <w:t>Credit-impaired financial assets</w:t>
      </w:r>
    </w:p>
    <w:p w14:paraId="41AF65B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0DD92FF"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A financial asset is “credit-impaired” when one or more events that have a detrimental impact on the estimated future cash flows of the financial asset hav</w:t>
      </w:r>
      <w:r>
        <w:rPr>
          <w:sz w:val="20"/>
          <w:szCs w:val="20"/>
        </w:rPr>
        <w:t>e occurred. Credit-impaired financial assets are referred to as Stage 3 assets. Evidence of credit-impairment includes observable data about the following events:</w:t>
      </w:r>
    </w:p>
    <w:p w14:paraId="4F5CE3A1"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45"/>
        <w:gridCol w:w="8815"/>
      </w:tblGrid>
      <w:tr w:rsidR="00000000" w14:paraId="3DBE87C6" w14:textId="77777777">
        <w:trPr>
          <w:divId w:val="98525094"/>
          <w:trHeight w:val="225"/>
          <w:tblCellSpacing w:w="15" w:type="dxa"/>
        </w:trPr>
        <w:tc>
          <w:tcPr>
            <w:tcW w:w="200" w:type="pct"/>
            <w:hideMark/>
          </w:tcPr>
          <w:p w14:paraId="39956AA9"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3429AC2A" w14:textId="77777777" w:rsidR="00000000" w:rsidRDefault="00EB4933">
            <w:pPr>
              <w:rPr>
                <w:rFonts w:eastAsia="Times New Roman"/>
                <w:sz w:val="20"/>
                <w:szCs w:val="20"/>
              </w:rPr>
            </w:pPr>
            <w:r>
              <w:rPr>
                <w:rFonts w:eastAsia="Times New Roman"/>
                <w:sz w:val="20"/>
                <w:szCs w:val="20"/>
              </w:rPr>
              <w:t>Significant financial difficulty of the borrower;</w:t>
            </w:r>
          </w:p>
        </w:tc>
      </w:tr>
      <w:tr w:rsidR="00000000" w14:paraId="119B048E" w14:textId="77777777">
        <w:trPr>
          <w:divId w:val="98525094"/>
          <w:trHeight w:val="225"/>
          <w:tblCellSpacing w:w="15" w:type="dxa"/>
        </w:trPr>
        <w:tc>
          <w:tcPr>
            <w:tcW w:w="0" w:type="auto"/>
            <w:vAlign w:val="center"/>
            <w:hideMark/>
          </w:tcPr>
          <w:p w14:paraId="516B7977"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231FAF76" w14:textId="77777777" w:rsidR="00000000" w:rsidRDefault="00EB4933">
            <w:pPr>
              <w:pStyle w:val="NormalWeb"/>
              <w:spacing w:before="0" w:beforeAutospacing="0" w:after="0" w:afterAutospacing="0"/>
              <w:rPr>
                <w:sz w:val="20"/>
                <w:szCs w:val="20"/>
              </w:rPr>
            </w:pPr>
            <w:r>
              <w:rPr>
                <w:sz w:val="20"/>
                <w:szCs w:val="20"/>
              </w:rPr>
              <w:t> </w:t>
            </w:r>
          </w:p>
        </w:tc>
      </w:tr>
      <w:tr w:rsidR="00000000" w14:paraId="32EC5F7C" w14:textId="77777777">
        <w:trPr>
          <w:divId w:val="98525094"/>
          <w:trHeight w:val="225"/>
          <w:tblCellSpacing w:w="15" w:type="dxa"/>
        </w:trPr>
        <w:tc>
          <w:tcPr>
            <w:tcW w:w="0" w:type="auto"/>
            <w:hideMark/>
          </w:tcPr>
          <w:p w14:paraId="030A8864"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61F1EC6" w14:textId="77777777" w:rsidR="00000000" w:rsidRDefault="00EB4933">
            <w:pPr>
              <w:rPr>
                <w:rFonts w:eastAsia="Times New Roman"/>
                <w:sz w:val="20"/>
                <w:szCs w:val="20"/>
              </w:rPr>
            </w:pPr>
            <w:r>
              <w:rPr>
                <w:rFonts w:eastAsia="Times New Roman"/>
                <w:sz w:val="20"/>
                <w:szCs w:val="20"/>
              </w:rPr>
              <w:t>a breach of contract such as a default or past due event; or</w:t>
            </w:r>
          </w:p>
        </w:tc>
      </w:tr>
      <w:tr w:rsidR="00000000" w14:paraId="39E9D9A1" w14:textId="77777777">
        <w:trPr>
          <w:divId w:val="98525094"/>
          <w:trHeight w:val="225"/>
          <w:tblCellSpacing w:w="15" w:type="dxa"/>
        </w:trPr>
        <w:tc>
          <w:tcPr>
            <w:tcW w:w="0" w:type="auto"/>
            <w:vAlign w:val="center"/>
            <w:hideMark/>
          </w:tcPr>
          <w:p w14:paraId="3117E274"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7C573DC6" w14:textId="77777777" w:rsidR="00000000" w:rsidRDefault="00EB4933">
            <w:pPr>
              <w:pStyle w:val="NormalWeb"/>
              <w:spacing w:before="0" w:beforeAutospacing="0" w:after="0" w:afterAutospacing="0"/>
              <w:rPr>
                <w:sz w:val="20"/>
                <w:szCs w:val="20"/>
              </w:rPr>
            </w:pPr>
            <w:r>
              <w:rPr>
                <w:sz w:val="20"/>
                <w:szCs w:val="20"/>
              </w:rPr>
              <w:t> </w:t>
            </w:r>
          </w:p>
        </w:tc>
      </w:tr>
      <w:tr w:rsidR="00000000" w14:paraId="1D702B53" w14:textId="77777777">
        <w:trPr>
          <w:divId w:val="98525094"/>
          <w:trHeight w:val="225"/>
          <w:tblCellSpacing w:w="15" w:type="dxa"/>
        </w:trPr>
        <w:tc>
          <w:tcPr>
            <w:tcW w:w="0" w:type="auto"/>
            <w:hideMark/>
          </w:tcPr>
          <w:p w14:paraId="5B4EC356"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77A8AFE0" w14:textId="77777777" w:rsidR="00000000" w:rsidRDefault="00EB4933">
            <w:pPr>
              <w:rPr>
                <w:rFonts w:eastAsia="Times New Roman"/>
                <w:sz w:val="20"/>
                <w:szCs w:val="20"/>
              </w:rPr>
            </w:pPr>
            <w:r>
              <w:rPr>
                <w:rFonts w:eastAsia="Times New Roman"/>
                <w:sz w:val="20"/>
                <w:szCs w:val="20"/>
              </w:rPr>
              <w:t>the lender of the borrower, for economic or contractual reasons relating to the borrower’s financial difficulty, having granted t</w:t>
            </w:r>
            <w:r>
              <w:rPr>
                <w:rFonts w:eastAsia="Times New Roman"/>
                <w:sz w:val="20"/>
                <w:szCs w:val="20"/>
              </w:rPr>
              <w:t>o the borrower a concession that the lender would not otherwise consider.</w:t>
            </w:r>
          </w:p>
        </w:tc>
      </w:tr>
    </w:tbl>
    <w:p w14:paraId="733AC7D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112A31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It may not be possible to identify a single discrete event – instead, the combined effect of several events may have caused financial assets to become credit-impaired. </w:t>
      </w:r>
    </w:p>
    <w:p w14:paraId="33082EA2"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5BF1BEF0" w14:textId="77777777" w:rsidR="00000000" w:rsidRDefault="00EB4933">
      <w:pPr>
        <w:pStyle w:val="NormalWeb"/>
        <w:spacing w:before="0" w:beforeAutospacing="0" w:after="0" w:afterAutospacing="0"/>
        <w:ind w:firstLine="675"/>
        <w:jc w:val="both"/>
        <w:divId w:val="98525094"/>
        <w:rPr>
          <w:sz w:val="20"/>
          <w:szCs w:val="20"/>
        </w:rPr>
      </w:pPr>
      <w:r>
        <w:rPr>
          <w:sz w:val="20"/>
          <w:szCs w:val="20"/>
        </w:rPr>
        <w:t>A loan is considered credit-impaired when a concession is granted to the borrower due to a deterioration in the borrower’s financial condition, unless there is evidence that as a result of granting the concession the risk of not receiving the contractual c</w:t>
      </w:r>
      <w:r>
        <w:rPr>
          <w:sz w:val="20"/>
          <w:szCs w:val="20"/>
        </w:rPr>
        <w:t>ash flows has reduced significantly and there are no other indicators of impairment. For financial assets where concessions are contemplated but not granted the asset is deemed credit impaired when there is observable evidence of credit-impairment includin</w:t>
      </w:r>
      <w:r>
        <w:rPr>
          <w:sz w:val="20"/>
          <w:szCs w:val="20"/>
        </w:rPr>
        <w:t>g meeting the definition of default. The definition of default (see below) include unlikeliness to pay indicators.</w:t>
      </w:r>
      <w:r>
        <w:rPr>
          <w:rStyle w:val="Strong"/>
          <w:sz w:val="20"/>
          <w:szCs w:val="20"/>
        </w:rPr>
        <w:t xml:space="preserve"> </w:t>
      </w:r>
    </w:p>
    <w:p w14:paraId="6436DEF8"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C0464C8" w14:textId="77777777">
        <w:trPr>
          <w:divId w:val="98525094"/>
          <w:trHeight w:val="225"/>
          <w:tblCellSpacing w:w="15" w:type="dxa"/>
        </w:trPr>
        <w:tc>
          <w:tcPr>
            <w:tcW w:w="0" w:type="auto"/>
            <w:vAlign w:val="center"/>
            <w:hideMark/>
          </w:tcPr>
          <w:p w14:paraId="2814AB82" w14:textId="77777777" w:rsidR="00000000" w:rsidRDefault="00EB4933">
            <w:pPr>
              <w:rPr>
                <w:rFonts w:eastAsia="Times New Roman"/>
                <w:sz w:val="20"/>
                <w:szCs w:val="20"/>
              </w:rPr>
            </w:pPr>
            <w:r>
              <w:rPr>
                <w:rFonts w:eastAsia="Times New Roman"/>
                <w:sz w:val="20"/>
                <w:szCs w:val="20"/>
              </w:rPr>
              <w:t> </w:t>
            </w:r>
          </w:p>
        </w:tc>
      </w:tr>
      <w:tr w:rsidR="00000000" w14:paraId="4C96D987" w14:textId="77777777">
        <w:trPr>
          <w:divId w:val="98525094"/>
          <w:trHeight w:val="225"/>
          <w:tblCellSpacing w:w="15" w:type="dxa"/>
        </w:trPr>
        <w:tc>
          <w:tcPr>
            <w:tcW w:w="0" w:type="auto"/>
            <w:tcBorders>
              <w:bottom w:val="single" w:sz="6" w:space="0" w:color="000000"/>
            </w:tcBorders>
            <w:vAlign w:val="center"/>
            <w:hideMark/>
          </w:tcPr>
          <w:p w14:paraId="0F9B1C3C" w14:textId="77777777" w:rsidR="00000000" w:rsidRDefault="00EB4933">
            <w:pPr>
              <w:jc w:val="center"/>
              <w:rPr>
                <w:rFonts w:eastAsia="Times New Roman"/>
                <w:sz w:val="20"/>
                <w:szCs w:val="20"/>
              </w:rPr>
            </w:pPr>
            <w:r>
              <w:rPr>
                <w:rFonts w:eastAsia="Times New Roman"/>
                <w:sz w:val="20"/>
                <w:szCs w:val="20"/>
              </w:rPr>
              <w:t>61</w:t>
            </w:r>
          </w:p>
        </w:tc>
      </w:tr>
      <w:tr w:rsidR="00000000" w14:paraId="451E484D" w14:textId="77777777">
        <w:trPr>
          <w:divId w:val="98525094"/>
          <w:trHeight w:val="225"/>
          <w:tblCellSpacing w:w="15" w:type="dxa"/>
        </w:trPr>
        <w:tc>
          <w:tcPr>
            <w:tcW w:w="0" w:type="auto"/>
            <w:vAlign w:val="center"/>
            <w:hideMark/>
          </w:tcPr>
          <w:p w14:paraId="5223DE91" w14:textId="77777777" w:rsidR="00000000" w:rsidRDefault="00EB4933">
            <w:pPr>
              <w:rPr>
                <w:rFonts w:eastAsia="Times New Roman"/>
                <w:sz w:val="20"/>
                <w:szCs w:val="20"/>
              </w:rPr>
            </w:pPr>
          </w:p>
        </w:tc>
      </w:tr>
      <w:tr w:rsidR="00000000" w14:paraId="6ADC0E65" w14:textId="77777777">
        <w:trPr>
          <w:divId w:val="98525094"/>
          <w:trHeight w:val="225"/>
          <w:tblCellSpacing w:w="15" w:type="dxa"/>
        </w:trPr>
        <w:tc>
          <w:tcPr>
            <w:tcW w:w="0" w:type="auto"/>
            <w:vAlign w:val="center"/>
            <w:hideMark/>
          </w:tcPr>
          <w:p w14:paraId="35C893D4" w14:textId="77777777" w:rsidR="00000000" w:rsidRDefault="00EB4933">
            <w:pPr>
              <w:rPr>
                <w:rFonts w:eastAsia="Times New Roman"/>
                <w:sz w:val="20"/>
                <w:szCs w:val="20"/>
              </w:rPr>
            </w:pPr>
            <w:hyperlink r:id="rId121" w:anchor="toc" w:history="1">
              <w:r>
                <w:rPr>
                  <w:rStyle w:val="Hyperlink"/>
                  <w:rFonts w:eastAsia="Times New Roman"/>
                  <w:i/>
                  <w:iCs/>
                  <w:sz w:val="20"/>
                  <w:szCs w:val="20"/>
                </w:rPr>
                <w:t>Table of Contents</w:t>
              </w:r>
            </w:hyperlink>
          </w:p>
        </w:tc>
      </w:tr>
    </w:tbl>
    <w:p w14:paraId="1721257D"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6DA7FC5B" w14:textId="77777777" w:rsidR="00000000" w:rsidRDefault="00EB4933">
      <w:pPr>
        <w:pStyle w:val="NormalWeb"/>
        <w:spacing w:before="0" w:beforeAutospacing="0" w:after="0" w:afterAutospacing="0"/>
        <w:jc w:val="both"/>
        <w:divId w:val="98525094"/>
        <w:rPr>
          <w:sz w:val="20"/>
          <w:szCs w:val="20"/>
        </w:rPr>
      </w:pPr>
      <w:r>
        <w:rPr>
          <w:rStyle w:val="Strong"/>
          <w:sz w:val="20"/>
          <w:szCs w:val="20"/>
        </w:rPr>
        <w:t>Definition of default</w:t>
      </w:r>
    </w:p>
    <w:p w14:paraId="608927F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8D01BB6" w14:textId="77777777" w:rsidR="00000000" w:rsidRDefault="00EB4933">
      <w:pPr>
        <w:pStyle w:val="NormalWeb"/>
        <w:spacing w:before="0" w:beforeAutospacing="0" w:after="0" w:afterAutospacing="0"/>
        <w:ind w:firstLine="675"/>
        <w:jc w:val="both"/>
        <w:divId w:val="98525094"/>
        <w:rPr>
          <w:sz w:val="20"/>
          <w:szCs w:val="20"/>
        </w:rPr>
      </w:pPr>
      <w:r>
        <w:rPr>
          <w:sz w:val="20"/>
          <w:szCs w:val="20"/>
        </w:rPr>
        <w:t>Critical to the determination of expected credit loss is the definition of default. The definition of default is used in measuring the amount of expected credit loss and in the determination of whether the loss allowance is based on 12-month or lifetime ex</w:t>
      </w:r>
      <w:r>
        <w:rPr>
          <w:sz w:val="20"/>
          <w:szCs w:val="20"/>
        </w:rPr>
        <w:t>pected credit loss, as default is a component of the probability of default which affects both the measurement of expected credit losses and the identification of a significant increase in credit risk.</w:t>
      </w:r>
    </w:p>
    <w:p w14:paraId="32C3BFD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AA2F006"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consider the following as constituting an event o</w:t>
      </w:r>
      <w:r>
        <w:rPr>
          <w:sz w:val="20"/>
          <w:szCs w:val="20"/>
        </w:rPr>
        <w:t>f default:</w:t>
      </w:r>
    </w:p>
    <w:p w14:paraId="77DEDF02"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45"/>
        <w:gridCol w:w="8815"/>
      </w:tblGrid>
      <w:tr w:rsidR="00000000" w14:paraId="7C82958A" w14:textId="77777777">
        <w:trPr>
          <w:divId w:val="98525094"/>
          <w:trHeight w:val="225"/>
          <w:tblCellSpacing w:w="15" w:type="dxa"/>
        </w:trPr>
        <w:tc>
          <w:tcPr>
            <w:tcW w:w="200" w:type="pct"/>
            <w:hideMark/>
          </w:tcPr>
          <w:p w14:paraId="3C1E3ED9"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F5DCCB1" w14:textId="77777777" w:rsidR="00000000" w:rsidRDefault="00EB4933">
            <w:pPr>
              <w:rPr>
                <w:rFonts w:eastAsia="Times New Roman"/>
                <w:sz w:val="20"/>
                <w:szCs w:val="20"/>
              </w:rPr>
            </w:pPr>
            <w:r>
              <w:rPr>
                <w:rFonts w:eastAsia="Times New Roman"/>
                <w:sz w:val="20"/>
                <w:szCs w:val="20"/>
              </w:rPr>
              <w:t>the borrower is past due more than nine months on any material credit obligation to us; or</w:t>
            </w:r>
          </w:p>
        </w:tc>
      </w:tr>
      <w:tr w:rsidR="00000000" w14:paraId="71FFB0B1" w14:textId="77777777">
        <w:trPr>
          <w:divId w:val="98525094"/>
          <w:trHeight w:val="225"/>
          <w:tblCellSpacing w:w="15" w:type="dxa"/>
        </w:trPr>
        <w:tc>
          <w:tcPr>
            <w:tcW w:w="0" w:type="auto"/>
            <w:vAlign w:val="center"/>
            <w:hideMark/>
          </w:tcPr>
          <w:p w14:paraId="38AFB70F"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480E91E4" w14:textId="77777777" w:rsidR="00000000" w:rsidRDefault="00EB4933">
            <w:pPr>
              <w:pStyle w:val="NormalWeb"/>
              <w:spacing w:before="0" w:beforeAutospacing="0" w:after="0" w:afterAutospacing="0"/>
              <w:rPr>
                <w:sz w:val="20"/>
                <w:szCs w:val="20"/>
              </w:rPr>
            </w:pPr>
            <w:r>
              <w:rPr>
                <w:sz w:val="20"/>
                <w:szCs w:val="20"/>
              </w:rPr>
              <w:t> </w:t>
            </w:r>
          </w:p>
        </w:tc>
      </w:tr>
      <w:tr w:rsidR="00000000" w14:paraId="1C0D1941" w14:textId="77777777">
        <w:trPr>
          <w:divId w:val="98525094"/>
          <w:trHeight w:val="225"/>
          <w:tblCellSpacing w:w="15" w:type="dxa"/>
        </w:trPr>
        <w:tc>
          <w:tcPr>
            <w:tcW w:w="0" w:type="auto"/>
            <w:hideMark/>
          </w:tcPr>
          <w:p w14:paraId="792A6079"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9C3EAA1" w14:textId="77777777" w:rsidR="00000000" w:rsidRDefault="00EB4933">
            <w:pPr>
              <w:rPr>
                <w:rFonts w:eastAsia="Times New Roman"/>
                <w:sz w:val="20"/>
                <w:szCs w:val="20"/>
              </w:rPr>
            </w:pPr>
            <w:r>
              <w:rPr>
                <w:rFonts w:eastAsia="Times New Roman"/>
                <w:sz w:val="20"/>
                <w:szCs w:val="20"/>
              </w:rPr>
              <w:t>the borrower is unlikely to pay its credit obligations to the Group in full.</w:t>
            </w:r>
          </w:p>
        </w:tc>
      </w:tr>
    </w:tbl>
    <w:p w14:paraId="3D8E8245"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1F2858A0" w14:textId="77777777" w:rsidR="00000000" w:rsidRDefault="00EB4933">
      <w:pPr>
        <w:pStyle w:val="NormalWeb"/>
        <w:spacing w:before="0" w:beforeAutospacing="0" w:after="0" w:afterAutospacing="0"/>
        <w:ind w:firstLine="675"/>
        <w:jc w:val="both"/>
        <w:divId w:val="98525094"/>
        <w:rPr>
          <w:sz w:val="20"/>
          <w:szCs w:val="20"/>
        </w:rPr>
      </w:pPr>
      <w:r>
        <w:rPr>
          <w:sz w:val="20"/>
          <w:szCs w:val="20"/>
        </w:rPr>
        <w:t>When assessing if the borrower is unlikely to pay its credit obligation, we take into account both qualitative and quantitative indicators. Quantitative indicators, such as o</w:t>
      </w:r>
      <w:r>
        <w:rPr>
          <w:sz w:val="20"/>
          <w:szCs w:val="20"/>
        </w:rPr>
        <w:t>verdue status and non-payment on another obligation of the same counterparty are key inputs in this analysis. We use a variety of sources of information to assess default which are either developed internally or obtained from external sources.</w:t>
      </w:r>
    </w:p>
    <w:p w14:paraId="69DCB78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378D7B5"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recogni</w:t>
      </w:r>
      <w:r>
        <w:rPr>
          <w:sz w:val="20"/>
          <w:szCs w:val="20"/>
        </w:rPr>
        <w:t>ze loss allowance for expected credit loss on loan receivables.</w:t>
      </w:r>
    </w:p>
    <w:p w14:paraId="5DF820A8"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309A812" w14:textId="77777777" w:rsidR="00000000" w:rsidRDefault="00EB4933">
      <w:pPr>
        <w:pStyle w:val="NormalWeb"/>
        <w:spacing w:before="0" w:beforeAutospacing="0" w:after="0" w:afterAutospacing="0"/>
        <w:ind w:firstLine="675"/>
        <w:jc w:val="both"/>
        <w:divId w:val="98525094"/>
        <w:rPr>
          <w:sz w:val="20"/>
          <w:szCs w:val="20"/>
        </w:rPr>
      </w:pPr>
      <w:r>
        <w:rPr>
          <w:sz w:val="20"/>
          <w:szCs w:val="20"/>
        </w:rPr>
        <w:t>Expected credit losses are required to be measured through a loss allowance at an amount equal to:</w:t>
      </w:r>
    </w:p>
    <w:p w14:paraId="7481889D"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45"/>
        <w:gridCol w:w="8815"/>
      </w:tblGrid>
      <w:tr w:rsidR="00000000" w14:paraId="2AC99988" w14:textId="77777777">
        <w:trPr>
          <w:divId w:val="98525094"/>
          <w:trHeight w:val="225"/>
          <w:tblCellSpacing w:w="15" w:type="dxa"/>
        </w:trPr>
        <w:tc>
          <w:tcPr>
            <w:tcW w:w="200" w:type="pct"/>
            <w:hideMark/>
          </w:tcPr>
          <w:p w14:paraId="2862D337"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724DB946" w14:textId="77777777" w:rsidR="00000000" w:rsidRDefault="00EB4933">
            <w:pPr>
              <w:rPr>
                <w:rFonts w:eastAsia="Times New Roman"/>
                <w:sz w:val="20"/>
                <w:szCs w:val="20"/>
              </w:rPr>
            </w:pPr>
            <w:r>
              <w:rPr>
                <w:rFonts w:eastAsia="Times New Roman"/>
                <w:sz w:val="20"/>
                <w:szCs w:val="20"/>
              </w:rPr>
              <w:t>12-month expected credit loss, i.e. lifetime expected credit loss that result from those default events on the financial instrument that are possible wit</w:t>
            </w:r>
            <w:r>
              <w:rPr>
                <w:rFonts w:eastAsia="Times New Roman"/>
                <w:sz w:val="20"/>
                <w:szCs w:val="20"/>
              </w:rPr>
              <w:t>hin 12 months after the reporting date, (referred to as Stage 1); or</w:t>
            </w:r>
          </w:p>
        </w:tc>
      </w:tr>
      <w:tr w:rsidR="00000000" w14:paraId="425554D6" w14:textId="77777777">
        <w:trPr>
          <w:divId w:val="98525094"/>
          <w:trHeight w:val="225"/>
          <w:tblCellSpacing w:w="15" w:type="dxa"/>
        </w:trPr>
        <w:tc>
          <w:tcPr>
            <w:tcW w:w="0" w:type="auto"/>
            <w:vAlign w:val="center"/>
            <w:hideMark/>
          </w:tcPr>
          <w:p w14:paraId="1313CDDA"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79CCD6B2" w14:textId="77777777" w:rsidR="00000000" w:rsidRDefault="00EB4933">
            <w:pPr>
              <w:pStyle w:val="NormalWeb"/>
              <w:spacing w:before="0" w:beforeAutospacing="0" w:after="0" w:afterAutospacing="0"/>
              <w:rPr>
                <w:sz w:val="20"/>
                <w:szCs w:val="20"/>
              </w:rPr>
            </w:pPr>
            <w:r>
              <w:rPr>
                <w:sz w:val="20"/>
                <w:szCs w:val="20"/>
              </w:rPr>
              <w:t> </w:t>
            </w:r>
          </w:p>
        </w:tc>
      </w:tr>
      <w:tr w:rsidR="00000000" w14:paraId="7EF21036" w14:textId="77777777">
        <w:trPr>
          <w:divId w:val="98525094"/>
          <w:trHeight w:val="225"/>
          <w:tblCellSpacing w:w="15" w:type="dxa"/>
        </w:trPr>
        <w:tc>
          <w:tcPr>
            <w:tcW w:w="0" w:type="auto"/>
            <w:hideMark/>
          </w:tcPr>
          <w:p w14:paraId="5EA47E6A"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7929F31" w14:textId="77777777" w:rsidR="00000000" w:rsidRDefault="00EB4933">
            <w:pPr>
              <w:rPr>
                <w:rFonts w:eastAsia="Times New Roman"/>
                <w:sz w:val="20"/>
                <w:szCs w:val="20"/>
              </w:rPr>
            </w:pPr>
            <w:r>
              <w:rPr>
                <w:rFonts w:eastAsia="Times New Roman"/>
                <w:sz w:val="20"/>
                <w:szCs w:val="20"/>
              </w:rPr>
              <w:t>Full lifetime expected credit loss, i.e. lifetime expected credit loss that result from all possible default events over the life of the financial instrument, (referred to as Stag</w:t>
            </w:r>
            <w:r>
              <w:rPr>
                <w:rFonts w:eastAsia="Times New Roman"/>
                <w:sz w:val="20"/>
                <w:szCs w:val="20"/>
              </w:rPr>
              <w:t>e 2 and Stage 3).</w:t>
            </w:r>
          </w:p>
        </w:tc>
      </w:tr>
    </w:tbl>
    <w:p w14:paraId="2764D9A9"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p w14:paraId="62FEED8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A loss allowance for full lifetime expected credit loss is required for a financial instrument if the credit risk on that financial instrument has increased significantly since initial recognition. For all other financial instruments, </w:t>
      </w:r>
      <w:r>
        <w:rPr>
          <w:sz w:val="20"/>
          <w:szCs w:val="20"/>
        </w:rPr>
        <w:t>expected credit losses are measured at an amount equal to the 12-month expected credit loss.</w:t>
      </w:r>
    </w:p>
    <w:p w14:paraId="68EC2D2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78D7029" w14:textId="77777777" w:rsidR="00000000" w:rsidRDefault="00EB4933">
      <w:pPr>
        <w:pStyle w:val="NormalWeb"/>
        <w:spacing w:before="0" w:beforeAutospacing="0" w:after="0" w:afterAutospacing="0"/>
        <w:ind w:firstLine="675"/>
        <w:jc w:val="both"/>
        <w:divId w:val="98525094"/>
        <w:rPr>
          <w:sz w:val="20"/>
          <w:szCs w:val="20"/>
        </w:rPr>
      </w:pPr>
      <w:r>
        <w:rPr>
          <w:sz w:val="20"/>
          <w:szCs w:val="20"/>
        </w:rPr>
        <w:t>Expected credit losses are computed as unbiased, a probability-weighted estimate of the present value of credit losses. These are measured as the present value o</w:t>
      </w:r>
      <w:r>
        <w:rPr>
          <w:sz w:val="20"/>
          <w:szCs w:val="20"/>
        </w:rPr>
        <w:t>f the difference between the cash flows due to us under the contract and the cash flows that we expect to receive by evaluating a range of reasonably possible outcomes, the time value of money, and considering all reasonable and supportable information inc</w:t>
      </w:r>
      <w:r>
        <w:rPr>
          <w:sz w:val="20"/>
          <w:szCs w:val="20"/>
        </w:rPr>
        <w:t>luding that which is forward-looking, discounted at the asset’s effective interest rate.</w:t>
      </w:r>
    </w:p>
    <w:p w14:paraId="1814AED0"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C8313D6"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For Stage 1 and 2 loans, the estimate of expected cash shortfalls over the life time of the loans is determined by multiplying the probability of default (“PD”) with the loss given default (“LGD”). </w:t>
      </w:r>
    </w:p>
    <w:p w14:paraId="7B9CF45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F57D5A0" w14:textId="77777777" w:rsidR="00000000" w:rsidRDefault="00EB4933">
      <w:pPr>
        <w:pStyle w:val="NormalWeb"/>
        <w:spacing w:before="0" w:beforeAutospacing="0" w:after="0" w:afterAutospacing="0"/>
        <w:ind w:firstLine="675"/>
        <w:jc w:val="both"/>
        <w:divId w:val="98525094"/>
        <w:rPr>
          <w:sz w:val="20"/>
          <w:szCs w:val="20"/>
        </w:rPr>
      </w:pPr>
      <w:r>
        <w:rPr>
          <w:sz w:val="20"/>
          <w:szCs w:val="20"/>
        </w:rPr>
        <w:t>For credit-impaired financial instruments (Stage 3 loan</w:t>
      </w:r>
      <w:r>
        <w:rPr>
          <w:sz w:val="20"/>
          <w:szCs w:val="20"/>
        </w:rPr>
        <w:t>s), the estimate of cash shortfalls may require the use of expert credit judgment. Cash shortfalls are discounted using the effective interest rate on the financial instrument as calculated at initial recognition.</w:t>
      </w:r>
    </w:p>
    <w:p w14:paraId="77AB315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D91BF9B"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initial contractual loan terms are w</w:t>
      </w:r>
      <w:r>
        <w:rPr>
          <w:sz w:val="20"/>
          <w:szCs w:val="20"/>
        </w:rPr>
        <w:t>ithin 12 months. For simplification purpose, for Stage 1 and Stage 2 loans, we recognized the expected credit losses for the lifetime of the loans.</w:t>
      </w:r>
    </w:p>
    <w:p w14:paraId="5B70A33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B31F283" w14:textId="77777777" w:rsidR="00000000" w:rsidRDefault="00EB4933">
      <w:pPr>
        <w:pStyle w:val="NormalWeb"/>
        <w:spacing w:before="0" w:beforeAutospacing="0" w:after="0" w:afterAutospacing="0"/>
        <w:ind w:firstLine="675"/>
        <w:jc w:val="both"/>
        <w:divId w:val="98525094"/>
        <w:rPr>
          <w:sz w:val="20"/>
          <w:szCs w:val="20"/>
        </w:rPr>
      </w:pPr>
      <w:r>
        <w:rPr>
          <w:sz w:val="20"/>
          <w:szCs w:val="20"/>
        </w:rPr>
        <w:t>Stage 1: Expected credit losses are recognized at the time of initial recognition of a financial instrumen</w:t>
      </w:r>
      <w:r>
        <w:rPr>
          <w:sz w:val="20"/>
          <w:szCs w:val="20"/>
        </w:rPr>
        <w:t>t and represent the lifetime cash shortfalls arising from possible default events for the life of loan from the balance sheet date. Expected credit losses continue to be determined on this basis until there is either a significant increase in the credit ri</w:t>
      </w:r>
      <w:r>
        <w:rPr>
          <w:sz w:val="20"/>
          <w:szCs w:val="20"/>
        </w:rPr>
        <w:t>sk of an instrument or the instrument becomes credit-impaired.</w:t>
      </w:r>
    </w:p>
    <w:p w14:paraId="16313F4B"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B90DBE5" w14:textId="77777777">
        <w:trPr>
          <w:divId w:val="98525094"/>
          <w:trHeight w:val="225"/>
          <w:tblCellSpacing w:w="15" w:type="dxa"/>
        </w:trPr>
        <w:tc>
          <w:tcPr>
            <w:tcW w:w="0" w:type="auto"/>
            <w:vAlign w:val="center"/>
            <w:hideMark/>
          </w:tcPr>
          <w:p w14:paraId="7A55E075" w14:textId="77777777" w:rsidR="00000000" w:rsidRDefault="00EB4933">
            <w:pPr>
              <w:rPr>
                <w:rFonts w:eastAsia="Times New Roman"/>
                <w:sz w:val="20"/>
                <w:szCs w:val="20"/>
              </w:rPr>
            </w:pPr>
            <w:r>
              <w:rPr>
                <w:rFonts w:eastAsia="Times New Roman"/>
                <w:sz w:val="20"/>
                <w:szCs w:val="20"/>
              </w:rPr>
              <w:t> </w:t>
            </w:r>
          </w:p>
        </w:tc>
      </w:tr>
      <w:tr w:rsidR="00000000" w14:paraId="256B28B0" w14:textId="77777777">
        <w:trPr>
          <w:divId w:val="98525094"/>
          <w:trHeight w:val="225"/>
          <w:tblCellSpacing w:w="15" w:type="dxa"/>
        </w:trPr>
        <w:tc>
          <w:tcPr>
            <w:tcW w:w="0" w:type="auto"/>
            <w:tcBorders>
              <w:bottom w:val="single" w:sz="6" w:space="0" w:color="000000"/>
            </w:tcBorders>
            <w:vAlign w:val="center"/>
            <w:hideMark/>
          </w:tcPr>
          <w:p w14:paraId="0F50AF8B" w14:textId="77777777" w:rsidR="00000000" w:rsidRDefault="00EB4933">
            <w:pPr>
              <w:jc w:val="center"/>
              <w:rPr>
                <w:rFonts w:eastAsia="Times New Roman"/>
                <w:sz w:val="20"/>
                <w:szCs w:val="20"/>
              </w:rPr>
            </w:pPr>
            <w:r>
              <w:rPr>
                <w:rFonts w:eastAsia="Times New Roman"/>
                <w:sz w:val="20"/>
                <w:szCs w:val="20"/>
              </w:rPr>
              <w:t>62</w:t>
            </w:r>
          </w:p>
        </w:tc>
      </w:tr>
      <w:tr w:rsidR="00000000" w14:paraId="1AF3415F" w14:textId="77777777">
        <w:trPr>
          <w:divId w:val="98525094"/>
          <w:trHeight w:val="225"/>
          <w:tblCellSpacing w:w="15" w:type="dxa"/>
        </w:trPr>
        <w:tc>
          <w:tcPr>
            <w:tcW w:w="0" w:type="auto"/>
            <w:vAlign w:val="center"/>
            <w:hideMark/>
          </w:tcPr>
          <w:p w14:paraId="1B049C77" w14:textId="77777777" w:rsidR="00000000" w:rsidRDefault="00EB4933">
            <w:pPr>
              <w:rPr>
                <w:rFonts w:eastAsia="Times New Roman"/>
                <w:sz w:val="20"/>
                <w:szCs w:val="20"/>
              </w:rPr>
            </w:pPr>
          </w:p>
        </w:tc>
      </w:tr>
      <w:tr w:rsidR="00000000" w14:paraId="35397783" w14:textId="77777777">
        <w:trPr>
          <w:divId w:val="98525094"/>
          <w:trHeight w:val="225"/>
          <w:tblCellSpacing w:w="15" w:type="dxa"/>
        </w:trPr>
        <w:tc>
          <w:tcPr>
            <w:tcW w:w="0" w:type="auto"/>
            <w:vAlign w:val="center"/>
            <w:hideMark/>
          </w:tcPr>
          <w:p w14:paraId="011F9F93" w14:textId="77777777" w:rsidR="00000000" w:rsidRDefault="00EB4933">
            <w:pPr>
              <w:rPr>
                <w:rFonts w:eastAsia="Times New Roman"/>
                <w:sz w:val="20"/>
                <w:szCs w:val="20"/>
              </w:rPr>
            </w:pPr>
            <w:hyperlink r:id="rId122" w:anchor="toc" w:history="1">
              <w:r>
                <w:rPr>
                  <w:rStyle w:val="Hyperlink"/>
                  <w:rFonts w:eastAsia="Times New Roman"/>
                  <w:i/>
                  <w:iCs/>
                  <w:sz w:val="20"/>
                  <w:szCs w:val="20"/>
                </w:rPr>
                <w:t>Table of Contents</w:t>
              </w:r>
            </w:hyperlink>
          </w:p>
        </w:tc>
      </w:tr>
    </w:tbl>
    <w:p w14:paraId="78AA9D6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4656254" w14:textId="77777777" w:rsidR="00000000" w:rsidRDefault="00EB4933">
      <w:pPr>
        <w:pStyle w:val="NormalWeb"/>
        <w:spacing w:before="0" w:beforeAutospacing="0" w:after="0" w:afterAutospacing="0"/>
        <w:ind w:firstLine="675"/>
        <w:jc w:val="both"/>
        <w:divId w:val="98525094"/>
        <w:rPr>
          <w:sz w:val="20"/>
          <w:szCs w:val="20"/>
        </w:rPr>
      </w:pPr>
      <w:r>
        <w:rPr>
          <w:sz w:val="20"/>
          <w:szCs w:val="20"/>
        </w:rPr>
        <w:t>Stage 2: If a financial asset experiences a significant increase in credit risk since initial recognition, an expected credit loss provision is recognized for default events that may occur over the lifetime of the asset. Significant increase in credit risk</w:t>
      </w:r>
      <w:r>
        <w:rPr>
          <w:sz w:val="20"/>
          <w:szCs w:val="20"/>
        </w:rPr>
        <w:t xml:space="preserve"> is assessed by comparing the risk of default of an exposure at the reporting date to the risk of default at origination (after taking into account the passage of time). Significant does not mean statistically significant nor is it assessed in the context </w:t>
      </w:r>
      <w:r>
        <w:rPr>
          <w:sz w:val="20"/>
          <w:szCs w:val="20"/>
        </w:rPr>
        <w:t>of changes in expected credit loss. Whether a change in the risk of default is significant or not is assessed using a number of quantitative and qualitative factors, the weight of which depends on the type of product and counterparty. Financial assets that</w:t>
      </w:r>
      <w:r>
        <w:rPr>
          <w:sz w:val="20"/>
          <w:szCs w:val="20"/>
        </w:rPr>
        <w:t xml:space="preserve"> are 30 or more days past due and not credit-impaired will always be considered to have experienced a significant increase in credit risk. </w:t>
      </w:r>
    </w:p>
    <w:p w14:paraId="007A13F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65C062D" w14:textId="77777777" w:rsidR="00000000" w:rsidRDefault="00EB4933">
      <w:pPr>
        <w:pStyle w:val="NormalWeb"/>
        <w:spacing w:before="0" w:beforeAutospacing="0" w:after="0" w:afterAutospacing="0"/>
        <w:ind w:firstLine="675"/>
        <w:jc w:val="both"/>
        <w:divId w:val="98525094"/>
        <w:rPr>
          <w:sz w:val="20"/>
          <w:szCs w:val="20"/>
        </w:rPr>
      </w:pPr>
      <w:r>
        <w:rPr>
          <w:sz w:val="20"/>
          <w:szCs w:val="20"/>
        </w:rPr>
        <w:t>Stage 3: Financial assets that are credit-impaired (or in default) represent those that are past due more than the</w:t>
      </w:r>
      <w:r>
        <w:rPr>
          <w:sz w:val="20"/>
          <w:szCs w:val="20"/>
        </w:rPr>
        <w:t xml:space="preserve"> historical average collection period for past due loans, but not to exceed the original contractual loan terms. Financial assets are also considered to be credit-impaired where the obligors are unlikely to pay on the occurrence of one or more observable e</w:t>
      </w:r>
      <w:r>
        <w:rPr>
          <w:sz w:val="20"/>
          <w:szCs w:val="20"/>
        </w:rPr>
        <w:t>vents that have a detrimental impact on the estimated future cash flows of the financial asset. It may not be possible to identify a single discrete event but instead the combined effect of several events may cause financial assets to become credit-impaire</w:t>
      </w:r>
      <w:r>
        <w:rPr>
          <w:sz w:val="20"/>
          <w:szCs w:val="20"/>
        </w:rPr>
        <w:t>d.</w:t>
      </w:r>
    </w:p>
    <w:p w14:paraId="7365CF5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3CFACCC" w14:textId="77777777" w:rsidR="00000000" w:rsidRDefault="00EB4933">
      <w:pPr>
        <w:pStyle w:val="NormalWeb"/>
        <w:spacing w:before="0" w:beforeAutospacing="0" w:after="0" w:afterAutospacing="0"/>
        <w:ind w:firstLine="675"/>
        <w:jc w:val="both"/>
        <w:divId w:val="98525094"/>
        <w:rPr>
          <w:sz w:val="20"/>
          <w:szCs w:val="20"/>
        </w:rPr>
      </w:pPr>
      <w:r>
        <w:rPr>
          <w:sz w:val="20"/>
          <w:szCs w:val="20"/>
        </w:rPr>
        <w:t>Loss provisions against credit-impaired financial assets are determined based on an assessment of the recoverable cash flows under a range of scenarios, including the realization of any collateral held where appropriate. The loss provisions held repre</w:t>
      </w:r>
      <w:r>
        <w:rPr>
          <w:sz w:val="20"/>
          <w:szCs w:val="20"/>
        </w:rPr>
        <w:t>sent the difference between the present value of the cash flows expected to be recovered, discounted at the instrument’s original effective interest rate, and the gross carrying value of the instrument prior to any credit impairment.</w:t>
      </w:r>
    </w:p>
    <w:p w14:paraId="7124DB8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E05FC6B"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Income taxes</w:t>
      </w:r>
    </w:p>
    <w:p w14:paraId="36B167D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EE899B0"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We re</w:t>
      </w:r>
      <w:r>
        <w:rPr>
          <w:sz w:val="20"/>
          <w:szCs w:val="20"/>
        </w:rPr>
        <w:t>cognize deferred tax assets and liabilities for the expected future tax consequences of event that have been included in the financial statements or tax returns. Under this method, deferred income taxes are recognized for the tax consequences in future yea</w:t>
      </w:r>
      <w:r>
        <w:rPr>
          <w:sz w:val="20"/>
          <w:szCs w:val="20"/>
        </w:rPr>
        <w:t xml:space="preserve">rs of differences between the tax bases of assets and liabilities and their financial reporting amounts at each period end based on enacted tax laws and statutory tax rates, applicable to the periods in which the differences are expected to affect taxable </w:t>
      </w:r>
      <w:r>
        <w:rPr>
          <w:sz w:val="20"/>
          <w:szCs w:val="20"/>
        </w:rPr>
        <w:t xml:space="preserve">income. International Accounting Standard 12 Income Taxes (“IAS12”) requires a one-step approach that provides a company to satisfy the probability criterion when assessing whether a deferred tax account should be recorded or not. Under this criterion, we </w:t>
      </w:r>
      <w:r>
        <w:rPr>
          <w:sz w:val="20"/>
          <w:szCs w:val="20"/>
        </w:rPr>
        <w:t>record a deferred tax account only to the extent we can show it is probable that taxable profit will be available against which the deferred tax asset can be utilized.</w:t>
      </w:r>
    </w:p>
    <w:p w14:paraId="4C5CC9D5"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EB7C28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Current IAS 12 does not have specific guidance on uncertain tax positions. We measure </w:t>
      </w:r>
      <w:r>
        <w:rPr>
          <w:sz w:val="20"/>
          <w:szCs w:val="20"/>
        </w:rPr>
        <w:t>tax assets and liabilities at the amount expected to be paid, based on enacted or substantively enacted tax legislation. Interest and penalties related to uncertain tax position are recognized and recorded as necessary in the provision for income taxes. Ac</w:t>
      </w:r>
      <w:r>
        <w:rPr>
          <w:sz w:val="20"/>
          <w:szCs w:val="20"/>
        </w:rPr>
        <w:t>cording to the PRC Tax Administration and Collection Law, the statute of limitations is three years if the underpayment of taxes is due to computation errors made by the taxpayer or the withholding agent. The statute of limitations is extended to five year</w:t>
      </w:r>
      <w:r>
        <w:rPr>
          <w:sz w:val="20"/>
          <w:szCs w:val="20"/>
        </w:rPr>
        <w:t>s under special circumstances, where the underpayment of taxes is more than RMB100,000. In the case of transfer pricing issues, the statute of limitation is ten years. There is no statute of limitation in the case of tax evasion. The PRC tax returns for ou</w:t>
      </w:r>
      <w:r>
        <w:rPr>
          <w:sz w:val="20"/>
          <w:szCs w:val="20"/>
        </w:rPr>
        <w:t>r PRC subsidiaries are open to examination by tax authorities for the tax years beginning in 2018. There were no uncertain tax positions as of December 31, 2019, 2018 and 2017 and we do not believe that our unrecognized tax benefits will change over the ne</w:t>
      </w:r>
      <w:r>
        <w:rPr>
          <w:sz w:val="20"/>
          <w:szCs w:val="20"/>
        </w:rPr>
        <w:t>xt twelve months.</w:t>
      </w:r>
    </w:p>
    <w:p w14:paraId="0AAD8557"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E33A9CE" w14:textId="77777777">
        <w:trPr>
          <w:divId w:val="98525094"/>
          <w:trHeight w:val="225"/>
          <w:tblCellSpacing w:w="15" w:type="dxa"/>
        </w:trPr>
        <w:tc>
          <w:tcPr>
            <w:tcW w:w="0" w:type="auto"/>
            <w:vAlign w:val="center"/>
            <w:hideMark/>
          </w:tcPr>
          <w:p w14:paraId="3DE1101B" w14:textId="77777777" w:rsidR="00000000" w:rsidRDefault="00EB4933">
            <w:pPr>
              <w:rPr>
                <w:rFonts w:eastAsia="Times New Roman"/>
                <w:sz w:val="20"/>
                <w:szCs w:val="20"/>
              </w:rPr>
            </w:pPr>
            <w:r>
              <w:rPr>
                <w:rFonts w:eastAsia="Times New Roman"/>
                <w:sz w:val="20"/>
                <w:szCs w:val="20"/>
              </w:rPr>
              <w:t> </w:t>
            </w:r>
          </w:p>
        </w:tc>
      </w:tr>
      <w:tr w:rsidR="00000000" w14:paraId="4EEE5F7C" w14:textId="77777777">
        <w:trPr>
          <w:divId w:val="98525094"/>
          <w:trHeight w:val="225"/>
          <w:tblCellSpacing w:w="15" w:type="dxa"/>
        </w:trPr>
        <w:tc>
          <w:tcPr>
            <w:tcW w:w="0" w:type="auto"/>
            <w:tcBorders>
              <w:bottom w:val="single" w:sz="6" w:space="0" w:color="000000"/>
            </w:tcBorders>
            <w:vAlign w:val="center"/>
            <w:hideMark/>
          </w:tcPr>
          <w:p w14:paraId="1F06476A" w14:textId="77777777" w:rsidR="00000000" w:rsidRDefault="00EB4933">
            <w:pPr>
              <w:jc w:val="center"/>
              <w:rPr>
                <w:rFonts w:eastAsia="Times New Roman"/>
                <w:sz w:val="20"/>
                <w:szCs w:val="20"/>
              </w:rPr>
            </w:pPr>
            <w:r>
              <w:rPr>
                <w:rFonts w:eastAsia="Times New Roman"/>
                <w:sz w:val="20"/>
                <w:szCs w:val="20"/>
              </w:rPr>
              <w:t>63</w:t>
            </w:r>
          </w:p>
        </w:tc>
      </w:tr>
      <w:tr w:rsidR="00000000" w14:paraId="771C78EB" w14:textId="77777777">
        <w:trPr>
          <w:divId w:val="98525094"/>
          <w:trHeight w:val="225"/>
          <w:tblCellSpacing w:w="15" w:type="dxa"/>
        </w:trPr>
        <w:tc>
          <w:tcPr>
            <w:tcW w:w="0" w:type="auto"/>
            <w:vAlign w:val="center"/>
            <w:hideMark/>
          </w:tcPr>
          <w:p w14:paraId="29D1F7CF" w14:textId="77777777" w:rsidR="00000000" w:rsidRDefault="00EB4933">
            <w:pPr>
              <w:rPr>
                <w:rFonts w:eastAsia="Times New Roman"/>
                <w:sz w:val="20"/>
                <w:szCs w:val="20"/>
              </w:rPr>
            </w:pPr>
          </w:p>
        </w:tc>
      </w:tr>
      <w:tr w:rsidR="00000000" w14:paraId="32E60D0E" w14:textId="77777777">
        <w:trPr>
          <w:divId w:val="98525094"/>
          <w:trHeight w:val="225"/>
          <w:tblCellSpacing w:w="15" w:type="dxa"/>
        </w:trPr>
        <w:tc>
          <w:tcPr>
            <w:tcW w:w="0" w:type="auto"/>
            <w:vAlign w:val="center"/>
            <w:hideMark/>
          </w:tcPr>
          <w:p w14:paraId="1A57BC78" w14:textId="77777777" w:rsidR="00000000" w:rsidRDefault="00EB4933">
            <w:pPr>
              <w:rPr>
                <w:rFonts w:eastAsia="Times New Roman"/>
                <w:sz w:val="20"/>
                <w:szCs w:val="20"/>
              </w:rPr>
            </w:pPr>
            <w:hyperlink r:id="rId123" w:anchor="toc" w:history="1">
              <w:r>
                <w:rPr>
                  <w:rStyle w:val="Hyperlink"/>
                  <w:rFonts w:eastAsia="Times New Roman"/>
                  <w:i/>
                  <w:iCs/>
                  <w:sz w:val="20"/>
                  <w:szCs w:val="20"/>
                </w:rPr>
                <w:t>Table of Contents</w:t>
              </w:r>
            </w:hyperlink>
          </w:p>
        </w:tc>
      </w:tr>
    </w:tbl>
    <w:p w14:paraId="3E8F942C"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25343DC5" w14:textId="77777777" w:rsidR="00000000" w:rsidRDefault="00EB4933">
      <w:pPr>
        <w:pStyle w:val="NormalWeb"/>
        <w:spacing w:before="0" w:beforeAutospacing="0" w:after="0" w:afterAutospacing="0"/>
        <w:jc w:val="both"/>
        <w:divId w:val="98525094"/>
        <w:rPr>
          <w:sz w:val="20"/>
          <w:szCs w:val="20"/>
        </w:rPr>
      </w:pPr>
      <w:r>
        <w:rPr>
          <w:rStyle w:val="Strong"/>
          <w:sz w:val="20"/>
          <w:szCs w:val="20"/>
        </w:rPr>
        <w:t>RESULTS OF OPERATIONS</w:t>
      </w:r>
    </w:p>
    <w:p w14:paraId="6032639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8246EF5"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The following tables present our summary statements of operations for each of the years ended December 31, 2017, 2018 and 2019. Our historical results presented below are not necessarily indicative of the results for any future periods. </w:t>
      </w:r>
    </w:p>
    <w:p w14:paraId="78C15636"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632"/>
        <w:gridCol w:w="119"/>
        <w:gridCol w:w="118"/>
        <w:gridCol w:w="824"/>
        <w:gridCol w:w="118"/>
        <w:gridCol w:w="118"/>
        <w:gridCol w:w="118"/>
        <w:gridCol w:w="824"/>
        <w:gridCol w:w="118"/>
        <w:gridCol w:w="118"/>
        <w:gridCol w:w="118"/>
        <w:gridCol w:w="824"/>
        <w:gridCol w:w="118"/>
        <w:gridCol w:w="118"/>
        <w:gridCol w:w="118"/>
        <w:gridCol w:w="824"/>
        <w:gridCol w:w="133"/>
      </w:tblGrid>
      <w:tr w:rsidR="00000000" w14:paraId="3E691CE6" w14:textId="77777777">
        <w:trPr>
          <w:divId w:val="98525094"/>
          <w:trHeight w:val="225"/>
          <w:tblCellSpacing w:w="15" w:type="dxa"/>
        </w:trPr>
        <w:tc>
          <w:tcPr>
            <w:tcW w:w="0" w:type="auto"/>
            <w:vAlign w:val="center"/>
            <w:hideMark/>
          </w:tcPr>
          <w:p w14:paraId="2C155213" w14:textId="77777777" w:rsidR="00000000" w:rsidRDefault="00EB4933">
            <w:pPr>
              <w:pStyle w:val="NormalWeb"/>
              <w:spacing w:before="0" w:beforeAutospacing="0" w:after="0" w:afterAutospacing="0"/>
              <w:rPr>
                <w:sz w:val="20"/>
                <w:szCs w:val="20"/>
              </w:rPr>
            </w:pPr>
            <w:r>
              <w:rPr>
                <w:sz w:val="20"/>
                <w:szCs w:val="20"/>
              </w:rPr>
              <w:t> </w:t>
            </w:r>
          </w:p>
        </w:tc>
        <w:tc>
          <w:tcPr>
            <w:tcW w:w="0" w:type="auto"/>
            <w:tcBorders>
              <w:bottom w:val="single" w:sz="6" w:space="0" w:color="000000"/>
            </w:tcBorders>
            <w:noWrap/>
            <w:vAlign w:val="center"/>
            <w:hideMark/>
          </w:tcPr>
          <w:p w14:paraId="48FA7180"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14"/>
            <w:tcBorders>
              <w:bottom w:val="single" w:sz="6" w:space="0" w:color="000000"/>
            </w:tcBorders>
            <w:vAlign w:val="bottom"/>
            <w:hideMark/>
          </w:tcPr>
          <w:p w14:paraId="4AE12A18" w14:textId="77777777" w:rsidR="00000000" w:rsidRDefault="00EB4933">
            <w:pPr>
              <w:pStyle w:val="NormalWeb"/>
              <w:spacing w:before="0" w:beforeAutospacing="0" w:after="0" w:afterAutospacing="0"/>
              <w:jc w:val="center"/>
              <w:rPr>
                <w:sz w:val="20"/>
                <w:szCs w:val="20"/>
              </w:rPr>
            </w:pPr>
            <w:r>
              <w:rPr>
                <w:rStyle w:val="Strong"/>
                <w:sz w:val="20"/>
                <w:szCs w:val="20"/>
              </w:rPr>
              <w:t>For the Year</w:t>
            </w:r>
            <w:r>
              <w:rPr>
                <w:rStyle w:val="Strong"/>
                <w:sz w:val="20"/>
                <w:szCs w:val="20"/>
              </w:rPr>
              <w:t xml:space="preserve"> Ended December 31,</w:t>
            </w:r>
          </w:p>
        </w:tc>
        <w:tc>
          <w:tcPr>
            <w:tcW w:w="0" w:type="auto"/>
            <w:noWrap/>
            <w:tcMar>
              <w:top w:w="0" w:type="dxa"/>
              <w:left w:w="0" w:type="dxa"/>
              <w:bottom w:w="15" w:type="dxa"/>
              <w:right w:w="0" w:type="dxa"/>
            </w:tcMar>
            <w:vAlign w:val="center"/>
            <w:hideMark/>
          </w:tcPr>
          <w:p w14:paraId="3B18B874" w14:textId="77777777" w:rsidR="00000000" w:rsidRDefault="00EB4933">
            <w:pPr>
              <w:pStyle w:val="NormalWeb"/>
              <w:spacing w:before="0" w:beforeAutospacing="0" w:after="0" w:afterAutospacing="0"/>
              <w:rPr>
                <w:sz w:val="20"/>
                <w:szCs w:val="20"/>
              </w:rPr>
            </w:pPr>
            <w:r>
              <w:rPr>
                <w:sz w:val="20"/>
                <w:szCs w:val="20"/>
              </w:rPr>
              <w:t> </w:t>
            </w:r>
          </w:p>
        </w:tc>
      </w:tr>
      <w:tr w:rsidR="00000000" w14:paraId="36802B07" w14:textId="77777777">
        <w:trPr>
          <w:divId w:val="98525094"/>
          <w:trHeight w:val="225"/>
          <w:tblCellSpacing w:w="15" w:type="dxa"/>
        </w:trPr>
        <w:tc>
          <w:tcPr>
            <w:tcW w:w="0" w:type="auto"/>
            <w:vAlign w:val="center"/>
            <w:hideMark/>
          </w:tcPr>
          <w:p w14:paraId="61866677"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C15C4E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6A30FFA1" w14:textId="77777777" w:rsidR="00000000" w:rsidRDefault="00EB4933">
            <w:pPr>
              <w:pStyle w:val="NormalWeb"/>
              <w:spacing w:before="0" w:beforeAutospacing="0" w:after="0" w:afterAutospacing="0"/>
              <w:jc w:val="center"/>
              <w:rPr>
                <w:sz w:val="20"/>
                <w:szCs w:val="20"/>
              </w:rPr>
            </w:pPr>
            <w:r>
              <w:rPr>
                <w:rStyle w:val="Strong"/>
                <w:sz w:val="20"/>
                <w:szCs w:val="20"/>
              </w:rPr>
              <w:t>2017</w:t>
            </w:r>
            <w:r>
              <w:rPr>
                <w:rStyle w:val="Strong"/>
                <w:sz w:val="20"/>
                <w:szCs w:val="20"/>
                <w:vertAlign w:val="superscript"/>
              </w:rPr>
              <w:t>(1)</w:t>
            </w:r>
          </w:p>
        </w:tc>
        <w:tc>
          <w:tcPr>
            <w:tcW w:w="0" w:type="auto"/>
            <w:noWrap/>
            <w:vAlign w:val="center"/>
            <w:hideMark/>
          </w:tcPr>
          <w:p w14:paraId="74CBB89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675C21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2EA4A82E"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vAlign w:val="center"/>
            <w:hideMark/>
          </w:tcPr>
          <w:p w14:paraId="7DD4B7C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49B9A5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407E0E32"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3EF36C48"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B8DD10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2A98252D"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29D6F4F5" w14:textId="77777777" w:rsidR="00000000" w:rsidRDefault="00EB4933">
            <w:pPr>
              <w:pStyle w:val="NormalWeb"/>
              <w:spacing w:before="0" w:beforeAutospacing="0" w:after="0" w:afterAutospacing="0"/>
              <w:rPr>
                <w:sz w:val="20"/>
                <w:szCs w:val="20"/>
              </w:rPr>
            </w:pPr>
            <w:r>
              <w:rPr>
                <w:sz w:val="20"/>
                <w:szCs w:val="20"/>
              </w:rPr>
              <w:t> </w:t>
            </w:r>
          </w:p>
        </w:tc>
      </w:tr>
      <w:tr w:rsidR="00000000" w14:paraId="3AF52920" w14:textId="77777777">
        <w:trPr>
          <w:divId w:val="98525094"/>
          <w:trHeight w:val="225"/>
          <w:tblCellSpacing w:w="15" w:type="dxa"/>
        </w:trPr>
        <w:tc>
          <w:tcPr>
            <w:tcW w:w="0" w:type="auto"/>
            <w:vAlign w:val="center"/>
            <w:hideMark/>
          </w:tcPr>
          <w:p w14:paraId="6DFF8514"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EA152CA"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0DF1F969" w14:textId="77777777" w:rsidR="00000000" w:rsidRDefault="00EB4933">
            <w:pPr>
              <w:pStyle w:val="NormalWeb"/>
              <w:spacing w:before="0" w:beforeAutospacing="0" w:after="0" w:afterAutospacing="0"/>
              <w:jc w:val="center"/>
              <w:rPr>
                <w:sz w:val="20"/>
                <w:szCs w:val="20"/>
              </w:rPr>
            </w:pPr>
            <w:r>
              <w:rPr>
                <w:rStyle w:val="Strong"/>
                <w:sz w:val="20"/>
                <w:szCs w:val="20"/>
              </w:rPr>
              <w:t>RMB</w:t>
            </w:r>
          </w:p>
        </w:tc>
        <w:tc>
          <w:tcPr>
            <w:tcW w:w="0" w:type="auto"/>
            <w:noWrap/>
            <w:vAlign w:val="center"/>
            <w:hideMark/>
          </w:tcPr>
          <w:p w14:paraId="16F9E58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BE6F7E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36C06767" w14:textId="77777777" w:rsidR="00000000" w:rsidRDefault="00EB4933">
            <w:pPr>
              <w:pStyle w:val="NormalWeb"/>
              <w:spacing w:before="0" w:beforeAutospacing="0" w:after="0" w:afterAutospacing="0"/>
              <w:jc w:val="center"/>
              <w:rPr>
                <w:sz w:val="20"/>
                <w:szCs w:val="20"/>
              </w:rPr>
            </w:pPr>
            <w:r>
              <w:rPr>
                <w:rStyle w:val="Strong"/>
                <w:sz w:val="20"/>
                <w:szCs w:val="20"/>
              </w:rPr>
              <w:t>RMB</w:t>
            </w:r>
          </w:p>
        </w:tc>
        <w:tc>
          <w:tcPr>
            <w:tcW w:w="0" w:type="auto"/>
            <w:noWrap/>
            <w:vAlign w:val="center"/>
            <w:hideMark/>
          </w:tcPr>
          <w:p w14:paraId="0E4BAD24"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83E05F0"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4E768315" w14:textId="77777777" w:rsidR="00000000" w:rsidRDefault="00EB4933">
            <w:pPr>
              <w:pStyle w:val="NormalWeb"/>
              <w:spacing w:before="0" w:beforeAutospacing="0" w:after="0" w:afterAutospacing="0"/>
              <w:jc w:val="center"/>
              <w:rPr>
                <w:sz w:val="20"/>
                <w:szCs w:val="20"/>
              </w:rPr>
            </w:pPr>
            <w:r>
              <w:rPr>
                <w:rStyle w:val="Strong"/>
                <w:sz w:val="20"/>
                <w:szCs w:val="20"/>
              </w:rPr>
              <w:t>RMB</w:t>
            </w:r>
          </w:p>
        </w:tc>
        <w:tc>
          <w:tcPr>
            <w:tcW w:w="0" w:type="auto"/>
            <w:noWrap/>
            <w:vAlign w:val="center"/>
            <w:hideMark/>
          </w:tcPr>
          <w:p w14:paraId="338F8DA1"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5391A8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1ABB79FF" w14:textId="77777777" w:rsidR="00000000" w:rsidRDefault="00EB4933">
            <w:pPr>
              <w:pStyle w:val="NormalWeb"/>
              <w:spacing w:before="0" w:beforeAutospacing="0" w:after="0" w:afterAutospacing="0"/>
              <w:jc w:val="center"/>
              <w:rPr>
                <w:sz w:val="20"/>
                <w:szCs w:val="20"/>
              </w:rPr>
            </w:pPr>
            <w:r>
              <w:rPr>
                <w:rStyle w:val="Strong"/>
                <w:sz w:val="20"/>
                <w:szCs w:val="20"/>
              </w:rPr>
              <w:t>$</w:t>
            </w:r>
          </w:p>
        </w:tc>
        <w:tc>
          <w:tcPr>
            <w:tcW w:w="0" w:type="auto"/>
            <w:noWrap/>
            <w:vAlign w:val="center"/>
            <w:hideMark/>
          </w:tcPr>
          <w:p w14:paraId="2543F405" w14:textId="77777777" w:rsidR="00000000" w:rsidRDefault="00EB4933">
            <w:pPr>
              <w:pStyle w:val="NormalWeb"/>
              <w:spacing w:before="0" w:beforeAutospacing="0" w:after="0" w:afterAutospacing="0"/>
              <w:rPr>
                <w:sz w:val="20"/>
                <w:szCs w:val="20"/>
              </w:rPr>
            </w:pPr>
            <w:r>
              <w:rPr>
                <w:sz w:val="20"/>
                <w:szCs w:val="20"/>
              </w:rPr>
              <w:t> </w:t>
            </w:r>
          </w:p>
        </w:tc>
      </w:tr>
      <w:tr w:rsidR="00000000" w14:paraId="1E6F8CEA" w14:textId="77777777">
        <w:trPr>
          <w:divId w:val="98525094"/>
          <w:trHeight w:val="225"/>
          <w:tblCellSpacing w:w="15" w:type="dxa"/>
        </w:trPr>
        <w:tc>
          <w:tcPr>
            <w:tcW w:w="0" w:type="auto"/>
            <w:vAlign w:val="center"/>
            <w:hideMark/>
          </w:tcPr>
          <w:p w14:paraId="6A378B23"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FE1A7BC"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14"/>
            <w:vAlign w:val="bottom"/>
            <w:hideMark/>
          </w:tcPr>
          <w:p w14:paraId="3EECD853" w14:textId="77777777" w:rsidR="00000000" w:rsidRDefault="00EB4933">
            <w:pPr>
              <w:pStyle w:val="NormalWeb"/>
              <w:spacing w:before="0" w:beforeAutospacing="0" w:after="0" w:afterAutospacing="0"/>
              <w:jc w:val="center"/>
              <w:rPr>
                <w:sz w:val="20"/>
                <w:szCs w:val="20"/>
              </w:rPr>
            </w:pPr>
            <w:r>
              <w:rPr>
                <w:sz w:val="20"/>
                <w:szCs w:val="20"/>
              </w:rPr>
              <w:t>(amount in thousands)</w:t>
            </w:r>
          </w:p>
        </w:tc>
        <w:tc>
          <w:tcPr>
            <w:tcW w:w="0" w:type="auto"/>
            <w:noWrap/>
            <w:vAlign w:val="center"/>
            <w:hideMark/>
          </w:tcPr>
          <w:p w14:paraId="1F33B9E7" w14:textId="77777777" w:rsidR="00000000" w:rsidRDefault="00EB4933">
            <w:pPr>
              <w:pStyle w:val="NormalWeb"/>
              <w:spacing w:before="0" w:beforeAutospacing="0" w:after="0" w:afterAutospacing="0"/>
              <w:rPr>
                <w:sz w:val="20"/>
                <w:szCs w:val="20"/>
              </w:rPr>
            </w:pPr>
            <w:r>
              <w:rPr>
                <w:sz w:val="20"/>
                <w:szCs w:val="20"/>
              </w:rPr>
              <w:t> </w:t>
            </w:r>
          </w:p>
        </w:tc>
      </w:tr>
      <w:tr w:rsidR="00000000" w14:paraId="12552E6B" w14:textId="77777777">
        <w:trPr>
          <w:divId w:val="98525094"/>
          <w:trHeight w:val="225"/>
          <w:tblCellSpacing w:w="15" w:type="dxa"/>
        </w:trPr>
        <w:tc>
          <w:tcPr>
            <w:tcW w:w="0" w:type="auto"/>
            <w:vAlign w:val="center"/>
            <w:hideMark/>
          </w:tcPr>
          <w:p w14:paraId="387DB71D"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9E69FA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2F880537"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03CDB43"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9B4495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46F858B"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5632301"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7429A5A"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0128695B"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65E88CD"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3B2D18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2E1DF296"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DF02F58" w14:textId="77777777" w:rsidR="00000000" w:rsidRDefault="00EB4933">
            <w:pPr>
              <w:pStyle w:val="NormalWeb"/>
              <w:spacing w:before="0" w:beforeAutospacing="0" w:after="0" w:afterAutospacing="0"/>
              <w:rPr>
                <w:sz w:val="20"/>
                <w:szCs w:val="20"/>
              </w:rPr>
            </w:pPr>
            <w:r>
              <w:rPr>
                <w:sz w:val="20"/>
                <w:szCs w:val="20"/>
              </w:rPr>
              <w:t> </w:t>
            </w:r>
          </w:p>
        </w:tc>
      </w:tr>
      <w:tr w:rsidR="00000000" w14:paraId="5373E3D1" w14:textId="77777777">
        <w:trPr>
          <w:divId w:val="98525094"/>
          <w:trHeight w:val="225"/>
          <w:tblCellSpacing w:w="15" w:type="dxa"/>
        </w:trPr>
        <w:tc>
          <w:tcPr>
            <w:tcW w:w="0" w:type="auto"/>
            <w:shd w:val="clear" w:color="auto" w:fill="CCEEFF"/>
            <w:hideMark/>
          </w:tcPr>
          <w:p w14:paraId="68E2847A" w14:textId="77777777" w:rsidR="00000000" w:rsidRDefault="00EB4933">
            <w:pPr>
              <w:pStyle w:val="NormalWeb"/>
              <w:spacing w:before="0" w:beforeAutospacing="0" w:after="0" w:afterAutospacing="0"/>
              <w:rPr>
                <w:sz w:val="20"/>
                <w:szCs w:val="20"/>
              </w:rPr>
            </w:pPr>
            <w:r>
              <w:rPr>
                <w:sz w:val="20"/>
                <w:szCs w:val="20"/>
              </w:rPr>
              <w:t>Interest income on loans</w:t>
            </w:r>
          </w:p>
        </w:tc>
        <w:tc>
          <w:tcPr>
            <w:tcW w:w="50" w:type="pct"/>
            <w:shd w:val="clear" w:color="auto" w:fill="CCEEFF"/>
            <w:noWrap/>
            <w:vAlign w:val="center"/>
            <w:hideMark/>
          </w:tcPr>
          <w:p w14:paraId="550132B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A03234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56DD068" w14:textId="77777777" w:rsidR="00000000" w:rsidRDefault="00EB4933">
            <w:pPr>
              <w:jc w:val="right"/>
              <w:rPr>
                <w:rFonts w:eastAsia="Times New Roman"/>
                <w:sz w:val="20"/>
                <w:szCs w:val="20"/>
              </w:rPr>
            </w:pPr>
            <w:r>
              <w:rPr>
                <w:rFonts w:eastAsia="Times New Roman"/>
                <w:sz w:val="20"/>
                <w:szCs w:val="20"/>
              </w:rPr>
              <w:t>119,639</w:t>
            </w:r>
          </w:p>
        </w:tc>
        <w:tc>
          <w:tcPr>
            <w:tcW w:w="50" w:type="pct"/>
            <w:shd w:val="clear" w:color="auto" w:fill="CCEEFF"/>
            <w:noWrap/>
            <w:tcMar>
              <w:top w:w="0" w:type="dxa"/>
              <w:left w:w="0" w:type="dxa"/>
              <w:bottom w:w="15" w:type="dxa"/>
              <w:right w:w="0" w:type="dxa"/>
            </w:tcMar>
            <w:vAlign w:val="center"/>
            <w:hideMark/>
          </w:tcPr>
          <w:p w14:paraId="70E10FA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226CC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4B3285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81E7D19" w14:textId="77777777" w:rsidR="00000000" w:rsidRDefault="00EB4933">
            <w:pPr>
              <w:jc w:val="right"/>
              <w:rPr>
                <w:rFonts w:eastAsia="Times New Roman"/>
                <w:sz w:val="20"/>
                <w:szCs w:val="20"/>
              </w:rPr>
            </w:pPr>
            <w:r>
              <w:rPr>
                <w:rFonts w:eastAsia="Times New Roman"/>
                <w:sz w:val="20"/>
                <w:szCs w:val="20"/>
              </w:rPr>
              <w:t>141,857</w:t>
            </w:r>
          </w:p>
        </w:tc>
        <w:tc>
          <w:tcPr>
            <w:tcW w:w="50" w:type="pct"/>
            <w:shd w:val="clear" w:color="auto" w:fill="CCEEFF"/>
            <w:noWrap/>
            <w:tcMar>
              <w:top w:w="0" w:type="dxa"/>
              <w:left w:w="0" w:type="dxa"/>
              <w:bottom w:w="15" w:type="dxa"/>
              <w:right w:w="0" w:type="dxa"/>
            </w:tcMar>
            <w:vAlign w:val="center"/>
            <w:hideMark/>
          </w:tcPr>
          <w:p w14:paraId="04B2017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BEF4D2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670CFD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0E1C3FF" w14:textId="77777777" w:rsidR="00000000" w:rsidRDefault="00EB4933">
            <w:pPr>
              <w:jc w:val="right"/>
              <w:rPr>
                <w:rFonts w:eastAsia="Times New Roman"/>
                <w:sz w:val="20"/>
                <w:szCs w:val="20"/>
              </w:rPr>
            </w:pPr>
            <w:r>
              <w:rPr>
                <w:rFonts w:eastAsia="Times New Roman"/>
                <w:sz w:val="20"/>
                <w:szCs w:val="20"/>
              </w:rPr>
              <w:t>118,396</w:t>
            </w:r>
          </w:p>
        </w:tc>
        <w:tc>
          <w:tcPr>
            <w:tcW w:w="50" w:type="pct"/>
            <w:shd w:val="clear" w:color="auto" w:fill="CCEEFF"/>
            <w:noWrap/>
            <w:tcMar>
              <w:top w:w="0" w:type="dxa"/>
              <w:left w:w="0" w:type="dxa"/>
              <w:bottom w:w="15" w:type="dxa"/>
              <w:right w:w="0" w:type="dxa"/>
            </w:tcMar>
            <w:vAlign w:val="center"/>
            <w:hideMark/>
          </w:tcPr>
          <w:p w14:paraId="4028C82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937B0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FE4775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AC41C4E" w14:textId="77777777" w:rsidR="00000000" w:rsidRDefault="00EB4933">
            <w:pPr>
              <w:jc w:val="right"/>
              <w:rPr>
                <w:rFonts w:eastAsia="Times New Roman"/>
                <w:sz w:val="20"/>
                <w:szCs w:val="20"/>
              </w:rPr>
            </w:pPr>
            <w:r>
              <w:rPr>
                <w:rFonts w:eastAsia="Times New Roman"/>
                <w:sz w:val="20"/>
                <w:szCs w:val="20"/>
              </w:rPr>
              <w:t>17,006</w:t>
            </w:r>
          </w:p>
        </w:tc>
        <w:tc>
          <w:tcPr>
            <w:tcW w:w="50" w:type="pct"/>
            <w:shd w:val="clear" w:color="auto" w:fill="CCEEFF"/>
            <w:noWrap/>
            <w:tcMar>
              <w:top w:w="0" w:type="dxa"/>
              <w:left w:w="0" w:type="dxa"/>
              <w:bottom w:w="15" w:type="dxa"/>
              <w:right w:w="0" w:type="dxa"/>
            </w:tcMar>
            <w:vAlign w:val="center"/>
            <w:hideMark/>
          </w:tcPr>
          <w:p w14:paraId="407E9701" w14:textId="77777777" w:rsidR="00000000" w:rsidRDefault="00EB4933">
            <w:pPr>
              <w:pStyle w:val="NormalWeb"/>
              <w:spacing w:before="0" w:beforeAutospacing="0" w:after="0" w:afterAutospacing="0"/>
              <w:rPr>
                <w:sz w:val="20"/>
                <w:szCs w:val="20"/>
              </w:rPr>
            </w:pPr>
            <w:r>
              <w:rPr>
                <w:sz w:val="20"/>
                <w:szCs w:val="20"/>
              </w:rPr>
              <w:t> </w:t>
            </w:r>
          </w:p>
        </w:tc>
      </w:tr>
      <w:tr w:rsidR="00000000" w14:paraId="7CC7E4A7" w14:textId="77777777">
        <w:trPr>
          <w:divId w:val="98525094"/>
          <w:trHeight w:val="225"/>
          <w:tblCellSpacing w:w="15" w:type="dxa"/>
        </w:trPr>
        <w:tc>
          <w:tcPr>
            <w:tcW w:w="0" w:type="auto"/>
            <w:shd w:val="clear" w:color="auto" w:fill="FFFFFF"/>
            <w:vAlign w:val="center"/>
            <w:hideMark/>
          </w:tcPr>
          <w:p w14:paraId="1FF7BCB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0E9E2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D52AF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9DCEFA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E3024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DA6BF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6D331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44E723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7FA46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D3051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7839E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452ED7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6D138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92C9F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5B74F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8A3900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D879DD" w14:textId="77777777" w:rsidR="00000000" w:rsidRDefault="00EB4933">
            <w:pPr>
              <w:pStyle w:val="NormalWeb"/>
              <w:spacing w:before="0" w:beforeAutospacing="0" w:after="0" w:afterAutospacing="0"/>
              <w:rPr>
                <w:sz w:val="20"/>
                <w:szCs w:val="20"/>
              </w:rPr>
            </w:pPr>
            <w:r>
              <w:rPr>
                <w:sz w:val="20"/>
                <w:szCs w:val="20"/>
              </w:rPr>
              <w:t> </w:t>
            </w:r>
          </w:p>
        </w:tc>
      </w:tr>
      <w:tr w:rsidR="00000000" w14:paraId="61C16703" w14:textId="77777777">
        <w:trPr>
          <w:divId w:val="98525094"/>
          <w:trHeight w:val="225"/>
          <w:tblCellSpacing w:w="15" w:type="dxa"/>
        </w:trPr>
        <w:tc>
          <w:tcPr>
            <w:tcW w:w="0" w:type="auto"/>
            <w:shd w:val="clear" w:color="auto" w:fill="CCEEFF"/>
            <w:hideMark/>
          </w:tcPr>
          <w:p w14:paraId="1B9BE4EA" w14:textId="77777777" w:rsidR="00000000" w:rsidRDefault="00EB4933">
            <w:pPr>
              <w:pStyle w:val="NormalWeb"/>
              <w:spacing w:before="0" w:beforeAutospacing="0" w:after="0" w:afterAutospacing="0"/>
              <w:rPr>
                <w:sz w:val="20"/>
                <w:szCs w:val="20"/>
              </w:rPr>
            </w:pPr>
            <w:r>
              <w:rPr>
                <w:sz w:val="20"/>
                <w:szCs w:val="20"/>
              </w:rPr>
              <w:t>Interest expenses on loans</w:t>
            </w:r>
          </w:p>
        </w:tc>
        <w:tc>
          <w:tcPr>
            <w:tcW w:w="50" w:type="pct"/>
            <w:shd w:val="clear" w:color="auto" w:fill="CCEEFF"/>
            <w:noWrap/>
            <w:vAlign w:val="center"/>
            <w:hideMark/>
          </w:tcPr>
          <w:p w14:paraId="46A99D6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09562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53C1F05" w14:textId="77777777" w:rsidR="00000000" w:rsidRDefault="00EB4933">
            <w:pPr>
              <w:jc w:val="right"/>
              <w:rPr>
                <w:rFonts w:eastAsia="Times New Roman"/>
                <w:sz w:val="20"/>
                <w:szCs w:val="20"/>
              </w:rPr>
            </w:pPr>
            <w:r>
              <w:rPr>
                <w:rFonts w:eastAsia="Times New Roman"/>
                <w:sz w:val="20"/>
                <w:szCs w:val="20"/>
              </w:rPr>
              <w:t>(33,791</w:t>
            </w:r>
          </w:p>
        </w:tc>
        <w:tc>
          <w:tcPr>
            <w:tcW w:w="50" w:type="pct"/>
            <w:shd w:val="clear" w:color="auto" w:fill="CCEEFF"/>
            <w:noWrap/>
            <w:vAlign w:val="bottom"/>
            <w:hideMark/>
          </w:tcPr>
          <w:p w14:paraId="0E7EC37C"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01E162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44D98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55986C1" w14:textId="77777777" w:rsidR="00000000" w:rsidRDefault="00EB4933">
            <w:pPr>
              <w:jc w:val="right"/>
              <w:rPr>
                <w:rFonts w:eastAsia="Times New Roman"/>
                <w:sz w:val="20"/>
                <w:szCs w:val="20"/>
              </w:rPr>
            </w:pPr>
            <w:r>
              <w:rPr>
                <w:rFonts w:eastAsia="Times New Roman"/>
                <w:sz w:val="20"/>
                <w:szCs w:val="20"/>
              </w:rPr>
              <w:t>(26,451</w:t>
            </w:r>
          </w:p>
        </w:tc>
        <w:tc>
          <w:tcPr>
            <w:tcW w:w="50" w:type="pct"/>
            <w:shd w:val="clear" w:color="auto" w:fill="CCEEFF"/>
            <w:noWrap/>
            <w:vAlign w:val="bottom"/>
            <w:hideMark/>
          </w:tcPr>
          <w:p w14:paraId="76935FDE"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ED1CBF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8AE0E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7E2E8C3" w14:textId="77777777" w:rsidR="00000000" w:rsidRDefault="00EB4933">
            <w:pPr>
              <w:jc w:val="right"/>
              <w:rPr>
                <w:rFonts w:eastAsia="Times New Roman"/>
                <w:sz w:val="20"/>
                <w:szCs w:val="20"/>
              </w:rPr>
            </w:pPr>
            <w:r>
              <w:rPr>
                <w:rFonts w:eastAsia="Times New Roman"/>
                <w:sz w:val="20"/>
                <w:szCs w:val="20"/>
              </w:rPr>
              <w:t>(19,846</w:t>
            </w:r>
          </w:p>
        </w:tc>
        <w:tc>
          <w:tcPr>
            <w:tcW w:w="50" w:type="pct"/>
            <w:shd w:val="clear" w:color="auto" w:fill="CCEEFF"/>
            <w:noWrap/>
            <w:vAlign w:val="bottom"/>
            <w:hideMark/>
          </w:tcPr>
          <w:p w14:paraId="070881CC"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C68135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BC206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F347AEB" w14:textId="77777777" w:rsidR="00000000" w:rsidRDefault="00EB4933">
            <w:pPr>
              <w:jc w:val="right"/>
              <w:rPr>
                <w:rFonts w:eastAsia="Times New Roman"/>
                <w:sz w:val="20"/>
                <w:szCs w:val="20"/>
              </w:rPr>
            </w:pPr>
            <w:r>
              <w:rPr>
                <w:rFonts w:eastAsia="Times New Roman"/>
                <w:sz w:val="20"/>
                <w:szCs w:val="20"/>
              </w:rPr>
              <w:t>(2,851</w:t>
            </w:r>
          </w:p>
        </w:tc>
        <w:tc>
          <w:tcPr>
            <w:tcW w:w="50" w:type="pct"/>
            <w:shd w:val="clear" w:color="auto" w:fill="CCEEFF"/>
            <w:noWrap/>
            <w:vAlign w:val="bottom"/>
            <w:hideMark/>
          </w:tcPr>
          <w:p w14:paraId="3B5C5F51" w14:textId="77777777" w:rsidR="00000000" w:rsidRDefault="00EB4933">
            <w:pPr>
              <w:rPr>
                <w:rFonts w:eastAsia="Times New Roman"/>
                <w:sz w:val="20"/>
                <w:szCs w:val="20"/>
              </w:rPr>
            </w:pPr>
            <w:r>
              <w:rPr>
                <w:rFonts w:eastAsia="Times New Roman"/>
                <w:sz w:val="20"/>
                <w:szCs w:val="20"/>
              </w:rPr>
              <w:t>)</w:t>
            </w:r>
          </w:p>
        </w:tc>
      </w:tr>
      <w:tr w:rsidR="00000000" w14:paraId="33E50D69" w14:textId="77777777">
        <w:trPr>
          <w:divId w:val="98525094"/>
          <w:trHeight w:val="225"/>
          <w:tblCellSpacing w:w="15" w:type="dxa"/>
        </w:trPr>
        <w:tc>
          <w:tcPr>
            <w:tcW w:w="0" w:type="auto"/>
            <w:shd w:val="clear" w:color="auto" w:fill="FFFFFF"/>
            <w:hideMark/>
          </w:tcPr>
          <w:p w14:paraId="5399CDF5" w14:textId="77777777" w:rsidR="00000000" w:rsidRDefault="00EB4933">
            <w:pPr>
              <w:pStyle w:val="NormalWeb"/>
              <w:spacing w:before="0" w:beforeAutospacing="0" w:after="0" w:afterAutospacing="0"/>
              <w:rPr>
                <w:sz w:val="20"/>
                <w:szCs w:val="20"/>
              </w:rPr>
            </w:pPr>
            <w:r>
              <w:rPr>
                <w:sz w:val="20"/>
                <w:szCs w:val="20"/>
              </w:rPr>
              <w:t>Business related taxes and surcharges</w:t>
            </w:r>
          </w:p>
        </w:tc>
        <w:tc>
          <w:tcPr>
            <w:tcW w:w="50" w:type="pct"/>
            <w:shd w:val="clear" w:color="auto" w:fill="FFFFFF"/>
            <w:noWrap/>
            <w:vAlign w:val="center"/>
            <w:hideMark/>
          </w:tcPr>
          <w:p w14:paraId="4E7F111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BC0489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AADDEDD" w14:textId="77777777" w:rsidR="00000000" w:rsidRDefault="00EB4933">
            <w:pPr>
              <w:jc w:val="right"/>
              <w:rPr>
                <w:rFonts w:eastAsia="Times New Roman"/>
                <w:sz w:val="20"/>
                <w:szCs w:val="20"/>
              </w:rPr>
            </w:pPr>
            <w:r>
              <w:rPr>
                <w:rFonts w:eastAsia="Times New Roman"/>
                <w:sz w:val="20"/>
                <w:szCs w:val="20"/>
              </w:rPr>
              <w:t>(674</w:t>
            </w:r>
          </w:p>
        </w:tc>
        <w:tc>
          <w:tcPr>
            <w:tcW w:w="50" w:type="pct"/>
            <w:shd w:val="clear" w:color="auto" w:fill="FFFFFF"/>
            <w:noWrap/>
            <w:tcMar>
              <w:top w:w="0" w:type="dxa"/>
              <w:left w:w="0" w:type="dxa"/>
              <w:bottom w:w="15" w:type="dxa"/>
              <w:right w:w="0" w:type="dxa"/>
            </w:tcMar>
            <w:vAlign w:val="bottom"/>
            <w:hideMark/>
          </w:tcPr>
          <w:p w14:paraId="1B4B90A4"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CF89A9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84EDFA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4E7EDB9" w14:textId="77777777" w:rsidR="00000000" w:rsidRDefault="00EB4933">
            <w:pPr>
              <w:jc w:val="right"/>
              <w:rPr>
                <w:rFonts w:eastAsia="Times New Roman"/>
                <w:sz w:val="20"/>
                <w:szCs w:val="20"/>
              </w:rPr>
            </w:pPr>
            <w:r>
              <w:rPr>
                <w:rFonts w:eastAsia="Times New Roman"/>
                <w:sz w:val="20"/>
                <w:szCs w:val="20"/>
              </w:rPr>
              <w:t>(590</w:t>
            </w:r>
          </w:p>
        </w:tc>
        <w:tc>
          <w:tcPr>
            <w:tcW w:w="50" w:type="pct"/>
            <w:shd w:val="clear" w:color="auto" w:fill="FFFFFF"/>
            <w:noWrap/>
            <w:tcMar>
              <w:top w:w="0" w:type="dxa"/>
              <w:left w:w="0" w:type="dxa"/>
              <w:bottom w:w="15" w:type="dxa"/>
              <w:right w:w="0" w:type="dxa"/>
            </w:tcMar>
            <w:vAlign w:val="bottom"/>
            <w:hideMark/>
          </w:tcPr>
          <w:p w14:paraId="0097D868"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C55CD8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2BB3D7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430E53A" w14:textId="77777777" w:rsidR="00000000" w:rsidRDefault="00EB4933">
            <w:pPr>
              <w:jc w:val="right"/>
              <w:rPr>
                <w:rFonts w:eastAsia="Times New Roman"/>
                <w:sz w:val="20"/>
                <w:szCs w:val="20"/>
              </w:rPr>
            </w:pPr>
            <w:r>
              <w:rPr>
                <w:rFonts w:eastAsia="Times New Roman"/>
                <w:sz w:val="20"/>
                <w:szCs w:val="20"/>
              </w:rPr>
              <w:t>(435</w:t>
            </w:r>
          </w:p>
        </w:tc>
        <w:tc>
          <w:tcPr>
            <w:tcW w:w="50" w:type="pct"/>
            <w:shd w:val="clear" w:color="auto" w:fill="FFFFFF"/>
            <w:noWrap/>
            <w:tcMar>
              <w:top w:w="0" w:type="dxa"/>
              <w:left w:w="0" w:type="dxa"/>
              <w:bottom w:w="15" w:type="dxa"/>
              <w:right w:w="0" w:type="dxa"/>
            </w:tcMar>
            <w:vAlign w:val="bottom"/>
            <w:hideMark/>
          </w:tcPr>
          <w:p w14:paraId="22D6BF5C"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377E55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9A722C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BEE587B" w14:textId="77777777" w:rsidR="00000000" w:rsidRDefault="00EB4933">
            <w:pPr>
              <w:jc w:val="right"/>
              <w:rPr>
                <w:rFonts w:eastAsia="Times New Roman"/>
                <w:sz w:val="20"/>
                <w:szCs w:val="20"/>
              </w:rPr>
            </w:pPr>
            <w:r>
              <w:rPr>
                <w:rFonts w:eastAsia="Times New Roman"/>
                <w:sz w:val="20"/>
                <w:szCs w:val="20"/>
              </w:rPr>
              <w:t>(62</w:t>
            </w:r>
          </w:p>
        </w:tc>
        <w:tc>
          <w:tcPr>
            <w:tcW w:w="50" w:type="pct"/>
            <w:shd w:val="clear" w:color="auto" w:fill="FFFFFF"/>
            <w:noWrap/>
            <w:tcMar>
              <w:top w:w="0" w:type="dxa"/>
              <w:left w:w="0" w:type="dxa"/>
              <w:bottom w:w="15" w:type="dxa"/>
              <w:right w:w="0" w:type="dxa"/>
            </w:tcMar>
            <w:vAlign w:val="bottom"/>
            <w:hideMark/>
          </w:tcPr>
          <w:p w14:paraId="71C529E4" w14:textId="77777777" w:rsidR="00000000" w:rsidRDefault="00EB4933">
            <w:pPr>
              <w:rPr>
                <w:rFonts w:eastAsia="Times New Roman"/>
                <w:sz w:val="20"/>
                <w:szCs w:val="20"/>
              </w:rPr>
            </w:pPr>
            <w:r>
              <w:rPr>
                <w:rFonts w:eastAsia="Times New Roman"/>
                <w:sz w:val="20"/>
                <w:szCs w:val="20"/>
              </w:rPr>
              <w:t>)</w:t>
            </w:r>
          </w:p>
        </w:tc>
      </w:tr>
      <w:tr w:rsidR="00000000" w14:paraId="683AD0F8" w14:textId="77777777">
        <w:trPr>
          <w:divId w:val="98525094"/>
          <w:trHeight w:val="225"/>
          <w:tblCellSpacing w:w="15" w:type="dxa"/>
        </w:trPr>
        <w:tc>
          <w:tcPr>
            <w:tcW w:w="0" w:type="auto"/>
            <w:shd w:val="clear" w:color="auto" w:fill="CCEEFF"/>
            <w:hideMark/>
          </w:tcPr>
          <w:p w14:paraId="7540391A" w14:textId="77777777" w:rsidR="00000000" w:rsidRDefault="00EB4933">
            <w:pPr>
              <w:pStyle w:val="NormalWeb"/>
              <w:spacing w:before="0" w:beforeAutospacing="0" w:after="0" w:afterAutospacing="0"/>
              <w:rPr>
                <w:sz w:val="20"/>
                <w:szCs w:val="20"/>
              </w:rPr>
            </w:pPr>
            <w:r>
              <w:rPr>
                <w:rStyle w:val="Strong"/>
                <w:sz w:val="20"/>
                <w:szCs w:val="20"/>
              </w:rPr>
              <w:t>Total interest expense</w:t>
            </w:r>
          </w:p>
        </w:tc>
        <w:tc>
          <w:tcPr>
            <w:tcW w:w="50" w:type="pct"/>
            <w:shd w:val="clear" w:color="auto" w:fill="CCEEFF"/>
            <w:noWrap/>
            <w:vAlign w:val="center"/>
            <w:hideMark/>
          </w:tcPr>
          <w:p w14:paraId="3BDB90F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155D4C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4D1EB0F" w14:textId="77777777" w:rsidR="00000000" w:rsidRDefault="00EB4933">
            <w:pPr>
              <w:jc w:val="right"/>
              <w:rPr>
                <w:rFonts w:eastAsia="Times New Roman"/>
                <w:sz w:val="20"/>
                <w:szCs w:val="20"/>
              </w:rPr>
            </w:pPr>
            <w:r>
              <w:rPr>
                <w:rFonts w:eastAsia="Times New Roman"/>
                <w:sz w:val="20"/>
                <w:szCs w:val="20"/>
              </w:rPr>
              <w:t>(34,465</w:t>
            </w:r>
          </w:p>
        </w:tc>
        <w:tc>
          <w:tcPr>
            <w:tcW w:w="50" w:type="pct"/>
            <w:shd w:val="clear" w:color="auto" w:fill="CCEEFF"/>
            <w:noWrap/>
            <w:tcMar>
              <w:top w:w="0" w:type="dxa"/>
              <w:left w:w="0" w:type="dxa"/>
              <w:bottom w:w="15" w:type="dxa"/>
              <w:right w:w="0" w:type="dxa"/>
            </w:tcMar>
            <w:vAlign w:val="bottom"/>
            <w:hideMark/>
          </w:tcPr>
          <w:p w14:paraId="04335A9F"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12833C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E56D44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41A54C1" w14:textId="77777777" w:rsidR="00000000" w:rsidRDefault="00EB4933">
            <w:pPr>
              <w:jc w:val="right"/>
              <w:rPr>
                <w:rFonts w:eastAsia="Times New Roman"/>
                <w:sz w:val="20"/>
                <w:szCs w:val="20"/>
              </w:rPr>
            </w:pPr>
            <w:r>
              <w:rPr>
                <w:rFonts w:eastAsia="Times New Roman"/>
                <w:sz w:val="20"/>
                <w:szCs w:val="20"/>
              </w:rPr>
              <w:t>(27,041</w:t>
            </w:r>
          </w:p>
        </w:tc>
        <w:tc>
          <w:tcPr>
            <w:tcW w:w="50" w:type="pct"/>
            <w:shd w:val="clear" w:color="auto" w:fill="CCEEFF"/>
            <w:noWrap/>
            <w:tcMar>
              <w:top w:w="0" w:type="dxa"/>
              <w:left w:w="0" w:type="dxa"/>
              <w:bottom w:w="15" w:type="dxa"/>
              <w:right w:w="0" w:type="dxa"/>
            </w:tcMar>
            <w:vAlign w:val="bottom"/>
            <w:hideMark/>
          </w:tcPr>
          <w:p w14:paraId="213222FE"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B752A9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8EEAA4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70863ED" w14:textId="77777777" w:rsidR="00000000" w:rsidRDefault="00EB4933">
            <w:pPr>
              <w:jc w:val="right"/>
              <w:rPr>
                <w:rFonts w:eastAsia="Times New Roman"/>
                <w:sz w:val="20"/>
                <w:szCs w:val="20"/>
              </w:rPr>
            </w:pPr>
            <w:r>
              <w:rPr>
                <w:rFonts w:eastAsia="Times New Roman"/>
                <w:sz w:val="20"/>
                <w:szCs w:val="20"/>
              </w:rPr>
              <w:t>(20,281</w:t>
            </w:r>
          </w:p>
        </w:tc>
        <w:tc>
          <w:tcPr>
            <w:tcW w:w="50" w:type="pct"/>
            <w:shd w:val="clear" w:color="auto" w:fill="CCEEFF"/>
            <w:noWrap/>
            <w:tcMar>
              <w:top w:w="0" w:type="dxa"/>
              <w:left w:w="0" w:type="dxa"/>
              <w:bottom w:w="15" w:type="dxa"/>
              <w:right w:w="0" w:type="dxa"/>
            </w:tcMar>
            <w:vAlign w:val="bottom"/>
            <w:hideMark/>
          </w:tcPr>
          <w:p w14:paraId="17EE6307"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F59B49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F7310A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C51B44D" w14:textId="77777777" w:rsidR="00000000" w:rsidRDefault="00EB4933">
            <w:pPr>
              <w:jc w:val="right"/>
              <w:rPr>
                <w:rFonts w:eastAsia="Times New Roman"/>
                <w:sz w:val="20"/>
                <w:szCs w:val="20"/>
              </w:rPr>
            </w:pPr>
            <w:r>
              <w:rPr>
                <w:rFonts w:eastAsia="Times New Roman"/>
                <w:sz w:val="20"/>
                <w:szCs w:val="20"/>
              </w:rPr>
              <w:t>(2,913</w:t>
            </w:r>
          </w:p>
        </w:tc>
        <w:tc>
          <w:tcPr>
            <w:tcW w:w="50" w:type="pct"/>
            <w:shd w:val="clear" w:color="auto" w:fill="CCEEFF"/>
            <w:noWrap/>
            <w:tcMar>
              <w:top w:w="0" w:type="dxa"/>
              <w:left w:w="0" w:type="dxa"/>
              <w:bottom w:w="15" w:type="dxa"/>
              <w:right w:w="0" w:type="dxa"/>
            </w:tcMar>
            <w:vAlign w:val="bottom"/>
            <w:hideMark/>
          </w:tcPr>
          <w:p w14:paraId="057EB037" w14:textId="77777777" w:rsidR="00000000" w:rsidRDefault="00EB4933">
            <w:pPr>
              <w:rPr>
                <w:rFonts w:eastAsia="Times New Roman"/>
                <w:sz w:val="20"/>
                <w:szCs w:val="20"/>
              </w:rPr>
            </w:pPr>
            <w:r>
              <w:rPr>
                <w:rFonts w:eastAsia="Times New Roman"/>
                <w:sz w:val="20"/>
                <w:szCs w:val="20"/>
              </w:rPr>
              <w:t>)</w:t>
            </w:r>
          </w:p>
        </w:tc>
      </w:tr>
      <w:tr w:rsidR="00000000" w14:paraId="6C05615E" w14:textId="77777777">
        <w:trPr>
          <w:divId w:val="98525094"/>
          <w:trHeight w:val="225"/>
          <w:tblCellSpacing w:w="15" w:type="dxa"/>
        </w:trPr>
        <w:tc>
          <w:tcPr>
            <w:tcW w:w="0" w:type="auto"/>
            <w:shd w:val="clear" w:color="auto" w:fill="FFFFFF"/>
            <w:vAlign w:val="center"/>
            <w:hideMark/>
          </w:tcPr>
          <w:p w14:paraId="336FB3A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4AF2C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511E4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8035D0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151AE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B5FAB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5F2BE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624CB7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9F2A3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23557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92E67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5A01F1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D5E0F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2355B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9D2BD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0A7E4C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012C17" w14:textId="77777777" w:rsidR="00000000" w:rsidRDefault="00EB4933">
            <w:pPr>
              <w:pStyle w:val="NormalWeb"/>
              <w:spacing w:before="0" w:beforeAutospacing="0" w:after="0" w:afterAutospacing="0"/>
              <w:rPr>
                <w:sz w:val="20"/>
                <w:szCs w:val="20"/>
              </w:rPr>
            </w:pPr>
            <w:r>
              <w:rPr>
                <w:sz w:val="20"/>
                <w:szCs w:val="20"/>
              </w:rPr>
              <w:t> </w:t>
            </w:r>
          </w:p>
        </w:tc>
      </w:tr>
      <w:tr w:rsidR="00000000" w14:paraId="44909EB1" w14:textId="77777777">
        <w:trPr>
          <w:divId w:val="98525094"/>
          <w:trHeight w:val="225"/>
          <w:tblCellSpacing w:w="15" w:type="dxa"/>
        </w:trPr>
        <w:tc>
          <w:tcPr>
            <w:tcW w:w="0" w:type="auto"/>
            <w:shd w:val="clear" w:color="auto" w:fill="CCEEFF"/>
            <w:hideMark/>
          </w:tcPr>
          <w:p w14:paraId="25754C76" w14:textId="77777777" w:rsidR="00000000" w:rsidRDefault="00EB4933">
            <w:pPr>
              <w:pStyle w:val="NormalWeb"/>
              <w:spacing w:before="0" w:beforeAutospacing="0" w:after="0" w:afterAutospacing="0"/>
              <w:rPr>
                <w:sz w:val="20"/>
                <w:szCs w:val="20"/>
              </w:rPr>
            </w:pPr>
            <w:r>
              <w:rPr>
                <w:rStyle w:val="Strong"/>
                <w:sz w:val="20"/>
                <w:szCs w:val="20"/>
              </w:rPr>
              <w:t>Net interest income</w:t>
            </w:r>
          </w:p>
        </w:tc>
        <w:tc>
          <w:tcPr>
            <w:tcW w:w="50" w:type="pct"/>
            <w:shd w:val="clear" w:color="auto" w:fill="CCEEFF"/>
            <w:noWrap/>
            <w:vAlign w:val="center"/>
            <w:hideMark/>
          </w:tcPr>
          <w:p w14:paraId="2003015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57427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49DC398" w14:textId="77777777" w:rsidR="00000000" w:rsidRDefault="00EB4933">
            <w:pPr>
              <w:jc w:val="right"/>
              <w:rPr>
                <w:rFonts w:eastAsia="Times New Roman"/>
                <w:sz w:val="20"/>
                <w:szCs w:val="20"/>
              </w:rPr>
            </w:pPr>
            <w:r>
              <w:rPr>
                <w:rFonts w:eastAsia="Times New Roman"/>
                <w:sz w:val="20"/>
                <w:szCs w:val="20"/>
              </w:rPr>
              <w:t>85,174</w:t>
            </w:r>
          </w:p>
        </w:tc>
        <w:tc>
          <w:tcPr>
            <w:tcW w:w="50" w:type="pct"/>
            <w:shd w:val="clear" w:color="auto" w:fill="CCEEFF"/>
            <w:noWrap/>
            <w:vAlign w:val="center"/>
            <w:hideMark/>
          </w:tcPr>
          <w:p w14:paraId="13657B6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3D034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B480B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9BB6505" w14:textId="77777777" w:rsidR="00000000" w:rsidRDefault="00EB4933">
            <w:pPr>
              <w:jc w:val="right"/>
              <w:rPr>
                <w:rFonts w:eastAsia="Times New Roman"/>
                <w:sz w:val="20"/>
                <w:szCs w:val="20"/>
              </w:rPr>
            </w:pPr>
            <w:r>
              <w:rPr>
                <w:rFonts w:eastAsia="Times New Roman"/>
                <w:sz w:val="20"/>
                <w:szCs w:val="20"/>
              </w:rPr>
              <w:t>114,816</w:t>
            </w:r>
          </w:p>
        </w:tc>
        <w:tc>
          <w:tcPr>
            <w:tcW w:w="50" w:type="pct"/>
            <w:shd w:val="clear" w:color="auto" w:fill="CCEEFF"/>
            <w:noWrap/>
            <w:vAlign w:val="center"/>
            <w:hideMark/>
          </w:tcPr>
          <w:p w14:paraId="651F378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A2E1A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B8B8A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1910D53" w14:textId="77777777" w:rsidR="00000000" w:rsidRDefault="00EB4933">
            <w:pPr>
              <w:jc w:val="right"/>
              <w:rPr>
                <w:rFonts w:eastAsia="Times New Roman"/>
                <w:sz w:val="20"/>
                <w:szCs w:val="20"/>
              </w:rPr>
            </w:pPr>
            <w:r>
              <w:rPr>
                <w:rFonts w:eastAsia="Times New Roman"/>
                <w:sz w:val="20"/>
                <w:szCs w:val="20"/>
              </w:rPr>
              <w:t>98,115</w:t>
            </w:r>
          </w:p>
        </w:tc>
        <w:tc>
          <w:tcPr>
            <w:tcW w:w="50" w:type="pct"/>
            <w:shd w:val="clear" w:color="auto" w:fill="CCEEFF"/>
            <w:noWrap/>
            <w:vAlign w:val="center"/>
            <w:hideMark/>
          </w:tcPr>
          <w:p w14:paraId="14B9129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0A810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05758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57BE4BC" w14:textId="77777777" w:rsidR="00000000" w:rsidRDefault="00EB4933">
            <w:pPr>
              <w:jc w:val="right"/>
              <w:rPr>
                <w:rFonts w:eastAsia="Times New Roman"/>
                <w:sz w:val="20"/>
                <w:szCs w:val="20"/>
              </w:rPr>
            </w:pPr>
            <w:r>
              <w:rPr>
                <w:rFonts w:eastAsia="Times New Roman"/>
                <w:sz w:val="20"/>
                <w:szCs w:val="20"/>
              </w:rPr>
              <w:t>14,093</w:t>
            </w:r>
          </w:p>
        </w:tc>
        <w:tc>
          <w:tcPr>
            <w:tcW w:w="50" w:type="pct"/>
            <w:shd w:val="clear" w:color="auto" w:fill="CCEEFF"/>
            <w:noWrap/>
            <w:vAlign w:val="center"/>
            <w:hideMark/>
          </w:tcPr>
          <w:p w14:paraId="0D02EED2" w14:textId="77777777" w:rsidR="00000000" w:rsidRDefault="00EB4933">
            <w:pPr>
              <w:pStyle w:val="NormalWeb"/>
              <w:spacing w:before="0" w:beforeAutospacing="0" w:after="0" w:afterAutospacing="0"/>
              <w:rPr>
                <w:sz w:val="20"/>
                <w:szCs w:val="20"/>
              </w:rPr>
            </w:pPr>
            <w:r>
              <w:rPr>
                <w:sz w:val="20"/>
                <w:szCs w:val="20"/>
              </w:rPr>
              <w:t> </w:t>
            </w:r>
          </w:p>
        </w:tc>
      </w:tr>
      <w:tr w:rsidR="00000000" w14:paraId="23CFCB43" w14:textId="77777777">
        <w:trPr>
          <w:divId w:val="98525094"/>
          <w:trHeight w:val="225"/>
          <w:tblCellSpacing w:w="15" w:type="dxa"/>
        </w:trPr>
        <w:tc>
          <w:tcPr>
            <w:tcW w:w="0" w:type="auto"/>
            <w:shd w:val="clear" w:color="auto" w:fill="FFFFFF"/>
            <w:hideMark/>
          </w:tcPr>
          <w:p w14:paraId="7B24D32D" w14:textId="77777777" w:rsidR="00000000" w:rsidRDefault="00EB4933">
            <w:pPr>
              <w:pStyle w:val="NormalWeb"/>
              <w:spacing w:before="0" w:beforeAutospacing="0" w:after="0" w:afterAutospacing="0"/>
              <w:rPr>
                <w:sz w:val="20"/>
                <w:szCs w:val="20"/>
              </w:rPr>
            </w:pPr>
            <w:r>
              <w:rPr>
                <w:sz w:val="20"/>
                <w:szCs w:val="20"/>
              </w:rPr>
              <w:t>Credit impairment losses</w:t>
            </w:r>
          </w:p>
        </w:tc>
        <w:tc>
          <w:tcPr>
            <w:tcW w:w="50" w:type="pct"/>
            <w:shd w:val="clear" w:color="auto" w:fill="FFFFFF"/>
            <w:noWrap/>
            <w:vAlign w:val="center"/>
            <w:hideMark/>
          </w:tcPr>
          <w:p w14:paraId="4EC64E3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8B4AC1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63BBD96" w14:textId="77777777" w:rsidR="00000000" w:rsidRDefault="00EB4933">
            <w:pPr>
              <w:jc w:val="right"/>
              <w:rPr>
                <w:rFonts w:eastAsia="Times New Roman"/>
                <w:sz w:val="20"/>
                <w:szCs w:val="20"/>
              </w:rPr>
            </w:pPr>
            <w:r>
              <w:rPr>
                <w:rFonts w:eastAsia="Times New Roman"/>
                <w:sz w:val="20"/>
                <w:szCs w:val="20"/>
              </w:rPr>
              <w:t>(3,580</w:t>
            </w:r>
          </w:p>
        </w:tc>
        <w:tc>
          <w:tcPr>
            <w:tcW w:w="50" w:type="pct"/>
            <w:shd w:val="clear" w:color="auto" w:fill="FFFFFF"/>
            <w:noWrap/>
            <w:tcMar>
              <w:top w:w="0" w:type="dxa"/>
              <w:left w:w="0" w:type="dxa"/>
              <w:bottom w:w="15" w:type="dxa"/>
              <w:right w:w="0" w:type="dxa"/>
            </w:tcMar>
            <w:vAlign w:val="bottom"/>
            <w:hideMark/>
          </w:tcPr>
          <w:p w14:paraId="2CE4F04C"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5E34E0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C363CA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7C112FB" w14:textId="77777777" w:rsidR="00000000" w:rsidRDefault="00EB4933">
            <w:pPr>
              <w:jc w:val="right"/>
              <w:rPr>
                <w:rFonts w:eastAsia="Times New Roman"/>
                <w:sz w:val="20"/>
                <w:szCs w:val="20"/>
              </w:rPr>
            </w:pPr>
            <w:r>
              <w:rPr>
                <w:rFonts w:eastAsia="Times New Roman"/>
                <w:sz w:val="20"/>
                <w:szCs w:val="20"/>
              </w:rPr>
              <w:t>(66,904</w:t>
            </w:r>
          </w:p>
        </w:tc>
        <w:tc>
          <w:tcPr>
            <w:tcW w:w="50" w:type="pct"/>
            <w:shd w:val="clear" w:color="auto" w:fill="FFFFFF"/>
            <w:noWrap/>
            <w:tcMar>
              <w:top w:w="0" w:type="dxa"/>
              <w:left w:w="0" w:type="dxa"/>
              <w:bottom w:w="15" w:type="dxa"/>
              <w:right w:w="0" w:type="dxa"/>
            </w:tcMar>
            <w:vAlign w:val="bottom"/>
            <w:hideMark/>
          </w:tcPr>
          <w:p w14:paraId="3501F1E3"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6A96EF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D133AA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5BEA7C1" w14:textId="77777777" w:rsidR="00000000" w:rsidRDefault="00EB4933">
            <w:pPr>
              <w:jc w:val="right"/>
              <w:rPr>
                <w:rFonts w:eastAsia="Times New Roman"/>
                <w:sz w:val="20"/>
                <w:szCs w:val="20"/>
              </w:rPr>
            </w:pPr>
            <w:r>
              <w:rPr>
                <w:rFonts w:eastAsia="Times New Roman"/>
                <w:sz w:val="20"/>
                <w:szCs w:val="20"/>
              </w:rPr>
              <w:t>(24,694</w:t>
            </w:r>
          </w:p>
        </w:tc>
        <w:tc>
          <w:tcPr>
            <w:tcW w:w="50" w:type="pct"/>
            <w:shd w:val="clear" w:color="auto" w:fill="FFFFFF"/>
            <w:noWrap/>
            <w:tcMar>
              <w:top w:w="0" w:type="dxa"/>
              <w:left w:w="0" w:type="dxa"/>
              <w:bottom w:w="15" w:type="dxa"/>
              <w:right w:w="0" w:type="dxa"/>
            </w:tcMar>
            <w:vAlign w:val="bottom"/>
            <w:hideMark/>
          </w:tcPr>
          <w:p w14:paraId="2E369E10"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05A848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B9B428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E531452" w14:textId="77777777" w:rsidR="00000000" w:rsidRDefault="00EB4933">
            <w:pPr>
              <w:jc w:val="right"/>
              <w:rPr>
                <w:rFonts w:eastAsia="Times New Roman"/>
                <w:sz w:val="20"/>
                <w:szCs w:val="20"/>
              </w:rPr>
            </w:pPr>
            <w:r>
              <w:rPr>
                <w:rFonts w:eastAsia="Times New Roman"/>
                <w:sz w:val="20"/>
                <w:szCs w:val="20"/>
              </w:rPr>
              <w:t>(3,547</w:t>
            </w:r>
          </w:p>
        </w:tc>
        <w:tc>
          <w:tcPr>
            <w:tcW w:w="50" w:type="pct"/>
            <w:shd w:val="clear" w:color="auto" w:fill="FFFFFF"/>
            <w:noWrap/>
            <w:tcMar>
              <w:top w:w="0" w:type="dxa"/>
              <w:left w:w="0" w:type="dxa"/>
              <w:bottom w:w="15" w:type="dxa"/>
              <w:right w:w="0" w:type="dxa"/>
            </w:tcMar>
            <w:vAlign w:val="bottom"/>
            <w:hideMark/>
          </w:tcPr>
          <w:p w14:paraId="543F84A0" w14:textId="77777777" w:rsidR="00000000" w:rsidRDefault="00EB4933">
            <w:pPr>
              <w:rPr>
                <w:rFonts w:eastAsia="Times New Roman"/>
                <w:sz w:val="20"/>
                <w:szCs w:val="20"/>
              </w:rPr>
            </w:pPr>
            <w:r>
              <w:rPr>
                <w:rFonts w:eastAsia="Times New Roman"/>
                <w:sz w:val="20"/>
                <w:szCs w:val="20"/>
              </w:rPr>
              <w:t>)</w:t>
            </w:r>
          </w:p>
        </w:tc>
      </w:tr>
      <w:tr w:rsidR="00000000" w14:paraId="1E465AA5" w14:textId="77777777">
        <w:trPr>
          <w:divId w:val="98525094"/>
          <w:trHeight w:val="225"/>
          <w:tblCellSpacing w:w="15" w:type="dxa"/>
        </w:trPr>
        <w:tc>
          <w:tcPr>
            <w:tcW w:w="0" w:type="auto"/>
            <w:shd w:val="clear" w:color="auto" w:fill="CCEEFF"/>
            <w:hideMark/>
          </w:tcPr>
          <w:p w14:paraId="75B59AB6" w14:textId="77777777" w:rsidR="00000000" w:rsidRDefault="00EB4933">
            <w:pPr>
              <w:pStyle w:val="NormalWeb"/>
              <w:spacing w:before="0" w:beforeAutospacing="0" w:after="0" w:afterAutospacing="0"/>
              <w:rPr>
                <w:sz w:val="20"/>
                <w:szCs w:val="20"/>
              </w:rPr>
            </w:pPr>
            <w:r>
              <w:rPr>
                <w:rStyle w:val="Strong"/>
                <w:sz w:val="20"/>
                <w:szCs w:val="20"/>
              </w:rPr>
              <w:t>Net interest income after provision for loan losses</w:t>
            </w:r>
          </w:p>
        </w:tc>
        <w:tc>
          <w:tcPr>
            <w:tcW w:w="50" w:type="pct"/>
            <w:shd w:val="clear" w:color="auto" w:fill="CCEEFF"/>
            <w:noWrap/>
            <w:vAlign w:val="center"/>
            <w:hideMark/>
          </w:tcPr>
          <w:p w14:paraId="52FD1BF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327E46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C72D475" w14:textId="77777777" w:rsidR="00000000" w:rsidRDefault="00EB4933">
            <w:pPr>
              <w:jc w:val="right"/>
              <w:rPr>
                <w:rFonts w:eastAsia="Times New Roman"/>
                <w:sz w:val="20"/>
                <w:szCs w:val="20"/>
              </w:rPr>
            </w:pPr>
            <w:r>
              <w:rPr>
                <w:rFonts w:eastAsia="Times New Roman"/>
                <w:sz w:val="20"/>
                <w:szCs w:val="20"/>
              </w:rPr>
              <w:t>81,594</w:t>
            </w:r>
          </w:p>
        </w:tc>
        <w:tc>
          <w:tcPr>
            <w:tcW w:w="50" w:type="pct"/>
            <w:shd w:val="clear" w:color="auto" w:fill="CCEEFF"/>
            <w:noWrap/>
            <w:tcMar>
              <w:top w:w="0" w:type="dxa"/>
              <w:left w:w="0" w:type="dxa"/>
              <w:bottom w:w="15" w:type="dxa"/>
              <w:right w:w="0" w:type="dxa"/>
            </w:tcMar>
            <w:vAlign w:val="center"/>
            <w:hideMark/>
          </w:tcPr>
          <w:p w14:paraId="1C4D627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C6965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0835DA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AACB0C7" w14:textId="77777777" w:rsidR="00000000" w:rsidRDefault="00EB4933">
            <w:pPr>
              <w:jc w:val="right"/>
              <w:rPr>
                <w:rFonts w:eastAsia="Times New Roman"/>
                <w:sz w:val="20"/>
                <w:szCs w:val="20"/>
              </w:rPr>
            </w:pPr>
            <w:r>
              <w:rPr>
                <w:rFonts w:eastAsia="Times New Roman"/>
                <w:sz w:val="20"/>
                <w:szCs w:val="20"/>
              </w:rPr>
              <w:t>47,912</w:t>
            </w:r>
          </w:p>
        </w:tc>
        <w:tc>
          <w:tcPr>
            <w:tcW w:w="50" w:type="pct"/>
            <w:shd w:val="clear" w:color="auto" w:fill="CCEEFF"/>
            <w:noWrap/>
            <w:tcMar>
              <w:top w:w="0" w:type="dxa"/>
              <w:left w:w="0" w:type="dxa"/>
              <w:bottom w:w="15" w:type="dxa"/>
              <w:right w:w="0" w:type="dxa"/>
            </w:tcMar>
            <w:vAlign w:val="center"/>
            <w:hideMark/>
          </w:tcPr>
          <w:p w14:paraId="3E06855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36BD5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E0A7EC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3AF9AA0" w14:textId="77777777" w:rsidR="00000000" w:rsidRDefault="00EB4933">
            <w:pPr>
              <w:jc w:val="right"/>
              <w:rPr>
                <w:rFonts w:eastAsia="Times New Roman"/>
                <w:sz w:val="20"/>
                <w:szCs w:val="20"/>
              </w:rPr>
            </w:pPr>
            <w:r>
              <w:rPr>
                <w:rFonts w:eastAsia="Times New Roman"/>
                <w:sz w:val="20"/>
                <w:szCs w:val="20"/>
              </w:rPr>
              <w:t>73,421</w:t>
            </w:r>
          </w:p>
        </w:tc>
        <w:tc>
          <w:tcPr>
            <w:tcW w:w="50" w:type="pct"/>
            <w:shd w:val="clear" w:color="auto" w:fill="CCEEFF"/>
            <w:noWrap/>
            <w:tcMar>
              <w:top w:w="0" w:type="dxa"/>
              <w:left w:w="0" w:type="dxa"/>
              <w:bottom w:w="15" w:type="dxa"/>
              <w:right w:w="0" w:type="dxa"/>
            </w:tcMar>
            <w:vAlign w:val="center"/>
            <w:hideMark/>
          </w:tcPr>
          <w:p w14:paraId="52CBB44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D004E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659B89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B0C21A5" w14:textId="77777777" w:rsidR="00000000" w:rsidRDefault="00EB4933">
            <w:pPr>
              <w:jc w:val="right"/>
              <w:rPr>
                <w:rFonts w:eastAsia="Times New Roman"/>
                <w:sz w:val="20"/>
                <w:szCs w:val="20"/>
              </w:rPr>
            </w:pPr>
            <w:r>
              <w:rPr>
                <w:rFonts w:eastAsia="Times New Roman"/>
                <w:sz w:val="20"/>
                <w:szCs w:val="20"/>
              </w:rPr>
              <w:t>10,546</w:t>
            </w:r>
          </w:p>
        </w:tc>
        <w:tc>
          <w:tcPr>
            <w:tcW w:w="50" w:type="pct"/>
            <w:shd w:val="clear" w:color="auto" w:fill="CCEEFF"/>
            <w:noWrap/>
            <w:tcMar>
              <w:top w:w="0" w:type="dxa"/>
              <w:left w:w="0" w:type="dxa"/>
              <w:bottom w:w="15" w:type="dxa"/>
              <w:right w:w="0" w:type="dxa"/>
            </w:tcMar>
            <w:vAlign w:val="center"/>
            <w:hideMark/>
          </w:tcPr>
          <w:p w14:paraId="7B73A322" w14:textId="77777777" w:rsidR="00000000" w:rsidRDefault="00EB4933">
            <w:pPr>
              <w:pStyle w:val="NormalWeb"/>
              <w:spacing w:before="0" w:beforeAutospacing="0" w:after="0" w:afterAutospacing="0"/>
              <w:rPr>
                <w:sz w:val="20"/>
                <w:szCs w:val="20"/>
              </w:rPr>
            </w:pPr>
            <w:r>
              <w:rPr>
                <w:sz w:val="20"/>
                <w:szCs w:val="20"/>
              </w:rPr>
              <w:t> </w:t>
            </w:r>
          </w:p>
        </w:tc>
      </w:tr>
      <w:tr w:rsidR="00000000" w14:paraId="4DCFCD8A" w14:textId="77777777">
        <w:trPr>
          <w:divId w:val="98525094"/>
          <w:trHeight w:val="225"/>
          <w:tblCellSpacing w:w="15" w:type="dxa"/>
        </w:trPr>
        <w:tc>
          <w:tcPr>
            <w:tcW w:w="0" w:type="auto"/>
            <w:shd w:val="clear" w:color="auto" w:fill="FFFFFF"/>
            <w:vAlign w:val="center"/>
            <w:hideMark/>
          </w:tcPr>
          <w:p w14:paraId="0C10393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6EF10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22814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2C6367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2368F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7F86E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6655D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9F7400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61246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BDD8D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35432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E5E9AE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69079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5572A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1BD34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985DCA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6EEEE7" w14:textId="77777777" w:rsidR="00000000" w:rsidRDefault="00EB4933">
            <w:pPr>
              <w:pStyle w:val="NormalWeb"/>
              <w:spacing w:before="0" w:beforeAutospacing="0" w:after="0" w:afterAutospacing="0"/>
              <w:rPr>
                <w:sz w:val="20"/>
                <w:szCs w:val="20"/>
              </w:rPr>
            </w:pPr>
            <w:r>
              <w:rPr>
                <w:sz w:val="20"/>
                <w:szCs w:val="20"/>
              </w:rPr>
              <w:t> </w:t>
            </w:r>
          </w:p>
        </w:tc>
      </w:tr>
      <w:tr w:rsidR="00000000" w14:paraId="72460464" w14:textId="77777777">
        <w:trPr>
          <w:divId w:val="98525094"/>
          <w:trHeight w:val="225"/>
          <w:tblCellSpacing w:w="15" w:type="dxa"/>
        </w:trPr>
        <w:tc>
          <w:tcPr>
            <w:tcW w:w="0" w:type="auto"/>
            <w:shd w:val="clear" w:color="auto" w:fill="CCEEFF"/>
            <w:hideMark/>
          </w:tcPr>
          <w:p w14:paraId="380CF4C2" w14:textId="77777777" w:rsidR="00000000" w:rsidRDefault="00EB4933">
            <w:pPr>
              <w:pStyle w:val="NormalWeb"/>
              <w:spacing w:before="0" w:beforeAutospacing="0" w:after="0" w:afterAutospacing="0"/>
              <w:rPr>
                <w:sz w:val="20"/>
                <w:szCs w:val="20"/>
              </w:rPr>
            </w:pPr>
            <w:r>
              <w:rPr>
                <w:sz w:val="20"/>
                <w:szCs w:val="20"/>
              </w:rPr>
              <w:t>Other interest and other income</w:t>
            </w:r>
          </w:p>
        </w:tc>
        <w:tc>
          <w:tcPr>
            <w:tcW w:w="50" w:type="pct"/>
            <w:shd w:val="clear" w:color="auto" w:fill="CCEEFF"/>
            <w:noWrap/>
            <w:vAlign w:val="center"/>
            <w:hideMark/>
          </w:tcPr>
          <w:p w14:paraId="6416973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B3B93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6D4B769" w14:textId="77777777" w:rsidR="00000000" w:rsidRDefault="00EB4933">
            <w:pPr>
              <w:jc w:val="right"/>
              <w:rPr>
                <w:rFonts w:eastAsia="Times New Roman"/>
                <w:sz w:val="20"/>
                <w:szCs w:val="20"/>
              </w:rPr>
            </w:pPr>
            <w:r>
              <w:rPr>
                <w:rFonts w:eastAsia="Times New Roman"/>
                <w:sz w:val="20"/>
                <w:szCs w:val="20"/>
              </w:rPr>
              <w:t>815</w:t>
            </w:r>
          </w:p>
        </w:tc>
        <w:tc>
          <w:tcPr>
            <w:tcW w:w="50" w:type="pct"/>
            <w:shd w:val="clear" w:color="auto" w:fill="CCEEFF"/>
            <w:noWrap/>
            <w:vAlign w:val="center"/>
            <w:hideMark/>
          </w:tcPr>
          <w:p w14:paraId="598D27D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3E1DC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09176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8D2FE5F" w14:textId="77777777" w:rsidR="00000000" w:rsidRDefault="00EB4933">
            <w:pPr>
              <w:jc w:val="right"/>
              <w:rPr>
                <w:rFonts w:eastAsia="Times New Roman"/>
                <w:sz w:val="20"/>
                <w:szCs w:val="20"/>
              </w:rPr>
            </w:pPr>
            <w:r>
              <w:rPr>
                <w:rFonts w:eastAsia="Times New Roman"/>
                <w:sz w:val="20"/>
                <w:szCs w:val="20"/>
              </w:rPr>
              <w:t>438</w:t>
            </w:r>
          </w:p>
        </w:tc>
        <w:tc>
          <w:tcPr>
            <w:tcW w:w="50" w:type="pct"/>
            <w:shd w:val="clear" w:color="auto" w:fill="CCEEFF"/>
            <w:noWrap/>
            <w:vAlign w:val="center"/>
            <w:hideMark/>
          </w:tcPr>
          <w:p w14:paraId="217527F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8B74C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0B5FF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26D5BA1" w14:textId="77777777" w:rsidR="00000000" w:rsidRDefault="00EB4933">
            <w:pPr>
              <w:jc w:val="right"/>
              <w:rPr>
                <w:rFonts w:eastAsia="Times New Roman"/>
                <w:sz w:val="20"/>
                <w:szCs w:val="20"/>
              </w:rPr>
            </w:pPr>
            <w:r>
              <w:rPr>
                <w:rFonts w:eastAsia="Times New Roman"/>
                <w:sz w:val="20"/>
                <w:szCs w:val="20"/>
              </w:rPr>
              <w:t>173</w:t>
            </w:r>
          </w:p>
        </w:tc>
        <w:tc>
          <w:tcPr>
            <w:tcW w:w="50" w:type="pct"/>
            <w:shd w:val="clear" w:color="auto" w:fill="CCEEFF"/>
            <w:noWrap/>
            <w:vAlign w:val="center"/>
            <w:hideMark/>
          </w:tcPr>
          <w:p w14:paraId="3860DB3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C7DCB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6B981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6B5D5E9" w14:textId="77777777" w:rsidR="00000000" w:rsidRDefault="00EB4933">
            <w:pPr>
              <w:jc w:val="right"/>
              <w:rPr>
                <w:rFonts w:eastAsia="Times New Roman"/>
                <w:sz w:val="20"/>
                <w:szCs w:val="20"/>
              </w:rPr>
            </w:pPr>
            <w:r>
              <w:rPr>
                <w:rFonts w:eastAsia="Times New Roman"/>
                <w:sz w:val="20"/>
                <w:szCs w:val="20"/>
              </w:rPr>
              <w:t>25</w:t>
            </w:r>
          </w:p>
        </w:tc>
        <w:tc>
          <w:tcPr>
            <w:tcW w:w="50" w:type="pct"/>
            <w:shd w:val="clear" w:color="auto" w:fill="CCEEFF"/>
            <w:noWrap/>
            <w:vAlign w:val="center"/>
            <w:hideMark/>
          </w:tcPr>
          <w:p w14:paraId="38DC30B9" w14:textId="77777777" w:rsidR="00000000" w:rsidRDefault="00EB4933">
            <w:pPr>
              <w:pStyle w:val="NormalWeb"/>
              <w:spacing w:before="0" w:beforeAutospacing="0" w:after="0" w:afterAutospacing="0"/>
              <w:rPr>
                <w:sz w:val="20"/>
                <w:szCs w:val="20"/>
              </w:rPr>
            </w:pPr>
            <w:r>
              <w:rPr>
                <w:sz w:val="20"/>
                <w:szCs w:val="20"/>
              </w:rPr>
              <w:t> </w:t>
            </w:r>
          </w:p>
        </w:tc>
      </w:tr>
      <w:tr w:rsidR="00000000" w14:paraId="19753FFB" w14:textId="77777777">
        <w:trPr>
          <w:divId w:val="98525094"/>
          <w:trHeight w:val="225"/>
          <w:tblCellSpacing w:w="15" w:type="dxa"/>
        </w:trPr>
        <w:tc>
          <w:tcPr>
            <w:tcW w:w="0" w:type="auto"/>
            <w:shd w:val="clear" w:color="auto" w:fill="FFFFFF"/>
            <w:vAlign w:val="center"/>
            <w:hideMark/>
          </w:tcPr>
          <w:p w14:paraId="032372B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F43F5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2E4E7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585DB2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B3495B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615B0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ED19D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3053D3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099D2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DFA46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B31A8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20E54F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DD3A3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0EAD8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23658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2FA342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AF5C50" w14:textId="77777777" w:rsidR="00000000" w:rsidRDefault="00EB4933">
            <w:pPr>
              <w:pStyle w:val="NormalWeb"/>
              <w:spacing w:before="0" w:beforeAutospacing="0" w:after="0" w:afterAutospacing="0"/>
              <w:rPr>
                <w:sz w:val="20"/>
                <w:szCs w:val="20"/>
              </w:rPr>
            </w:pPr>
            <w:r>
              <w:rPr>
                <w:sz w:val="20"/>
                <w:szCs w:val="20"/>
              </w:rPr>
              <w:t> </w:t>
            </w:r>
          </w:p>
        </w:tc>
      </w:tr>
      <w:tr w:rsidR="00000000" w14:paraId="0841D924" w14:textId="77777777">
        <w:trPr>
          <w:divId w:val="98525094"/>
          <w:trHeight w:val="225"/>
          <w:tblCellSpacing w:w="15" w:type="dxa"/>
        </w:trPr>
        <w:tc>
          <w:tcPr>
            <w:tcW w:w="0" w:type="auto"/>
            <w:shd w:val="clear" w:color="auto" w:fill="CCEEFF"/>
            <w:hideMark/>
          </w:tcPr>
          <w:p w14:paraId="42244EA2" w14:textId="77777777" w:rsidR="00000000" w:rsidRDefault="00EB4933">
            <w:pPr>
              <w:pStyle w:val="NormalWeb"/>
              <w:spacing w:before="0" w:beforeAutospacing="0" w:after="0" w:afterAutospacing="0"/>
              <w:rPr>
                <w:sz w:val="20"/>
                <w:szCs w:val="20"/>
              </w:rPr>
            </w:pPr>
            <w:r>
              <w:rPr>
                <w:rStyle w:val="Strong"/>
                <w:sz w:val="20"/>
                <w:szCs w:val="20"/>
              </w:rPr>
              <w:t>Operating costs and expenses</w:t>
            </w:r>
          </w:p>
        </w:tc>
        <w:tc>
          <w:tcPr>
            <w:tcW w:w="50" w:type="pct"/>
            <w:shd w:val="clear" w:color="auto" w:fill="CCEEFF"/>
            <w:noWrap/>
            <w:vAlign w:val="center"/>
            <w:hideMark/>
          </w:tcPr>
          <w:p w14:paraId="05E97D8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80CA3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CDA0EE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7A578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7BFAC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509B5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664BD9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CA00E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92715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13105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467A01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7495C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A1BDF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01970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90CC44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D1FF73" w14:textId="77777777" w:rsidR="00000000" w:rsidRDefault="00EB4933">
            <w:pPr>
              <w:pStyle w:val="NormalWeb"/>
              <w:spacing w:before="0" w:beforeAutospacing="0" w:after="0" w:afterAutospacing="0"/>
              <w:rPr>
                <w:sz w:val="20"/>
                <w:szCs w:val="20"/>
              </w:rPr>
            </w:pPr>
            <w:r>
              <w:rPr>
                <w:sz w:val="20"/>
                <w:szCs w:val="20"/>
              </w:rPr>
              <w:t> </w:t>
            </w:r>
          </w:p>
        </w:tc>
      </w:tr>
      <w:tr w:rsidR="00000000" w14:paraId="01038593" w14:textId="77777777">
        <w:trPr>
          <w:divId w:val="98525094"/>
          <w:trHeight w:val="225"/>
          <w:tblCellSpacing w:w="15" w:type="dxa"/>
        </w:trPr>
        <w:tc>
          <w:tcPr>
            <w:tcW w:w="0" w:type="auto"/>
            <w:shd w:val="clear" w:color="auto" w:fill="FFFFFF"/>
            <w:hideMark/>
          </w:tcPr>
          <w:p w14:paraId="6133DF04" w14:textId="77777777" w:rsidR="00000000" w:rsidRDefault="00EB4933">
            <w:pPr>
              <w:pStyle w:val="NormalWeb"/>
              <w:spacing w:before="0" w:beforeAutospacing="0" w:after="0" w:afterAutospacing="0"/>
              <w:rPr>
                <w:sz w:val="20"/>
                <w:szCs w:val="20"/>
              </w:rPr>
            </w:pPr>
            <w:r>
              <w:rPr>
                <w:sz w:val="20"/>
                <w:szCs w:val="20"/>
              </w:rPr>
              <w:t>Sales and marketing</w:t>
            </w:r>
          </w:p>
        </w:tc>
        <w:tc>
          <w:tcPr>
            <w:tcW w:w="50" w:type="pct"/>
            <w:shd w:val="clear" w:color="auto" w:fill="FFFFFF"/>
            <w:noWrap/>
            <w:vAlign w:val="center"/>
            <w:hideMark/>
          </w:tcPr>
          <w:p w14:paraId="1DFF8B5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91A89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1FD080A" w14:textId="77777777" w:rsidR="00000000" w:rsidRDefault="00EB4933">
            <w:pPr>
              <w:jc w:val="right"/>
              <w:rPr>
                <w:rFonts w:eastAsia="Times New Roman"/>
                <w:sz w:val="20"/>
                <w:szCs w:val="20"/>
              </w:rPr>
            </w:pPr>
            <w:r>
              <w:rPr>
                <w:rFonts w:eastAsia="Times New Roman"/>
                <w:sz w:val="20"/>
                <w:szCs w:val="20"/>
              </w:rPr>
              <w:t>(3,138</w:t>
            </w:r>
          </w:p>
        </w:tc>
        <w:tc>
          <w:tcPr>
            <w:tcW w:w="50" w:type="pct"/>
            <w:shd w:val="clear" w:color="auto" w:fill="FFFFFF"/>
            <w:noWrap/>
            <w:vAlign w:val="bottom"/>
            <w:hideMark/>
          </w:tcPr>
          <w:p w14:paraId="232A2C32"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3EE355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81D0E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3391162" w14:textId="77777777" w:rsidR="00000000" w:rsidRDefault="00EB4933">
            <w:pPr>
              <w:jc w:val="right"/>
              <w:rPr>
                <w:rFonts w:eastAsia="Times New Roman"/>
                <w:sz w:val="20"/>
                <w:szCs w:val="20"/>
              </w:rPr>
            </w:pPr>
            <w:r>
              <w:rPr>
                <w:rFonts w:eastAsia="Times New Roman"/>
                <w:sz w:val="20"/>
                <w:szCs w:val="20"/>
              </w:rPr>
              <w:t>(1,794</w:t>
            </w:r>
          </w:p>
        </w:tc>
        <w:tc>
          <w:tcPr>
            <w:tcW w:w="50" w:type="pct"/>
            <w:shd w:val="clear" w:color="auto" w:fill="FFFFFF"/>
            <w:noWrap/>
            <w:vAlign w:val="bottom"/>
            <w:hideMark/>
          </w:tcPr>
          <w:p w14:paraId="3F5C84B0"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B5B349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FDA83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22A8578" w14:textId="77777777" w:rsidR="00000000" w:rsidRDefault="00EB4933">
            <w:pPr>
              <w:jc w:val="right"/>
              <w:rPr>
                <w:rFonts w:eastAsia="Times New Roman"/>
                <w:sz w:val="20"/>
                <w:szCs w:val="20"/>
              </w:rPr>
            </w:pPr>
            <w:r>
              <w:rPr>
                <w:rFonts w:eastAsia="Times New Roman"/>
                <w:sz w:val="20"/>
                <w:szCs w:val="20"/>
              </w:rPr>
              <w:t>(1,698</w:t>
            </w:r>
          </w:p>
        </w:tc>
        <w:tc>
          <w:tcPr>
            <w:tcW w:w="50" w:type="pct"/>
            <w:shd w:val="clear" w:color="auto" w:fill="FFFFFF"/>
            <w:noWrap/>
            <w:vAlign w:val="bottom"/>
            <w:hideMark/>
          </w:tcPr>
          <w:p w14:paraId="544F175F"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9407BF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E1890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C51BB04" w14:textId="77777777" w:rsidR="00000000" w:rsidRDefault="00EB4933">
            <w:pPr>
              <w:jc w:val="right"/>
              <w:rPr>
                <w:rFonts w:eastAsia="Times New Roman"/>
                <w:sz w:val="20"/>
                <w:szCs w:val="20"/>
              </w:rPr>
            </w:pPr>
            <w:r>
              <w:rPr>
                <w:rFonts w:eastAsia="Times New Roman"/>
                <w:sz w:val="20"/>
                <w:szCs w:val="20"/>
              </w:rPr>
              <w:t>(244</w:t>
            </w:r>
          </w:p>
        </w:tc>
        <w:tc>
          <w:tcPr>
            <w:tcW w:w="50" w:type="pct"/>
            <w:shd w:val="clear" w:color="auto" w:fill="FFFFFF"/>
            <w:noWrap/>
            <w:vAlign w:val="bottom"/>
            <w:hideMark/>
          </w:tcPr>
          <w:p w14:paraId="06803F28" w14:textId="77777777" w:rsidR="00000000" w:rsidRDefault="00EB4933">
            <w:pPr>
              <w:rPr>
                <w:rFonts w:eastAsia="Times New Roman"/>
                <w:sz w:val="20"/>
                <w:szCs w:val="20"/>
              </w:rPr>
            </w:pPr>
            <w:r>
              <w:rPr>
                <w:rFonts w:eastAsia="Times New Roman"/>
                <w:sz w:val="20"/>
                <w:szCs w:val="20"/>
              </w:rPr>
              <w:t>)</w:t>
            </w:r>
          </w:p>
        </w:tc>
      </w:tr>
      <w:tr w:rsidR="00000000" w14:paraId="5B84D558" w14:textId="77777777">
        <w:trPr>
          <w:divId w:val="98525094"/>
          <w:trHeight w:val="225"/>
          <w:tblCellSpacing w:w="15" w:type="dxa"/>
        </w:trPr>
        <w:tc>
          <w:tcPr>
            <w:tcW w:w="0" w:type="auto"/>
            <w:shd w:val="clear" w:color="auto" w:fill="CCEEFF"/>
            <w:hideMark/>
          </w:tcPr>
          <w:p w14:paraId="7F281A09" w14:textId="77777777" w:rsidR="00000000" w:rsidRDefault="00EB4933">
            <w:pPr>
              <w:pStyle w:val="NormalWeb"/>
              <w:spacing w:before="0" w:beforeAutospacing="0" w:after="0" w:afterAutospacing="0"/>
              <w:rPr>
                <w:sz w:val="20"/>
                <w:szCs w:val="20"/>
              </w:rPr>
            </w:pPr>
            <w:r>
              <w:rPr>
                <w:sz w:val="20"/>
                <w:szCs w:val="20"/>
              </w:rPr>
              <w:t xml:space="preserve">General and administrative </w:t>
            </w:r>
          </w:p>
        </w:tc>
        <w:tc>
          <w:tcPr>
            <w:tcW w:w="50" w:type="pct"/>
            <w:shd w:val="clear" w:color="auto" w:fill="CCEEFF"/>
            <w:noWrap/>
            <w:vAlign w:val="center"/>
            <w:hideMark/>
          </w:tcPr>
          <w:p w14:paraId="407BCFF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8E6367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2C50145" w14:textId="77777777" w:rsidR="00000000" w:rsidRDefault="00EB4933">
            <w:pPr>
              <w:jc w:val="right"/>
              <w:rPr>
                <w:rFonts w:eastAsia="Times New Roman"/>
                <w:sz w:val="20"/>
                <w:szCs w:val="20"/>
              </w:rPr>
            </w:pPr>
            <w:r>
              <w:rPr>
                <w:rFonts w:eastAsia="Times New Roman"/>
                <w:sz w:val="20"/>
                <w:szCs w:val="20"/>
              </w:rPr>
              <w:t>(34,895</w:t>
            </w:r>
          </w:p>
        </w:tc>
        <w:tc>
          <w:tcPr>
            <w:tcW w:w="50" w:type="pct"/>
            <w:shd w:val="clear" w:color="auto" w:fill="CCEEFF"/>
            <w:noWrap/>
            <w:tcMar>
              <w:top w:w="0" w:type="dxa"/>
              <w:left w:w="0" w:type="dxa"/>
              <w:bottom w:w="15" w:type="dxa"/>
              <w:right w:w="0" w:type="dxa"/>
            </w:tcMar>
            <w:vAlign w:val="bottom"/>
            <w:hideMark/>
          </w:tcPr>
          <w:p w14:paraId="3ACEA62F"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4CA250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9FC449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DE0C2D4" w14:textId="77777777" w:rsidR="00000000" w:rsidRDefault="00EB4933">
            <w:pPr>
              <w:jc w:val="right"/>
              <w:rPr>
                <w:rFonts w:eastAsia="Times New Roman"/>
                <w:sz w:val="20"/>
                <w:szCs w:val="20"/>
              </w:rPr>
            </w:pPr>
            <w:r>
              <w:rPr>
                <w:rFonts w:eastAsia="Times New Roman"/>
                <w:sz w:val="20"/>
                <w:szCs w:val="20"/>
              </w:rPr>
              <w:t>(20,368</w:t>
            </w:r>
          </w:p>
        </w:tc>
        <w:tc>
          <w:tcPr>
            <w:tcW w:w="50" w:type="pct"/>
            <w:shd w:val="clear" w:color="auto" w:fill="CCEEFF"/>
            <w:noWrap/>
            <w:tcMar>
              <w:top w:w="0" w:type="dxa"/>
              <w:left w:w="0" w:type="dxa"/>
              <w:bottom w:w="15" w:type="dxa"/>
              <w:right w:w="0" w:type="dxa"/>
            </w:tcMar>
            <w:vAlign w:val="bottom"/>
            <w:hideMark/>
          </w:tcPr>
          <w:p w14:paraId="129F14A9"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BE8627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D1695F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683449A" w14:textId="77777777" w:rsidR="00000000" w:rsidRDefault="00EB4933">
            <w:pPr>
              <w:jc w:val="right"/>
              <w:rPr>
                <w:rFonts w:eastAsia="Times New Roman"/>
                <w:sz w:val="20"/>
                <w:szCs w:val="20"/>
              </w:rPr>
            </w:pPr>
            <w:r>
              <w:rPr>
                <w:rFonts w:eastAsia="Times New Roman"/>
                <w:sz w:val="20"/>
                <w:szCs w:val="20"/>
              </w:rPr>
              <w:t>(13,280</w:t>
            </w:r>
          </w:p>
        </w:tc>
        <w:tc>
          <w:tcPr>
            <w:tcW w:w="50" w:type="pct"/>
            <w:shd w:val="clear" w:color="auto" w:fill="CCEEFF"/>
            <w:noWrap/>
            <w:tcMar>
              <w:top w:w="0" w:type="dxa"/>
              <w:left w:w="0" w:type="dxa"/>
              <w:bottom w:w="15" w:type="dxa"/>
              <w:right w:w="0" w:type="dxa"/>
            </w:tcMar>
            <w:vAlign w:val="bottom"/>
            <w:hideMark/>
          </w:tcPr>
          <w:p w14:paraId="74EB79B2"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8A892E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617AD4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55EAFEB" w14:textId="77777777" w:rsidR="00000000" w:rsidRDefault="00EB4933">
            <w:pPr>
              <w:jc w:val="right"/>
              <w:rPr>
                <w:rFonts w:eastAsia="Times New Roman"/>
                <w:sz w:val="20"/>
                <w:szCs w:val="20"/>
              </w:rPr>
            </w:pPr>
            <w:r>
              <w:rPr>
                <w:rFonts w:eastAsia="Times New Roman"/>
                <w:sz w:val="20"/>
                <w:szCs w:val="20"/>
              </w:rPr>
              <w:t>(1,908</w:t>
            </w:r>
          </w:p>
        </w:tc>
        <w:tc>
          <w:tcPr>
            <w:tcW w:w="50" w:type="pct"/>
            <w:shd w:val="clear" w:color="auto" w:fill="CCEEFF"/>
            <w:noWrap/>
            <w:tcMar>
              <w:top w:w="0" w:type="dxa"/>
              <w:left w:w="0" w:type="dxa"/>
              <w:bottom w:w="15" w:type="dxa"/>
              <w:right w:w="0" w:type="dxa"/>
            </w:tcMar>
            <w:vAlign w:val="bottom"/>
            <w:hideMark/>
          </w:tcPr>
          <w:p w14:paraId="6C8F9645" w14:textId="77777777" w:rsidR="00000000" w:rsidRDefault="00EB4933">
            <w:pPr>
              <w:rPr>
                <w:rFonts w:eastAsia="Times New Roman"/>
                <w:sz w:val="20"/>
                <w:szCs w:val="20"/>
              </w:rPr>
            </w:pPr>
            <w:r>
              <w:rPr>
                <w:rFonts w:eastAsia="Times New Roman"/>
                <w:sz w:val="20"/>
                <w:szCs w:val="20"/>
              </w:rPr>
              <w:t>)</w:t>
            </w:r>
          </w:p>
        </w:tc>
      </w:tr>
      <w:tr w:rsidR="00000000" w14:paraId="6B9EBC99" w14:textId="77777777">
        <w:trPr>
          <w:divId w:val="98525094"/>
          <w:trHeight w:val="225"/>
          <w:tblCellSpacing w:w="15" w:type="dxa"/>
        </w:trPr>
        <w:tc>
          <w:tcPr>
            <w:tcW w:w="0" w:type="auto"/>
            <w:shd w:val="clear" w:color="auto" w:fill="FFFFFF"/>
            <w:hideMark/>
          </w:tcPr>
          <w:p w14:paraId="11F9699D" w14:textId="77777777" w:rsidR="00000000" w:rsidRDefault="00EB4933">
            <w:pPr>
              <w:pStyle w:val="NormalWeb"/>
              <w:spacing w:before="0" w:beforeAutospacing="0" w:after="0" w:afterAutospacing="0"/>
              <w:rPr>
                <w:sz w:val="20"/>
                <w:szCs w:val="20"/>
              </w:rPr>
            </w:pPr>
            <w:r>
              <w:rPr>
                <w:rStyle w:val="Strong"/>
                <w:sz w:val="20"/>
                <w:szCs w:val="20"/>
              </w:rPr>
              <w:lastRenderedPageBreak/>
              <w:t>Total operating costs and expenses</w:t>
            </w:r>
          </w:p>
        </w:tc>
        <w:tc>
          <w:tcPr>
            <w:tcW w:w="50" w:type="pct"/>
            <w:shd w:val="clear" w:color="auto" w:fill="FFFFFF"/>
            <w:noWrap/>
            <w:vAlign w:val="center"/>
            <w:hideMark/>
          </w:tcPr>
          <w:p w14:paraId="28555AF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D8E9E2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3560667" w14:textId="77777777" w:rsidR="00000000" w:rsidRDefault="00EB4933">
            <w:pPr>
              <w:jc w:val="right"/>
              <w:rPr>
                <w:rFonts w:eastAsia="Times New Roman"/>
                <w:sz w:val="20"/>
                <w:szCs w:val="20"/>
              </w:rPr>
            </w:pPr>
            <w:r>
              <w:rPr>
                <w:rFonts w:eastAsia="Times New Roman"/>
                <w:sz w:val="20"/>
                <w:szCs w:val="20"/>
              </w:rPr>
              <w:t>(38,033</w:t>
            </w:r>
          </w:p>
        </w:tc>
        <w:tc>
          <w:tcPr>
            <w:tcW w:w="50" w:type="pct"/>
            <w:shd w:val="clear" w:color="auto" w:fill="FFFFFF"/>
            <w:noWrap/>
            <w:tcMar>
              <w:top w:w="0" w:type="dxa"/>
              <w:left w:w="0" w:type="dxa"/>
              <w:bottom w:w="15" w:type="dxa"/>
              <w:right w:w="0" w:type="dxa"/>
            </w:tcMar>
            <w:vAlign w:val="bottom"/>
            <w:hideMark/>
          </w:tcPr>
          <w:p w14:paraId="664054CA"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D01AC2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435A3F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8E1029E" w14:textId="77777777" w:rsidR="00000000" w:rsidRDefault="00EB4933">
            <w:pPr>
              <w:jc w:val="right"/>
              <w:rPr>
                <w:rFonts w:eastAsia="Times New Roman"/>
                <w:sz w:val="20"/>
                <w:szCs w:val="20"/>
              </w:rPr>
            </w:pPr>
            <w:r>
              <w:rPr>
                <w:rFonts w:eastAsia="Times New Roman"/>
                <w:sz w:val="20"/>
                <w:szCs w:val="20"/>
              </w:rPr>
              <w:t>(22,162</w:t>
            </w:r>
          </w:p>
        </w:tc>
        <w:tc>
          <w:tcPr>
            <w:tcW w:w="50" w:type="pct"/>
            <w:shd w:val="clear" w:color="auto" w:fill="FFFFFF"/>
            <w:noWrap/>
            <w:tcMar>
              <w:top w:w="0" w:type="dxa"/>
              <w:left w:w="0" w:type="dxa"/>
              <w:bottom w:w="15" w:type="dxa"/>
              <w:right w:w="0" w:type="dxa"/>
            </w:tcMar>
            <w:vAlign w:val="bottom"/>
            <w:hideMark/>
          </w:tcPr>
          <w:p w14:paraId="5B2E3BD7"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7BA9C2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D0506A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4DC9B31" w14:textId="77777777" w:rsidR="00000000" w:rsidRDefault="00EB4933">
            <w:pPr>
              <w:jc w:val="right"/>
              <w:rPr>
                <w:rFonts w:eastAsia="Times New Roman"/>
                <w:sz w:val="20"/>
                <w:szCs w:val="20"/>
              </w:rPr>
            </w:pPr>
            <w:r>
              <w:rPr>
                <w:rFonts w:eastAsia="Times New Roman"/>
                <w:sz w:val="20"/>
                <w:szCs w:val="20"/>
              </w:rPr>
              <w:t>(14,978</w:t>
            </w:r>
          </w:p>
        </w:tc>
        <w:tc>
          <w:tcPr>
            <w:tcW w:w="50" w:type="pct"/>
            <w:shd w:val="clear" w:color="auto" w:fill="FFFFFF"/>
            <w:noWrap/>
            <w:tcMar>
              <w:top w:w="0" w:type="dxa"/>
              <w:left w:w="0" w:type="dxa"/>
              <w:bottom w:w="15" w:type="dxa"/>
              <w:right w:w="0" w:type="dxa"/>
            </w:tcMar>
            <w:vAlign w:val="bottom"/>
            <w:hideMark/>
          </w:tcPr>
          <w:p w14:paraId="4E3A89EE"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6CA554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B36CBF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03B21D6" w14:textId="77777777" w:rsidR="00000000" w:rsidRDefault="00EB4933">
            <w:pPr>
              <w:jc w:val="right"/>
              <w:rPr>
                <w:rFonts w:eastAsia="Times New Roman"/>
                <w:sz w:val="20"/>
                <w:szCs w:val="20"/>
              </w:rPr>
            </w:pPr>
            <w:r>
              <w:rPr>
                <w:rFonts w:eastAsia="Times New Roman"/>
                <w:sz w:val="20"/>
                <w:szCs w:val="20"/>
              </w:rPr>
              <w:t>(2,152</w:t>
            </w:r>
          </w:p>
        </w:tc>
        <w:tc>
          <w:tcPr>
            <w:tcW w:w="50" w:type="pct"/>
            <w:shd w:val="clear" w:color="auto" w:fill="FFFFFF"/>
            <w:noWrap/>
            <w:tcMar>
              <w:top w:w="0" w:type="dxa"/>
              <w:left w:w="0" w:type="dxa"/>
              <w:bottom w:w="15" w:type="dxa"/>
              <w:right w:w="0" w:type="dxa"/>
            </w:tcMar>
            <w:vAlign w:val="bottom"/>
            <w:hideMark/>
          </w:tcPr>
          <w:p w14:paraId="078DF28D" w14:textId="77777777" w:rsidR="00000000" w:rsidRDefault="00EB4933">
            <w:pPr>
              <w:rPr>
                <w:rFonts w:eastAsia="Times New Roman"/>
                <w:sz w:val="20"/>
                <w:szCs w:val="20"/>
              </w:rPr>
            </w:pPr>
            <w:r>
              <w:rPr>
                <w:rFonts w:eastAsia="Times New Roman"/>
                <w:sz w:val="20"/>
                <w:szCs w:val="20"/>
              </w:rPr>
              <w:t>)</w:t>
            </w:r>
          </w:p>
        </w:tc>
      </w:tr>
      <w:tr w:rsidR="00000000" w14:paraId="64E1DFF1" w14:textId="77777777">
        <w:trPr>
          <w:divId w:val="98525094"/>
          <w:trHeight w:val="225"/>
          <w:tblCellSpacing w:w="15" w:type="dxa"/>
        </w:trPr>
        <w:tc>
          <w:tcPr>
            <w:tcW w:w="0" w:type="auto"/>
            <w:shd w:val="clear" w:color="auto" w:fill="CCEEFF"/>
            <w:vAlign w:val="center"/>
            <w:hideMark/>
          </w:tcPr>
          <w:p w14:paraId="43B62E5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1BD9A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78C72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67D494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7143B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40C22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64AB0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303191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E7765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B44E7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32D0B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A7D0F9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CCB08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9C471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600B8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EA63F0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CC2630" w14:textId="77777777" w:rsidR="00000000" w:rsidRDefault="00EB4933">
            <w:pPr>
              <w:pStyle w:val="NormalWeb"/>
              <w:spacing w:before="0" w:beforeAutospacing="0" w:after="0" w:afterAutospacing="0"/>
              <w:rPr>
                <w:sz w:val="20"/>
                <w:szCs w:val="20"/>
              </w:rPr>
            </w:pPr>
            <w:r>
              <w:rPr>
                <w:sz w:val="20"/>
                <w:szCs w:val="20"/>
              </w:rPr>
              <w:t> </w:t>
            </w:r>
          </w:p>
        </w:tc>
      </w:tr>
      <w:tr w:rsidR="00000000" w14:paraId="6E6CE11D" w14:textId="77777777">
        <w:trPr>
          <w:divId w:val="98525094"/>
          <w:trHeight w:val="225"/>
          <w:tblCellSpacing w:w="15" w:type="dxa"/>
        </w:trPr>
        <w:tc>
          <w:tcPr>
            <w:tcW w:w="0" w:type="auto"/>
            <w:shd w:val="clear" w:color="auto" w:fill="FFFFFF"/>
            <w:hideMark/>
          </w:tcPr>
          <w:p w14:paraId="48591EF4" w14:textId="77777777" w:rsidR="00000000" w:rsidRDefault="00EB4933">
            <w:pPr>
              <w:pStyle w:val="NormalWeb"/>
              <w:spacing w:before="0" w:beforeAutospacing="0" w:after="0" w:afterAutospacing="0"/>
              <w:rPr>
                <w:sz w:val="20"/>
                <w:szCs w:val="20"/>
              </w:rPr>
            </w:pPr>
            <w:r>
              <w:rPr>
                <w:sz w:val="20"/>
                <w:szCs w:val="20"/>
              </w:rPr>
              <w:t>Profit before income taxes</w:t>
            </w:r>
          </w:p>
        </w:tc>
        <w:tc>
          <w:tcPr>
            <w:tcW w:w="50" w:type="pct"/>
            <w:shd w:val="clear" w:color="auto" w:fill="FFFFFF"/>
            <w:noWrap/>
            <w:vAlign w:val="center"/>
            <w:hideMark/>
          </w:tcPr>
          <w:p w14:paraId="1E0560E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62D40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D6D2281" w14:textId="77777777" w:rsidR="00000000" w:rsidRDefault="00EB4933">
            <w:pPr>
              <w:jc w:val="right"/>
              <w:rPr>
                <w:rFonts w:eastAsia="Times New Roman"/>
                <w:sz w:val="20"/>
                <w:szCs w:val="20"/>
              </w:rPr>
            </w:pPr>
            <w:r>
              <w:rPr>
                <w:rFonts w:eastAsia="Times New Roman"/>
                <w:sz w:val="20"/>
                <w:szCs w:val="20"/>
              </w:rPr>
              <w:t>44,376</w:t>
            </w:r>
          </w:p>
        </w:tc>
        <w:tc>
          <w:tcPr>
            <w:tcW w:w="50" w:type="pct"/>
            <w:shd w:val="clear" w:color="auto" w:fill="FFFFFF"/>
            <w:noWrap/>
            <w:vAlign w:val="center"/>
            <w:hideMark/>
          </w:tcPr>
          <w:p w14:paraId="7ED1826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84BDE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77078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A68F5D4" w14:textId="77777777" w:rsidR="00000000" w:rsidRDefault="00EB4933">
            <w:pPr>
              <w:jc w:val="right"/>
              <w:rPr>
                <w:rFonts w:eastAsia="Times New Roman"/>
                <w:sz w:val="20"/>
                <w:szCs w:val="20"/>
              </w:rPr>
            </w:pPr>
            <w:r>
              <w:rPr>
                <w:rFonts w:eastAsia="Times New Roman"/>
                <w:sz w:val="20"/>
                <w:szCs w:val="20"/>
              </w:rPr>
              <w:t>26,188</w:t>
            </w:r>
          </w:p>
        </w:tc>
        <w:tc>
          <w:tcPr>
            <w:tcW w:w="50" w:type="pct"/>
            <w:shd w:val="clear" w:color="auto" w:fill="FFFFFF"/>
            <w:noWrap/>
            <w:vAlign w:val="center"/>
            <w:hideMark/>
          </w:tcPr>
          <w:p w14:paraId="77AB7E9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241FA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DF178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E961898" w14:textId="77777777" w:rsidR="00000000" w:rsidRDefault="00EB4933">
            <w:pPr>
              <w:jc w:val="right"/>
              <w:rPr>
                <w:rFonts w:eastAsia="Times New Roman"/>
                <w:sz w:val="20"/>
                <w:szCs w:val="20"/>
              </w:rPr>
            </w:pPr>
            <w:r>
              <w:rPr>
                <w:rFonts w:eastAsia="Times New Roman"/>
                <w:sz w:val="20"/>
                <w:szCs w:val="20"/>
              </w:rPr>
              <w:t>58,616</w:t>
            </w:r>
          </w:p>
        </w:tc>
        <w:tc>
          <w:tcPr>
            <w:tcW w:w="50" w:type="pct"/>
            <w:shd w:val="clear" w:color="auto" w:fill="FFFFFF"/>
            <w:noWrap/>
            <w:vAlign w:val="center"/>
            <w:hideMark/>
          </w:tcPr>
          <w:p w14:paraId="2F3A397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BA5CB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82FEC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3757B54" w14:textId="77777777" w:rsidR="00000000" w:rsidRDefault="00EB4933">
            <w:pPr>
              <w:jc w:val="right"/>
              <w:rPr>
                <w:rFonts w:eastAsia="Times New Roman"/>
                <w:sz w:val="20"/>
                <w:szCs w:val="20"/>
              </w:rPr>
            </w:pPr>
            <w:r>
              <w:rPr>
                <w:rFonts w:eastAsia="Times New Roman"/>
                <w:sz w:val="20"/>
                <w:szCs w:val="20"/>
              </w:rPr>
              <w:t>8,419</w:t>
            </w:r>
          </w:p>
        </w:tc>
        <w:tc>
          <w:tcPr>
            <w:tcW w:w="50" w:type="pct"/>
            <w:shd w:val="clear" w:color="auto" w:fill="FFFFFF"/>
            <w:noWrap/>
            <w:vAlign w:val="center"/>
            <w:hideMark/>
          </w:tcPr>
          <w:p w14:paraId="4D090761" w14:textId="77777777" w:rsidR="00000000" w:rsidRDefault="00EB4933">
            <w:pPr>
              <w:pStyle w:val="NormalWeb"/>
              <w:spacing w:before="0" w:beforeAutospacing="0" w:after="0" w:afterAutospacing="0"/>
              <w:rPr>
                <w:sz w:val="20"/>
                <w:szCs w:val="20"/>
              </w:rPr>
            </w:pPr>
            <w:r>
              <w:rPr>
                <w:sz w:val="20"/>
                <w:szCs w:val="20"/>
              </w:rPr>
              <w:t> </w:t>
            </w:r>
          </w:p>
        </w:tc>
      </w:tr>
      <w:tr w:rsidR="00000000" w14:paraId="3F038E94" w14:textId="77777777">
        <w:trPr>
          <w:divId w:val="98525094"/>
          <w:trHeight w:val="225"/>
          <w:tblCellSpacing w:w="15" w:type="dxa"/>
        </w:trPr>
        <w:tc>
          <w:tcPr>
            <w:tcW w:w="0" w:type="auto"/>
            <w:shd w:val="clear" w:color="auto" w:fill="CCEEFF"/>
            <w:hideMark/>
          </w:tcPr>
          <w:p w14:paraId="6204FD4F" w14:textId="77777777" w:rsidR="00000000" w:rsidRDefault="00EB4933">
            <w:pPr>
              <w:pStyle w:val="NormalWeb"/>
              <w:spacing w:before="0" w:beforeAutospacing="0" w:after="0" w:afterAutospacing="0"/>
              <w:rPr>
                <w:sz w:val="20"/>
                <w:szCs w:val="20"/>
              </w:rPr>
            </w:pPr>
            <w:r>
              <w:rPr>
                <w:sz w:val="20"/>
                <w:szCs w:val="20"/>
              </w:rPr>
              <w:t>Income tax expense</w:t>
            </w:r>
          </w:p>
        </w:tc>
        <w:tc>
          <w:tcPr>
            <w:tcW w:w="50" w:type="pct"/>
            <w:shd w:val="clear" w:color="auto" w:fill="CCEEFF"/>
            <w:noWrap/>
            <w:vAlign w:val="center"/>
            <w:hideMark/>
          </w:tcPr>
          <w:p w14:paraId="7476AF9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83A2EC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B219815" w14:textId="77777777" w:rsidR="00000000" w:rsidRDefault="00EB4933">
            <w:pPr>
              <w:jc w:val="right"/>
              <w:rPr>
                <w:rFonts w:eastAsia="Times New Roman"/>
                <w:sz w:val="20"/>
                <w:szCs w:val="20"/>
              </w:rPr>
            </w:pPr>
            <w:r>
              <w:rPr>
                <w:rFonts w:eastAsia="Times New Roman"/>
                <w:sz w:val="20"/>
                <w:szCs w:val="20"/>
              </w:rPr>
              <w:t>(15,550</w:t>
            </w:r>
          </w:p>
        </w:tc>
        <w:tc>
          <w:tcPr>
            <w:tcW w:w="50" w:type="pct"/>
            <w:shd w:val="clear" w:color="auto" w:fill="CCEEFF"/>
            <w:noWrap/>
            <w:tcMar>
              <w:top w:w="0" w:type="dxa"/>
              <w:left w:w="0" w:type="dxa"/>
              <w:bottom w:w="15" w:type="dxa"/>
              <w:right w:w="0" w:type="dxa"/>
            </w:tcMar>
            <w:vAlign w:val="bottom"/>
            <w:hideMark/>
          </w:tcPr>
          <w:p w14:paraId="12D426E9"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FE584D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326484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EAED421" w14:textId="77777777" w:rsidR="00000000" w:rsidRDefault="00EB4933">
            <w:pPr>
              <w:jc w:val="right"/>
              <w:rPr>
                <w:rFonts w:eastAsia="Times New Roman"/>
                <w:sz w:val="20"/>
                <w:szCs w:val="20"/>
              </w:rPr>
            </w:pPr>
            <w:r>
              <w:rPr>
                <w:rFonts w:eastAsia="Times New Roman"/>
                <w:sz w:val="20"/>
                <w:szCs w:val="20"/>
              </w:rPr>
              <w:t>(18,033</w:t>
            </w:r>
          </w:p>
        </w:tc>
        <w:tc>
          <w:tcPr>
            <w:tcW w:w="50" w:type="pct"/>
            <w:shd w:val="clear" w:color="auto" w:fill="CCEEFF"/>
            <w:noWrap/>
            <w:tcMar>
              <w:top w:w="0" w:type="dxa"/>
              <w:left w:w="0" w:type="dxa"/>
              <w:bottom w:w="15" w:type="dxa"/>
              <w:right w:w="0" w:type="dxa"/>
            </w:tcMar>
            <w:vAlign w:val="bottom"/>
            <w:hideMark/>
          </w:tcPr>
          <w:p w14:paraId="140CF31F"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FD7ACE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011D09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67B4E06"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236D25F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56D3F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70DA28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1204CE3"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2F327D74" w14:textId="77777777" w:rsidR="00000000" w:rsidRDefault="00EB4933">
            <w:pPr>
              <w:pStyle w:val="NormalWeb"/>
              <w:spacing w:before="0" w:beforeAutospacing="0" w:after="0" w:afterAutospacing="0"/>
              <w:rPr>
                <w:sz w:val="20"/>
                <w:szCs w:val="20"/>
              </w:rPr>
            </w:pPr>
            <w:r>
              <w:rPr>
                <w:sz w:val="20"/>
                <w:szCs w:val="20"/>
              </w:rPr>
              <w:t> </w:t>
            </w:r>
          </w:p>
        </w:tc>
      </w:tr>
      <w:tr w:rsidR="00000000" w14:paraId="3F2A08BC" w14:textId="77777777">
        <w:trPr>
          <w:divId w:val="98525094"/>
          <w:trHeight w:val="225"/>
          <w:tblCellSpacing w:w="15" w:type="dxa"/>
        </w:trPr>
        <w:tc>
          <w:tcPr>
            <w:tcW w:w="0" w:type="auto"/>
            <w:shd w:val="clear" w:color="auto" w:fill="FFFFFF"/>
            <w:hideMark/>
          </w:tcPr>
          <w:p w14:paraId="06818987" w14:textId="77777777" w:rsidR="00000000" w:rsidRDefault="00EB4933">
            <w:pPr>
              <w:pStyle w:val="NormalWeb"/>
              <w:spacing w:before="0" w:beforeAutospacing="0" w:after="0" w:afterAutospacing="0"/>
              <w:rPr>
                <w:sz w:val="20"/>
                <w:szCs w:val="20"/>
              </w:rPr>
            </w:pPr>
            <w:r>
              <w:rPr>
                <w:sz w:val="20"/>
                <w:szCs w:val="20"/>
              </w:rPr>
              <w:t>Net profit</w:t>
            </w:r>
          </w:p>
        </w:tc>
        <w:tc>
          <w:tcPr>
            <w:tcW w:w="50" w:type="pct"/>
            <w:shd w:val="clear" w:color="auto" w:fill="FFFFFF"/>
            <w:noWrap/>
            <w:vAlign w:val="center"/>
            <w:hideMark/>
          </w:tcPr>
          <w:p w14:paraId="3285B7A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4EE2DFE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70B37149" w14:textId="77777777" w:rsidR="00000000" w:rsidRDefault="00EB4933">
            <w:pPr>
              <w:jc w:val="right"/>
              <w:rPr>
                <w:rFonts w:eastAsia="Times New Roman"/>
                <w:sz w:val="20"/>
                <w:szCs w:val="20"/>
              </w:rPr>
            </w:pPr>
            <w:r>
              <w:rPr>
                <w:rFonts w:eastAsia="Times New Roman"/>
                <w:sz w:val="20"/>
                <w:szCs w:val="20"/>
              </w:rPr>
              <w:t>28,826</w:t>
            </w:r>
          </w:p>
        </w:tc>
        <w:tc>
          <w:tcPr>
            <w:tcW w:w="50" w:type="pct"/>
            <w:shd w:val="clear" w:color="auto" w:fill="FFFFFF"/>
            <w:noWrap/>
            <w:tcMar>
              <w:top w:w="0" w:type="dxa"/>
              <w:left w:w="0" w:type="dxa"/>
              <w:bottom w:w="45" w:type="dxa"/>
              <w:right w:w="0" w:type="dxa"/>
            </w:tcMar>
            <w:vAlign w:val="center"/>
            <w:hideMark/>
          </w:tcPr>
          <w:p w14:paraId="2F0DE05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64A6A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2A5A12D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5C92529E" w14:textId="77777777" w:rsidR="00000000" w:rsidRDefault="00EB4933">
            <w:pPr>
              <w:jc w:val="right"/>
              <w:rPr>
                <w:rFonts w:eastAsia="Times New Roman"/>
                <w:sz w:val="20"/>
                <w:szCs w:val="20"/>
              </w:rPr>
            </w:pPr>
            <w:r>
              <w:rPr>
                <w:rFonts w:eastAsia="Times New Roman"/>
                <w:sz w:val="20"/>
                <w:szCs w:val="20"/>
              </w:rPr>
              <w:t>8,155</w:t>
            </w:r>
          </w:p>
        </w:tc>
        <w:tc>
          <w:tcPr>
            <w:tcW w:w="50" w:type="pct"/>
            <w:shd w:val="clear" w:color="auto" w:fill="FFFFFF"/>
            <w:noWrap/>
            <w:tcMar>
              <w:top w:w="0" w:type="dxa"/>
              <w:left w:w="0" w:type="dxa"/>
              <w:bottom w:w="45" w:type="dxa"/>
              <w:right w:w="0" w:type="dxa"/>
            </w:tcMar>
            <w:vAlign w:val="center"/>
            <w:hideMark/>
          </w:tcPr>
          <w:p w14:paraId="7478694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6C195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301425B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0FF8EAC1" w14:textId="77777777" w:rsidR="00000000" w:rsidRDefault="00EB4933">
            <w:pPr>
              <w:jc w:val="right"/>
              <w:rPr>
                <w:rFonts w:eastAsia="Times New Roman"/>
                <w:sz w:val="20"/>
                <w:szCs w:val="20"/>
              </w:rPr>
            </w:pPr>
            <w:r>
              <w:rPr>
                <w:rFonts w:eastAsia="Times New Roman"/>
                <w:sz w:val="20"/>
                <w:szCs w:val="20"/>
              </w:rPr>
              <w:t>58,616</w:t>
            </w:r>
          </w:p>
        </w:tc>
        <w:tc>
          <w:tcPr>
            <w:tcW w:w="50" w:type="pct"/>
            <w:shd w:val="clear" w:color="auto" w:fill="FFFFFF"/>
            <w:noWrap/>
            <w:tcMar>
              <w:top w:w="0" w:type="dxa"/>
              <w:left w:w="0" w:type="dxa"/>
              <w:bottom w:w="45" w:type="dxa"/>
              <w:right w:w="0" w:type="dxa"/>
            </w:tcMar>
            <w:vAlign w:val="center"/>
            <w:hideMark/>
          </w:tcPr>
          <w:p w14:paraId="5B52A3D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642BA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79EB502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536EC1A2" w14:textId="77777777" w:rsidR="00000000" w:rsidRDefault="00EB4933">
            <w:pPr>
              <w:jc w:val="right"/>
              <w:rPr>
                <w:rFonts w:eastAsia="Times New Roman"/>
                <w:sz w:val="20"/>
                <w:szCs w:val="20"/>
              </w:rPr>
            </w:pPr>
            <w:r>
              <w:rPr>
                <w:rFonts w:eastAsia="Times New Roman"/>
                <w:sz w:val="20"/>
                <w:szCs w:val="20"/>
              </w:rPr>
              <w:t>8,419</w:t>
            </w:r>
          </w:p>
        </w:tc>
        <w:tc>
          <w:tcPr>
            <w:tcW w:w="50" w:type="pct"/>
            <w:shd w:val="clear" w:color="auto" w:fill="FFFFFF"/>
            <w:noWrap/>
            <w:tcMar>
              <w:top w:w="0" w:type="dxa"/>
              <w:left w:w="0" w:type="dxa"/>
              <w:bottom w:w="45" w:type="dxa"/>
              <w:right w:w="0" w:type="dxa"/>
            </w:tcMar>
            <w:vAlign w:val="center"/>
            <w:hideMark/>
          </w:tcPr>
          <w:p w14:paraId="5B073932" w14:textId="77777777" w:rsidR="00000000" w:rsidRDefault="00EB4933">
            <w:pPr>
              <w:pStyle w:val="NormalWeb"/>
              <w:spacing w:before="0" w:beforeAutospacing="0" w:after="0" w:afterAutospacing="0"/>
              <w:rPr>
                <w:sz w:val="20"/>
                <w:szCs w:val="20"/>
              </w:rPr>
            </w:pPr>
            <w:r>
              <w:rPr>
                <w:sz w:val="20"/>
                <w:szCs w:val="20"/>
              </w:rPr>
              <w:t> </w:t>
            </w:r>
          </w:p>
        </w:tc>
      </w:tr>
      <w:tr w:rsidR="00000000" w14:paraId="6DDB4B0C" w14:textId="77777777">
        <w:trPr>
          <w:divId w:val="98525094"/>
          <w:trHeight w:val="225"/>
          <w:tblCellSpacing w:w="15" w:type="dxa"/>
        </w:trPr>
        <w:tc>
          <w:tcPr>
            <w:tcW w:w="0" w:type="auto"/>
            <w:shd w:val="clear" w:color="auto" w:fill="CCEEFF"/>
            <w:vAlign w:val="center"/>
            <w:hideMark/>
          </w:tcPr>
          <w:p w14:paraId="4A9DD86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83EBE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FD690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BB45F7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BFD56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6B144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F5E0A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0B83FF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7B6DC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3047B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3BDCB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B8F635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E230E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7A1DB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D42BD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FA1951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E26F79" w14:textId="77777777" w:rsidR="00000000" w:rsidRDefault="00EB4933">
            <w:pPr>
              <w:pStyle w:val="NormalWeb"/>
              <w:spacing w:before="0" w:beforeAutospacing="0" w:after="0" w:afterAutospacing="0"/>
              <w:rPr>
                <w:sz w:val="20"/>
                <w:szCs w:val="20"/>
              </w:rPr>
            </w:pPr>
            <w:r>
              <w:rPr>
                <w:sz w:val="20"/>
                <w:szCs w:val="20"/>
              </w:rPr>
              <w:t> </w:t>
            </w:r>
          </w:p>
        </w:tc>
      </w:tr>
      <w:tr w:rsidR="00000000" w14:paraId="1AE5B973" w14:textId="77777777">
        <w:trPr>
          <w:divId w:val="98525094"/>
          <w:trHeight w:val="225"/>
          <w:tblCellSpacing w:w="15" w:type="dxa"/>
        </w:trPr>
        <w:tc>
          <w:tcPr>
            <w:tcW w:w="0" w:type="auto"/>
            <w:shd w:val="clear" w:color="auto" w:fill="FFFFFF"/>
            <w:hideMark/>
          </w:tcPr>
          <w:p w14:paraId="10DB0040" w14:textId="77777777" w:rsidR="00000000" w:rsidRDefault="00EB4933">
            <w:pPr>
              <w:pStyle w:val="NormalWeb"/>
              <w:spacing w:before="0" w:beforeAutospacing="0" w:after="0" w:afterAutospacing="0"/>
              <w:rPr>
                <w:sz w:val="20"/>
                <w:szCs w:val="20"/>
              </w:rPr>
            </w:pPr>
            <w:r>
              <w:rPr>
                <w:rStyle w:val="Strong"/>
                <w:sz w:val="20"/>
                <w:szCs w:val="20"/>
              </w:rPr>
              <w:t>Profit attributable to:</w:t>
            </w:r>
          </w:p>
        </w:tc>
        <w:tc>
          <w:tcPr>
            <w:tcW w:w="50" w:type="pct"/>
            <w:shd w:val="clear" w:color="auto" w:fill="FFFFFF"/>
            <w:noWrap/>
            <w:vAlign w:val="center"/>
            <w:hideMark/>
          </w:tcPr>
          <w:p w14:paraId="3CA5588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417B7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129A6C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F0A68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31F27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2ED1F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63A90D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D2FE9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7DBE1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F1A2D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701C87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7417F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C8CC1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4AEC1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14F343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9345B3" w14:textId="77777777" w:rsidR="00000000" w:rsidRDefault="00EB4933">
            <w:pPr>
              <w:pStyle w:val="NormalWeb"/>
              <w:spacing w:before="0" w:beforeAutospacing="0" w:after="0" w:afterAutospacing="0"/>
              <w:rPr>
                <w:sz w:val="20"/>
                <w:szCs w:val="20"/>
              </w:rPr>
            </w:pPr>
            <w:r>
              <w:rPr>
                <w:sz w:val="20"/>
                <w:szCs w:val="20"/>
              </w:rPr>
              <w:t> </w:t>
            </w:r>
          </w:p>
        </w:tc>
      </w:tr>
      <w:tr w:rsidR="00000000" w14:paraId="53FB97A9" w14:textId="77777777">
        <w:trPr>
          <w:divId w:val="98525094"/>
          <w:trHeight w:val="225"/>
          <w:tblCellSpacing w:w="15" w:type="dxa"/>
        </w:trPr>
        <w:tc>
          <w:tcPr>
            <w:tcW w:w="0" w:type="auto"/>
            <w:shd w:val="clear" w:color="auto" w:fill="CCEEFF"/>
            <w:hideMark/>
          </w:tcPr>
          <w:p w14:paraId="7A0826F3" w14:textId="77777777" w:rsidR="00000000" w:rsidRDefault="00EB4933">
            <w:pPr>
              <w:pStyle w:val="NormalWeb"/>
              <w:spacing w:before="0" w:beforeAutospacing="0" w:after="0" w:afterAutospacing="0"/>
              <w:rPr>
                <w:sz w:val="20"/>
                <w:szCs w:val="20"/>
              </w:rPr>
            </w:pPr>
            <w:r>
              <w:rPr>
                <w:sz w:val="20"/>
                <w:szCs w:val="20"/>
              </w:rPr>
              <w:t>Equity holders of the Company</w:t>
            </w:r>
          </w:p>
        </w:tc>
        <w:tc>
          <w:tcPr>
            <w:tcW w:w="50" w:type="pct"/>
            <w:shd w:val="clear" w:color="auto" w:fill="CCEEFF"/>
            <w:noWrap/>
            <w:vAlign w:val="center"/>
            <w:hideMark/>
          </w:tcPr>
          <w:p w14:paraId="25CB1EA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62E51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8FCBFE8" w14:textId="77777777" w:rsidR="00000000" w:rsidRDefault="00EB4933">
            <w:pPr>
              <w:jc w:val="right"/>
              <w:rPr>
                <w:rFonts w:eastAsia="Times New Roman"/>
                <w:sz w:val="20"/>
                <w:szCs w:val="20"/>
              </w:rPr>
            </w:pPr>
            <w:r>
              <w:rPr>
                <w:rFonts w:eastAsia="Times New Roman"/>
                <w:sz w:val="20"/>
                <w:szCs w:val="20"/>
              </w:rPr>
              <w:t>23,061</w:t>
            </w:r>
          </w:p>
        </w:tc>
        <w:tc>
          <w:tcPr>
            <w:tcW w:w="50" w:type="pct"/>
            <w:shd w:val="clear" w:color="auto" w:fill="CCEEFF"/>
            <w:noWrap/>
            <w:vAlign w:val="center"/>
            <w:hideMark/>
          </w:tcPr>
          <w:p w14:paraId="135B2BF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B30A0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94CA8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D2B1713" w14:textId="77777777" w:rsidR="00000000" w:rsidRDefault="00EB4933">
            <w:pPr>
              <w:jc w:val="right"/>
              <w:rPr>
                <w:rFonts w:eastAsia="Times New Roman"/>
                <w:sz w:val="20"/>
                <w:szCs w:val="20"/>
              </w:rPr>
            </w:pPr>
            <w:r>
              <w:rPr>
                <w:rFonts w:eastAsia="Times New Roman"/>
                <w:sz w:val="20"/>
                <w:szCs w:val="20"/>
              </w:rPr>
              <w:t>6,524</w:t>
            </w:r>
          </w:p>
        </w:tc>
        <w:tc>
          <w:tcPr>
            <w:tcW w:w="50" w:type="pct"/>
            <w:shd w:val="clear" w:color="auto" w:fill="CCEEFF"/>
            <w:noWrap/>
            <w:vAlign w:val="center"/>
            <w:hideMark/>
          </w:tcPr>
          <w:p w14:paraId="7921394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9F188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7DEF9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E5DD5FD" w14:textId="77777777" w:rsidR="00000000" w:rsidRDefault="00EB4933">
            <w:pPr>
              <w:jc w:val="right"/>
              <w:rPr>
                <w:rFonts w:eastAsia="Times New Roman"/>
                <w:sz w:val="20"/>
                <w:szCs w:val="20"/>
              </w:rPr>
            </w:pPr>
            <w:r>
              <w:rPr>
                <w:rFonts w:eastAsia="Times New Roman"/>
                <w:sz w:val="20"/>
                <w:szCs w:val="20"/>
              </w:rPr>
              <w:t>46,893</w:t>
            </w:r>
          </w:p>
        </w:tc>
        <w:tc>
          <w:tcPr>
            <w:tcW w:w="50" w:type="pct"/>
            <w:shd w:val="clear" w:color="auto" w:fill="CCEEFF"/>
            <w:noWrap/>
            <w:vAlign w:val="center"/>
            <w:hideMark/>
          </w:tcPr>
          <w:p w14:paraId="30E72C1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935EC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A6B0E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CDDA738" w14:textId="77777777" w:rsidR="00000000" w:rsidRDefault="00EB4933">
            <w:pPr>
              <w:jc w:val="right"/>
              <w:rPr>
                <w:rFonts w:eastAsia="Times New Roman"/>
                <w:sz w:val="20"/>
                <w:szCs w:val="20"/>
              </w:rPr>
            </w:pPr>
            <w:r>
              <w:rPr>
                <w:rFonts w:eastAsia="Times New Roman"/>
                <w:sz w:val="20"/>
                <w:szCs w:val="20"/>
              </w:rPr>
              <w:t>6,735</w:t>
            </w:r>
          </w:p>
        </w:tc>
        <w:tc>
          <w:tcPr>
            <w:tcW w:w="50" w:type="pct"/>
            <w:shd w:val="clear" w:color="auto" w:fill="CCEEFF"/>
            <w:noWrap/>
            <w:vAlign w:val="center"/>
            <w:hideMark/>
          </w:tcPr>
          <w:p w14:paraId="0E65019D" w14:textId="77777777" w:rsidR="00000000" w:rsidRDefault="00EB4933">
            <w:pPr>
              <w:pStyle w:val="NormalWeb"/>
              <w:spacing w:before="0" w:beforeAutospacing="0" w:after="0" w:afterAutospacing="0"/>
              <w:rPr>
                <w:sz w:val="20"/>
                <w:szCs w:val="20"/>
              </w:rPr>
            </w:pPr>
            <w:r>
              <w:rPr>
                <w:sz w:val="20"/>
                <w:szCs w:val="20"/>
              </w:rPr>
              <w:t> </w:t>
            </w:r>
          </w:p>
        </w:tc>
      </w:tr>
      <w:tr w:rsidR="00000000" w14:paraId="120AF73B" w14:textId="77777777">
        <w:trPr>
          <w:divId w:val="98525094"/>
          <w:trHeight w:val="225"/>
          <w:tblCellSpacing w:w="15" w:type="dxa"/>
        </w:trPr>
        <w:tc>
          <w:tcPr>
            <w:tcW w:w="0" w:type="auto"/>
            <w:shd w:val="clear" w:color="auto" w:fill="FFFFFF"/>
            <w:hideMark/>
          </w:tcPr>
          <w:p w14:paraId="75F60E00" w14:textId="77777777" w:rsidR="00000000" w:rsidRDefault="00EB4933">
            <w:pPr>
              <w:pStyle w:val="NormalWeb"/>
              <w:spacing w:before="0" w:beforeAutospacing="0" w:after="0" w:afterAutospacing="0"/>
              <w:rPr>
                <w:sz w:val="20"/>
                <w:szCs w:val="20"/>
              </w:rPr>
            </w:pPr>
            <w:r>
              <w:rPr>
                <w:sz w:val="20"/>
                <w:szCs w:val="20"/>
              </w:rPr>
              <w:t>Non-controlling interest</w:t>
            </w:r>
          </w:p>
        </w:tc>
        <w:tc>
          <w:tcPr>
            <w:tcW w:w="50" w:type="pct"/>
            <w:shd w:val="clear" w:color="auto" w:fill="FFFFFF"/>
            <w:noWrap/>
            <w:vAlign w:val="center"/>
            <w:hideMark/>
          </w:tcPr>
          <w:p w14:paraId="7B840D8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40729A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1D54454" w14:textId="77777777" w:rsidR="00000000" w:rsidRDefault="00EB4933">
            <w:pPr>
              <w:jc w:val="right"/>
              <w:rPr>
                <w:rFonts w:eastAsia="Times New Roman"/>
                <w:sz w:val="20"/>
                <w:szCs w:val="20"/>
              </w:rPr>
            </w:pPr>
            <w:r>
              <w:rPr>
                <w:rFonts w:eastAsia="Times New Roman"/>
                <w:sz w:val="20"/>
                <w:szCs w:val="20"/>
              </w:rPr>
              <w:t>5,765</w:t>
            </w:r>
          </w:p>
        </w:tc>
        <w:tc>
          <w:tcPr>
            <w:tcW w:w="50" w:type="pct"/>
            <w:shd w:val="clear" w:color="auto" w:fill="FFFFFF"/>
            <w:noWrap/>
            <w:tcMar>
              <w:top w:w="0" w:type="dxa"/>
              <w:left w:w="0" w:type="dxa"/>
              <w:bottom w:w="15" w:type="dxa"/>
              <w:right w:w="0" w:type="dxa"/>
            </w:tcMar>
            <w:vAlign w:val="center"/>
            <w:hideMark/>
          </w:tcPr>
          <w:p w14:paraId="1DAB3CD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4A7E9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DE7495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CF44F76" w14:textId="77777777" w:rsidR="00000000" w:rsidRDefault="00EB4933">
            <w:pPr>
              <w:jc w:val="right"/>
              <w:rPr>
                <w:rFonts w:eastAsia="Times New Roman"/>
                <w:sz w:val="20"/>
                <w:szCs w:val="20"/>
              </w:rPr>
            </w:pPr>
            <w:r>
              <w:rPr>
                <w:rFonts w:eastAsia="Times New Roman"/>
                <w:sz w:val="20"/>
                <w:szCs w:val="20"/>
              </w:rPr>
              <w:t>1,631</w:t>
            </w:r>
          </w:p>
        </w:tc>
        <w:tc>
          <w:tcPr>
            <w:tcW w:w="50" w:type="pct"/>
            <w:shd w:val="clear" w:color="auto" w:fill="FFFFFF"/>
            <w:noWrap/>
            <w:tcMar>
              <w:top w:w="0" w:type="dxa"/>
              <w:left w:w="0" w:type="dxa"/>
              <w:bottom w:w="15" w:type="dxa"/>
              <w:right w:w="0" w:type="dxa"/>
            </w:tcMar>
            <w:vAlign w:val="center"/>
            <w:hideMark/>
          </w:tcPr>
          <w:p w14:paraId="7399540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3A966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EA87D8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0E47FE8" w14:textId="77777777" w:rsidR="00000000" w:rsidRDefault="00EB4933">
            <w:pPr>
              <w:jc w:val="right"/>
              <w:rPr>
                <w:rFonts w:eastAsia="Times New Roman"/>
                <w:sz w:val="20"/>
                <w:szCs w:val="20"/>
              </w:rPr>
            </w:pPr>
            <w:r>
              <w:rPr>
                <w:rFonts w:eastAsia="Times New Roman"/>
                <w:sz w:val="20"/>
                <w:szCs w:val="20"/>
              </w:rPr>
              <w:t>11,723</w:t>
            </w:r>
          </w:p>
        </w:tc>
        <w:tc>
          <w:tcPr>
            <w:tcW w:w="50" w:type="pct"/>
            <w:shd w:val="clear" w:color="auto" w:fill="FFFFFF"/>
            <w:noWrap/>
            <w:tcMar>
              <w:top w:w="0" w:type="dxa"/>
              <w:left w:w="0" w:type="dxa"/>
              <w:bottom w:w="15" w:type="dxa"/>
              <w:right w:w="0" w:type="dxa"/>
            </w:tcMar>
            <w:vAlign w:val="center"/>
            <w:hideMark/>
          </w:tcPr>
          <w:p w14:paraId="490BB54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36685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F4EB67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9BBB92C" w14:textId="77777777" w:rsidR="00000000" w:rsidRDefault="00EB4933">
            <w:pPr>
              <w:jc w:val="right"/>
              <w:rPr>
                <w:rFonts w:eastAsia="Times New Roman"/>
                <w:sz w:val="20"/>
                <w:szCs w:val="20"/>
              </w:rPr>
            </w:pPr>
            <w:r>
              <w:rPr>
                <w:rFonts w:eastAsia="Times New Roman"/>
                <w:sz w:val="20"/>
                <w:szCs w:val="20"/>
              </w:rPr>
              <w:t>1,684</w:t>
            </w:r>
          </w:p>
        </w:tc>
        <w:tc>
          <w:tcPr>
            <w:tcW w:w="50" w:type="pct"/>
            <w:shd w:val="clear" w:color="auto" w:fill="FFFFFF"/>
            <w:noWrap/>
            <w:tcMar>
              <w:top w:w="0" w:type="dxa"/>
              <w:left w:w="0" w:type="dxa"/>
              <w:bottom w:w="15" w:type="dxa"/>
              <w:right w:w="0" w:type="dxa"/>
            </w:tcMar>
            <w:vAlign w:val="center"/>
            <w:hideMark/>
          </w:tcPr>
          <w:p w14:paraId="01BB85DC" w14:textId="77777777" w:rsidR="00000000" w:rsidRDefault="00EB4933">
            <w:pPr>
              <w:pStyle w:val="NormalWeb"/>
              <w:spacing w:before="0" w:beforeAutospacing="0" w:after="0" w:afterAutospacing="0"/>
              <w:rPr>
                <w:sz w:val="20"/>
                <w:szCs w:val="20"/>
              </w:rPr>
            </w:pPr>
            <w:r>
              <w:rPr>
                <w:sz w:val="20"/>
                <w:szCs w:val="20"/>
              </w:rPr>
              <w:t> </w:t>
            </w:r>
          </w:p>
        </w:tc>
      </w:tr>
      <w:tr w:rsidR="00000000" w14:paraId="197BF1C1" w14:textId="77777777">
        <w:trPr>
          <w:divId w:val="98525094"/>
          <w:trHeight w:val="225"/>
          <w:tblCellSpacing w:w="15" w:type="dxa"/>
        </w:trPr>
        <w:tc>
          <w:tcPr>
            <w:tcW w:w="0" w:type="auto"/>
            <w:shd w:val="clear" w:color="auto" w:fill="CCEEFF"/>
            <w:hideMark/>
          </w:tcPr>
          <w:p w14:paraId="49BB4FA7" w14:textId="77777777" w:rsidR="00000000" w:rsidRDefault="00EB4933">
            <w:pPr>
              <w:pStyle w:val="NormalWeb"/>
              <w:spacing w:before="0" w:beforeAutospacing="0" w:after="0" w:afterAutospacing="0"/>
              <w:rPr>
                <w:sz w:val="20"/>
                <w:szCs w:val="20"/>
              </w:rPr>
            </w:pPr>
            <w:r>
              <w:rPr>
                <w:sz w:val="20"/>
                <w:szCs w:val="20"/>
              </w:rPr>
              <w:t>Net profit</w:t>
            </w:r>
          </w:p>
        </w:tc>
        <w:tc>
          <w:tcPr>
            <w:tcW w:w="50" w:type="pct"/>
            <w:shd w:val="clear" w:color="auto" w:fill="CCEEFF"/>
            <w:noWrap/>
            <w:vAlign w:val="center"/>
            <w:hideMark/>
          </w:tcPr>
          <w:p w14:paraId="31EB938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586B3E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0BB057F3" w14:textId="77777777" w:rsidR="00000000" w:rsidRDefault="00EB4933">
            <w:pPr>
              <w:jc w:val="right"/>
              <w:rPr>
                <w:rFonts w:eastAsia="Times New Roman"/>
                <w:sz w:val="20"/>
                <w:szCs w:val="20"/>
              </w:rPr>
            </w:pPr>
            <w:r>
              <w:rPr>
                <w:rFonts w:eastAsia="Times New Roman"/>
                <w:sz w:val="20"/>
                <w:szCs w:val="20"/>
              </w:rPr>
              <w:t>28,826</w:t>
            </w:r>
          </w:p>
        </w:tc>
        <w:tc>
          <w:tcPr>
            <w:tcW w:w="50" w:type="pct"/>
            <w:shd w:val="clear" w:color="auto" w:fill="CCEEFF"/>
            <w:noWrap/>
            <w:tcMar>
              <w:top w:w="0" w:type="dxa"/>
              <w:left w:w="0" w:type="dxa"/>
              <w:bottom w:w="45" w:type="dxa"/>
              <w:right w:w="0" w:type="dxa"/>
            </w:tcMar>
            <w:vAlign w:val="center"/>
            <w:hideMark/>
          </w:tcPr>
          <w:p w14:paraId="072AAD2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4109D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922FC5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2E380FF1" w14:textId="77777777" w:rsidR="00000000" w:rsidRDefault="00EB4933">
            <w:pPr>
              <w:jc w:val="right"/>
              <w:rPr>
                <w:rFonts w:eastAsia="Times New Roman"/>
                <w:sz w:val="20"/>
                <w:szCs w:val="20"/>
              </w:rPr>
            </w:pPr>
            <w:r>
              <w:rPr>
                <w:rFonts w:eastAsia="Times New Roman"/>
                <w:sz w:val="20"/>
                <w:szCs w:val="20"/>
              </w:rPr>
              <w:t>8,155</w:t>
            </w:r>
          </w:p>
        </w:tc>
        <w:tc>
          <w:tcPr>
            <w:tcW w:w="50" w:type="pct"/>
            <w:shd w:val="clear" w:color="auto" w:fill="CCEEFF"/>
            <w:noWrap/>
            <w:tcMar>
              <w:top w:w="0" w:type="dxa"/>
              <w:left w:w="0" w:type="dxa"/>
              <w:bottom w:w="45" w:type="dxa"/>
              <w:right w:w="0" w:type="dxa"/>
            </w:tcMar>
            <w:vAlign w:val="center"/>
            <w:hideMark/>
          </w:tcPr>
          <w:p w14:paraId="37C8651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DA392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7D08B2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76773127" w14:textId="77777777" w:rsidR="00000000" w:rsidRDefault="00EB4933">
            <w:pPr>
              <w:jc w:val="right"/>
              <w:rPr>
                <w:rFonts w:eastAsia="Times New Roman"/>
                <w:sz w:val="20"/>
                <w:szCs w:val="20"/>
              </w:rPr>
            </w:pPr>
            <w:r>
              <w:rPr>
                <w:rFonts w:eastAsia="Times New Roman"/>
                <w:sz w:val="20"/>
                <w:szCs w:val="20"/>
              </w:rPr>
              <w:t>58,616</w:t>
            </w:r>
          </w:p>
        </w:tc>
        <w:tc>
          <w:tcPr>
            <w:tcW w:w="50" w:type="pct"/>
            <w:shd w:val="clear" w:color="auto" w:fill="CCEEFF"/>
            <w:noWrap/>
            <w:tcMar>
              <w:top w:w="0" w:type="dxa"/>
              <w:left w:w="0" w:type="dxa"/>
              <w:bottom w:w="45" w:type="dxa"/>
              <w:right w:w="0" w:type="dxa"/>
            </w:tcMar>
            <w:vAlign w:val="center"/>
            <w:hideMark/>
          </w:tcPr>
          <w:p w14:paraId="55A5AB2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A3553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809610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2ADCCE12" w14:textId="77777777" w:rsidR="00000000" w:rsidRDefault="00EB4933">
            <w:pPr>
              <w:jc w:val="right"/>
              <w:rPr>
                <w:rFonts w:eastAsia="Times New Roman"/>
                <w:sz w:val="20"/>
                <w:szCs w:val="20"/>
              </w:rPr>
            </w:pPr>
            <w:r>
              <w:rPr>
                <w:rFonts w:eastAsia="Times New Roman"/>
                <w:sz w:val="20"/>
                <w:szCs w:val="20"/>
              </w:rPr>
              <w:t>8,419</w:t>
            </w:r>
          </w:p>
        </w:tc>
        <w:tc>
          <w:tcPr>
            <w:tcW w:w="50" w:type="pct"/>
            <w:shd w:val="clear" w:color="auto" w:fill="CCEEFF"/>
            <w:noWrap/>
            <w:tcMar>
              <w:top w:w="0" w:type="dxa"/>
              <w:left w:w="0" w:type="dxa"/>
              <w:bottom w:w="45" w:type="dxa"/>
              <w:right w:w="0" w:type="dxa"/>
            </w:tcMar>
            <w:vAlign w:val="center"/>
            <w:hideMark/>
          </w:tcPr>
          <w:p w14:paraId="73DA51AB" w14:textId="77777777" w:rsidR="00000000" w:rsidRDefault="00EB4933">
            <w:pPr>
              <w:pStyle w:val="NormalWeb"/>
              <w:spacing w:before="0" w:beforeAutospacing="0" w:after="0" w:afterAutospacing="0"/>
              <w:rPr>
                <w:sz w:val="20"/>
                <w:szCs w:val="20"/>
              </w:rPr>
            </w:pPr>
            <w:r>
              <w:rPr>
                <w:sz w:val="20"/>
                <w:szCs w:val="20"/>
              </w:rPr>
              <w:t> </w:t>
            </w:r>
          </w:p>
        </w:tc>
      </w:tr>
    </w:tbl>
    <w:p w14:paraId="42F62A7E" w14:textId="77777777" w:rsidR="00000000" w:rsidRDefault="00EB4933">
      <w:pPr>
        <w:pStyle w:val="NormalWeb"/>
        <w:spacing w:before="0" w:beforeAutospacing="0" w:after="0" w:afterAutospacing="0"/>
        <w:jc w:val="both"/>
        <w:divId w:val="98525094"/>
        <w:rPr>
          <w:sz w:val="20"/>
          <w:szCs w:val="20"/>
        </w:rPr>
      </w:pPr>
      <w:r>
        <w:rPr>
          <w:sz w:val="20"/>
          <w:szCs w:val="20"/>
        </w:rPr>
        <w:t>___________</w:t>
      </w:r>
    </w:p>
    <w:p w14:paraId="78C8F225" w14:textId="77777777" w:rsidR="00000000" w:rsidRDefault="00EB4933">
      <w:pPr>
        <w:pStyle w:val="NormalWeb"/>
        <w:spacing w:before="0" w:beforeAutospacing="0" w:after="0" w:afterAutospacing="0"/>
        <w:jc w:val="both"/>
        <w:divId w:val="98525094"/>
        <w:rPr>
          <w:sz w:val="20"/>
          <w:szCs w:val="20"/>
        </w:rPr>
      </w:pPr>
      <w:r>
        <w:rPr>
          <w:sz w:val="20"/>
          <w:szCs w:val="20"/>
        </w:rPr>
        <w:t>(1) Information has been restated in order to correct certain accounting errors. See Note 30 of Notes to the Consolidated Financial Statements</w:t>
      </w:r>
    </w:p>
    <w:p w14:paraId="4FFE757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FEE4CF2"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Profit attributable to owners of the Company and Non-controlling interests</w:t>
      </w:r>
    </w:p>
    <w:p w14:paraId="240AC88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CBB394F" w14:textId="77777777" w:rsidR="00000000" w:rsidRDefault="00EB4933">
      <w:pPr>
        <w:pStyle w:val="NormalWeb"/>
        <w:spacing w:before="0" w:beforeAutospacing="0" w:after="0" w:afterAutospacing="0"/>
        <w:ind w:firstLine="675"/>
        <w:jc w:val="both"/>
        <w:divId w:val="98525094"/>
        <w:rPr>
          <w:sz w:val="20"/>
          <w:szCs w:val="20"/>
        </w:rPr>
      </w:pPr>
      <w:r>
        <w:rPr>
          <w:sz w:val="20"/>
          <w:szCs w:val="20"/>
        </w:rPr>
        <w:t>Profit attributable to owners of the company represents 80% controlling interest of Chutian by us through the VIE arrangement. We are deemed to control 80% of Chutian and have rig</w:t>
      </w:r>
      <w:r>
        <w:rPr>
          <w:sz w:val="20"/>
          <w:szCs w:val="20"/>
        </w:rPr>
        <w:t>hts to consolidate only 80% of Chutian’s audited financial results, the remaining 20% non-controlling interests relates to 20% controlling interest of Hubei Daily Media Group.</w:t>
      </w:r>
    </w:p>
    <w:p w14:paraId="45925EDF"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83857F5" w14:textId="77777777">
        <w:trPr>
          <w:divId w:val="98525094"/>
          <w:trHeight w:val="225"/>
          <w:tblCellSpacing w:w="15" w:type="dxa"/>
        </w:trPr>
        <w:tc>
          <w:tcPr>
            <w:tcW w:w="0" w:type="auto"/>
            <w:vAlign w:val="center"/>
            <w:hideMark/>
          </w:tcPr>
          <w:p w14:paraId="1B4E5C51" w14:textId="77777777" w:rsidR="00000000" w:rsidRDefault="00EB4933">
            <w:pPr>
              <w:rPr>
                <w:rFonts w:eastAsia="Times New Roman"/>
                <w:sz w:val="20"/>
                <w:szCs w:val="20"/>
              </w:rPr>
            </w:pPr>
            <w:r>
              <w:rPr>
                <w:rFonts w:eastAsia="Times New Roman"/>
                <w:sz w:val="20"/>
                <w:szCs w:val="20"/>
              </w:rPr>
              <w:t> </w:t>
            </w:r>
          </w:p>
        </w:tc>
      </w:tr>
      <w:tr w:rsidR="00000000" w14:paraId="6C08DA85" w14:textId="77777777">
        <w:trPr>
          <w:divId w:val="98525094"/>
          <w:trHeight w:val="225"/>
          <w:tblCellSpacing w:w="15" w:type="dxa"/>
        </w:trPr>
        <w:tc>
          <w:tcPr>
            <w:tcW w:w="0" w:type="auto"/>
            <w:tcBorders>
              <w:bottom w:val="single" w:sz="6" w:space="0" w:color="000000"/>
            </w:tcBorders>
            <w:vAlign w:val="center"/>
            <w:hideMark/>
          </w:tcPr>
          <w:p w14:paraId="14932541" w14:textId="77777777" w:rsidR="00000000" w:rsidRDefault="00EB4933">
            <w:pPr>
              <w:jc w:val="center"/>
              <w:rPr>
                <w:rFonts w:eastAsia="Times New Roman"/>
                <w:sz w:val="20"/>
                <w:szCs w:val="20"/>
              </w:rPr>
            </w:pPr>
            <w:r>
              <w:rPr>
                <w:rFonts w:eastAsia="Times New Roman"/>
                <w:sz w:val="20"/>
                <w:szCs w:val="20"/>
              </w:rPr>
              <w:t>64</w:t>
            </w:r>
          </w:p>
        </w:tc>
      </w:tr>
      <w:tr w:rsidR="00000000" w14:paraId="581A450D" w14:textId="77777777">
        <w:trPr>
          <w:divId w:val="98525094"/>
          <w:trHeight w:val="225"/>
          <w:tblCellSpacing w:w="15" w:type="dxa"/>
        </w:trPr>
        <w:tc>
          <w:tcPr>
            <w:tcW w:w="0" w:type="auto"/>
            <w:vAlign w:val="center"/>
            <w:hideMark/>
          </w:tcPr>
          <w:p w14:paraId="2AB40B17" w14:textId="77777777" w:rsidR="00000000" w:rsidRDefault="00EB4933">
            <w:pPr>
              <w:rPr>
                <w:rFonts w:eastAsia="Times New Roman"/>
                <w:sz w:val="20"/>
                <w:szCs w:val="20"/>
              </w:rPr>
            </w:pPr>
          </w:p>
        </w:tc>
      </w:tr>
      <w:tr w:rsidR="00000000" w14:paraId="2DBD9619" w14:textId="77777777">
        <w:trPr>
          <w:divId w:val="98525094"/>
          <w:trHeight w:val="225"/>
          <w:tblCellSpacing w:w="15" w:type="dxa"/>
        </w:trPr>
        <w:tc>
          <w:tcPr>
            <w:tcW w:w="0" w:type="auto"/>
            <w:vAlign w:val="center"/>
            <w:hideMark/>
          </w:tcPr>
          <w:p w14:paraId="02D7D972" w14:textId="77777777" w:rsidR="00000000" w:rsidRDefault="00EB4933">
            <w:pPr>
              <w:rPr>
                <w:rFonts w:eastAsia="Times New Roman"/>
                <w:sz w:val="20"/>
                <w:szCs w:val="20"/>
              </w:rPr>
            </w:pPr>
            <w:hyperlink r:id="rId124" w:anchor="toc" w:history="1">
              <w:r>
                <w:rPr>
                  <w:rStyle w:val="Hyperlink"/>
                  <w:rFonts w:eastAsia="Times New Roman"/>
                  <w:i/>
                  <w:iCs/>
                  <w:sz w:val="20"/>
                  <w:szCs w:val="20"/>
                </w:rPr>
                <w:t>Table of Contents</w:t>
              </w:r>
            </w:hyperlink>
          </w:p>
        </w:tc>
      </w:tr>
    </w:tbl>
    <w:p w14:paraId="5D3412F3"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31C7EB44"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Compariso</w:t>
      </w:r>
      <w:r>
        <w:rPr>
          <w:rStyle w:val="Emphasis"/>
          <w:b/>
          <w:bCs/>
          <w:sz w:val="20"/>
          <w:szCs w:val="20"/>
        </w:rPr>
        <w:t>n of results of operations for the years ended December 31, 2019 and 2018</w:t>
      </w:r>
    </w:p>
    <w:p w14:paraId="5D99544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E426FE5"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Interest income on loans</w:t>
      </w:r>
    </w:p>
    <w:p w14:paraId="35CB911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D88E9BA"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Interest income on loans primarily consists of the accrued interest of Stage 3 credit-impaired loans. Accrued interest is the present value of the estimated future cash flows of credit-impaired loans expected to be recovered, discounted at the loan’s origi</w:t>
      </w:r>
      <w:r>
        <w:rPr>
          <w:sz w:val="20"/>
          <w:szCs w:val="20"/>
        </w:rPr>
        <w:t>nal effective interest rate. Interest income on loans decreased by RMB23.5 million ($3.4 million) or 16.6% from RMB141.9 million in 2018 to RMB118.4 million ($17.2 million) in 2019. The decrease was primarily attributable to the novation of loans receivabl</w:t>
      </w:r>
      <w:r>
        <w:rPr>
          <w:sz w:val="20"/>
          <w:szCs w:val="20"/>
        </w:rPr>
        <w:t>e to a related party, Hubei New Nature Investment Co., Ltd (“Hubei New Nature”), a company that is 80.8% owned by the Chairman and the Chief Executive Officer, Mr Ricky Qizhi Wei, to offset payable to Hubei New Nature, which reduced loans receivable by RMB</w:t>
      </w:r>
      <w:r>
        <w:rPr>
          <w:sz w:val="20"/>
          <w:szCs w:val="20"/>
        </w:rPr>
        <w:t xml:space="preserve">37.1 million and, consequently, reduced interest income on loans. </w:t>
      </w:r>
    </w:p>
    <w:p w14:paraId="687B796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3EC8542"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Interest expenses on loans</w:t>
      </w:r>
    </w:p>
    <w:p w14:paraId="03C11AF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233E4A6"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Interest expenses on loans decreased by RMB6.6 million ($1.0 million) or 25.0%. The decrease was primarily attributed to the decrease in average borrowings fr</w:t>
      </w:r>
      <w:r>
        <w:rPr>
          <w:sz w:val="20"/>
          <w:szCs w:val="20"/>
        </w:rPr>
        <w:t>om RMB213.4 million in 2018 to RMB186.7 million ($26.8 million) in 2019, which resulted in a decrease in RMB3.0 million ($0.4 million) in interest expenses on loans. Also, the decrease was attributed to the decrease in effective interest rate on borrowings</w:t>
      </w:r>
      <w:r>
        <w:rPr>
          <w:sz w:val="20"/>
          <w:szCs w:val="20"/>
        </w:rPr>
        <w:t xml:space="preserve"> from 11.8% in 2018 to 10.6% in 2019, which resulted in a decrease in RMB3.6 million ($0.5 million) in interest expenses on loans.</w:t>
      </w:r>
    </w:p>
    <w:p w14:paraId="3BD77E4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5138E88"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Business related taxes and surcharges</w:t>
      </w:r>
    </w:p>
    <w:p w14:paraId="6A4FC81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1BC7F57" w14:textId="77777777" w:rsidR="00000000" w:rsidRDefault="00EB4933">
      <w:pPr>
        <w:pStyle w:val="NormalWeb"/>
        <w:spacing w:before="0" w:beforeAutospacing="0" w:after="0" w:afterAutospacing="0"/>
        <w:ind w:firstLine="675"/>
        <w:jc w:val="both"/>
        <w:divId w:val="98525094"/>
        <w:rPr>
          <w:sz w:val="20"/>
          <w:szCs w:val="20"/>
        </w:rPr>
      </w:pPr>
      <w:r>
        <w:rPr>
          <w:sz w:val="20"/>
          <w:szCs w:val="20"/>
        </w:rPr>
        <w:t>Business related taxes and surcharges decreased by RMB0.2 million ($22,300) or 26.3</w:t>
      </w:r>
      <w:r>
        <w:rPr>
          <w:sz w:val="20"/>
          <w:szCs w:val="20"/>
        </w:rPr>
        <w:t>% from RMB0.6 million in 2018 to RMB0.4 million ($62,000) in 2019. The decrease was mainly attributable to the decrease in cash receipt on interest income.</w:t>
      </w:r>
    </w:p>
    <w:p w14:paraId="076DE3A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DC45118"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lastRenderedPageBreak/>
        <w:t>Credit impairment losses</w:t>
      </w:r>
    </w:p>
    <w:p w14:paraId="0F67D91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E010DBF"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maintain the allowance for loan losses, as presented in our financia</w:t>
      </w:r>
      <w:r>
        <w:rPr>
          <w:sz w:val="20"/>
          <w:szCs w:val="20"/>
        </w:rPr>
        <w:t>l statements, at a level we consider to be reasonable by management to absorb probable losses inherent in the loan portfolio as of each balance sheet date. Our management evaluates the adequacy of the allowance for loan losses on a regular basis or more of</w:t>
      </w:r>
      <w:r>
        <w:rPr>
          <w:sz w:val="20"/>
          <w:szCs w:val="20"/>
        </w:rPr>
        <w:t>ten as necessary. The allowance is based on our past loan loss history, known and inherent risks in the portfolio, adverse situations that may affect the borrower’s ability to repay, the estimated value of any underlying collateral, composition of the loan</w:t>
      </w:r>
      <w:r>
        <w:rPr>
          <w:sz w:val="20"/>
          <w:szCs w:val="20"/>
        </w:rPr>
        <w:t xml:space="preserve"> portfolio, current economic conditions and other relevant factors. This evaluation is inherently subjective as it requires material estimates that may be susceptible to significant revision as more information becomes available.</w:t>
      </w:r>
    </w:p>
    <w:p w14:paraId="2979148E"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5165FF5" w14:textId="77777777" w:rsidR="00000000" w:rsidRDefault="00EB4933">
      <w:pPr>
        <w:pStyle w:val="NormalWeb"/>
        <w:spacing w:before="0" w:beforeAutospacing="0" w:after="0" w:afterAutospacing="0"/>
        <w:ind w:firstLine="675"/>
        <w:jc w:val="both"/>
        <w:divId w:val="98525094"/>
        <w:rPr>
          <w:sz w:val="20"/>
          <w:szCs w:val="20"/>
        </w:rPr>
      </w:pPr>
      <w:r>
        <w:rPr>
          <w:sz w:val="20"/>
          <w:szCs w:val="20"/>
        </w:rPr>
        <w:t>Allowance for loan losse</w:t>
      </w:r>
      <w:r>
        <w:rPr>
          <w:sz w:val="20"/>
          <w:szCs w:val="20"/>
        </w:rPr>
        <w:t>s decreased by RMB42.2 million ($6.1 million) or 63.1% from RMB66.9 million in 2018 to RMB24.7 million ($3.5 million) in 2019. The economic and business environment for small and medium enterprises remained very challenging. Most of our loan customers were</w:t>
      </w:r>
      <w:r>
        <w:rPr>
          <w:sz w:val="20"/>
          <w:szCs w:val="20"/>
        </w:rPr>
        <w:t xml:space="preserve"> experiencing financial difficulty, additional allowance for loan losses of RMB24.7 million ($3.5 million) were provided in 2019. We assessed credit loss allowance on these credit-impaired loans based on an assessment of the recoverable cash flows under a </w:t>
      </w:r>
      <w:r>
        <w:rPr>
          <w:sz w:val="20"/>
          <w:szCs w:val="20"/>
        </w:rPr>
        <w:t>range of scenarios, including the realization of any collateral held where appropriate. The loss provisions held represent the difference between the present value of the cash flows expected to be recovered, discounted at the instrument’s original effectiv</w:t>
      </w:r>
      <w:r>
        <w:rPr>
          <w:sz w:val="20"/>
          <w:szCs w:val="20"/>
        </w:rPr>
        <w:t>e interest rate, and the gross carrying value of the instrument prior to any credit impairment.</w:t>
      </w:r>
    </w:p>
    <w:p w14:paraId="666C01B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88A7670"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Other interest and other income</w:t>
      </w:r>
    </w:p>
    <w:p w14:paraId="52EE7FE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2AE8DC0" w14:textId="77777777" w:rsidR="00000000" w:rsidRDefault="00EB4933">
      <w:pPr>
        <w:pStyle w:val="NormalWeb"/>
        <w:spacing w:before="0" w:beforeAutospacing="0" w:after="0" w:afterAutospacing="0"/>
        <w:ind w:firstLine="675"/>
        <w:jc w:val="both"/>
        <w:divId w:val="98525094"/>
        <w:rPr>
          <w:sz w:val="20"/>
          <w:szCs w:val="20"/>
        </w:rPr>
      </w:pPr>
      <w:r>
        <w:rPr>
          <w:sz w:val="20"/>
          <w:szCs w:val="20"/>
        </w:rPr>
        <w:t>Other interest and other income decreased by RMB0.2 million ($38,000) or 60.5% from RMB0.4 million in 2018 to RMB0.2 million</w:t>
      </w:r>
      <w:r>
        <w:rPr>
          <w:sz w:val="20"/>
          <w:szCs w:val="20"/>
        </w:rPr>
        <w:t xml:space="preserve"> ($25,000) in 2019. The decrease was primarily attributable to decrease in interest income on bank deposits.</w:t>
      </w:r>
    </w:p>
    <w:p w14:paraId="1D80D2BF"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21AD2F7" w14:textId="77777777">
        <w:trPr>
          <w:divId w:val="98525094"/>
          <w:trHeight w:val="225"/>
          <w:tblCellSpacing w:w="15" w:type="dxa"/>
        </w:trPr>
        <w:tc>
          <w:tcPr>
            <w:tcW w:w="0" w:type="auto"/>
            <w:vAlign w:val="center"/>
            <w:hideMark/>
          </w:tcPr>
          <w:p w14:paraId="7221B49D" w14:textId="77777777" w:rsidR="00000000" w:rsidRDefault="00EB4933">
            <w:pPr>
              <w:rPr>
                <w:rFonts w:eastAsia="Times New Roman"/>
                <w:sz w:val="20"/>
                <w:szCs w:val="20"/>
              </w:rPr>
            </w:pPr>
            <w:r>
              <w:rPr>
                <w:rFonts w:eastAsia="Times New Roman"/>
                <w:sz w:val="20"/>
                <w:szCs w:val="20"/>
              </w:rPr>
              <w:t> </w:t>
            </w:r>
          </w:p>
        </w:tc>
      </w:tr>
      <w:tr w:rsidR="00000000" w14:paraId="0F0B2411" w14:textId="77777777">
        <w:trPr>
          <w:divId w:val="98525094"/>
          <w:trHeight w:val="225"/>
          <w:tblCellSpacing w:w="15" w:type="dxa"/>
        </w:trPr>
        <w:tc>
          <w:tcPr>
            <w:tcW w:w="0" w:type="auto"/>
            <w:tcBorders>
              <w:bottom w:val="single" w:sz="6" w:space="0" w:color="000000"/>
            </w:tcBorders>
            <w:vAlign w:val="center"/>
            <w:hideMark/>
          </w:tcPr>
          <w:p w14:paraId="2A1BFECF" w14:textId="77777777" w:rsidR="00000000" w:rsidRDefault="00EB4933">
            <w:pPr>
              <w:jc w:val="center"/>
              <w:rPr>
                <w:rFonts w:eastAsia="Times New Roman"/>
                <w:sz w:val="20"/>
                <w:szCs w:val="20"/>
              </w:rPr>
            </w:pPr>
            <w:r>
              <w:rPr>
                <w:rFonts w:eastAsia="Times New Roman"/>
                <w:sz w:val="20"/>
                <w:szCs w:val="20"/>
              </w:rPr>
              <w:t>65</w:t>
            </w:r>
          </w:p>
        </w:tc>
      </w:tr>
      <w:tr w:rsidR="00000000" w14:paraId="1ACFA326" w14:textId="77777777">
        <w:trPr>
          <w:divId w:val="98525094"/>
          <w:trHeight w:val="225"/>
          <w:tblCellSpacing w:w="15" w:type="dxa"/>
        </w:trPr>
        <w:tc>
          <w:tcPr>
            <w:tcW w:w="0" w:type="auto"/>
            <w:vAlign w:val="center"/>
            <w:hideMark/>
          </w:tcPr>
          <w:p w14:paraId="397363FD" w14:textId="77777777" w:rsidR="00000000" w:rsidRDefault="00EB4933">
            <w:pPr>
              <w:rPr>
                <w:rFonts w:eastAsia="Times New Roman"/>
                <w:sz w:val="20"/>
                <w:szCs w:val="20"/>
              </w:rPr>
            </w:pPr>
          </w:p>
        </w:tc>
      </w:tr>
      <w:tr w:rsidR="00000000" w14:paraId="2469A211" w14:textId="77777777">
        <w:trPr>
          <w:divId w:val="98525094"/>
          <w:trHeight w:val="225"/>
          <w:tblCellSpacing w:w="15" w:type="dxa"/>
        </w:trPr>
        <w:tc>
          <w:tcPr>
            <w:tcW w:w="0" w:type="auto"/>
            <w:vAlign w:val="center"/>
            <w:hideMark/>
          </w:tcPr>
          <w:p w14:paraId="2AB2B229" w14:textId="77777777" w:rsidR="00000000" w:rsidRDefault="00EB4933">
            <w:pPr>
              <w:rPr>
                <w:rFonts w:eastAsia="Times New Roman"/>
                <w:sz w:val="20"/>
                <w:szCs w:val="20"/>
              </w:rPr>
            </w:pPr>
            <w:hyperlink r:id="rId125" w:anchor="toc" w:history="1">
              <w:r>
                <w:rPr>
                  <w:rStyle w:val="Hyperlink"/>
                  <w:rFonts w:eastAsia="Times New Roman"/>
                  <w:i/>
                  <w:iCs/>
                  <w:sz w:val="20"/>
                  <w:szCs w:val="20"/>
                </w:rPr>
                <w:t>Table of Contents</w:t>
              </w:r>
            </w:hyperlink>
          </w:p>
        </w:tc>
      </w:tr>
    </w:tbl>
    <w:p w14:paraId="037B317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8260437"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Sales and marketing expenses</w:t>
      </w:r>
    </w:p>
    <w:p w14:paraId="557C853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50FD458" w14:textId="77777777" w:rsidR="00000000" w:rsidRDefault="00EB4933">
      <w:pPr>
        <w:pStyle w:val="NormalWeb"/>
        <w:spacing w:before="0" w:beforeAutospacing="0" w:after="0" w:afterAutospacing="0"/>
        <w:ind w:firstLine="675"/>
        <w:jc w:val="both"/>
        <w:divId w:val="98525094"/>
        <w:rPr>
          <w:sz w:val="20"/>
          <w:szCs w:val="20"/>
        </w:rPr>
      </w:pPr>
      <w:r>
        <w:rPr>
          <w:sz w:val="20"/>
          <w:szCs w:val="20"/>
        </w:rPr>
        <w:t>Sales and marketing expenses decreased by RMB0.1 million ($13,800) or 5.4% from RMB1.8 million in 2018 to RMB1.7 million ($0.2 million) in 2019. The decrease was primarily attributable to the cost control initiative which reduced sales and marketing expens</w:t>
      </w:r>
      <w:r>
        <w:rPr>
          <w:sz w:val="20"/>
          <w:szCs w:val="20"/>
        </w:rPr>
        <w:t>es.</w:t>
      </w:r>
    </w:p>
    <w:p w14:paraId="6B51F86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2B274DC"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General and administrative expenses</w:t>
      </w:r>
    </w:p>
    <w:p w14:paraId="5339EAA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FEC9EA6" w14:textId="77777777" w:rsidR="00000000" w:rsidRDefault="00EB4933">
      <w:pPr>
        <w:pStyle w:val="NormalWeb"/>
        <w:spacing w:before="0" w:beforeAutospacing="0" w:after="0" w:afterAutospacing="0"/>
        <w:ind w:firstLine="675"/>
        <w:jc w:val="both"/>
        <w:divId w:val="98525094"/>
        <w:rPr>
          <w:sz w:val="20"/>
          <w:szCs w:val="20"/>
        </w:rPr>
      </w:pPr>
      <w:r>
        <w:rPr>
          <w:sz w:val="20"/>
          <w:szCs w:val="20"/>
        </w:rPr>
        <w:t>General and administrative expenses decreased by RMB7.1 million ($1.0 million) or 34.8% from RMB20.4 million in 2018 to RMB13.3 million ($1.9 million) in 2019. The increase was primarily attributable to the reduc</w:t>
      </w:r>
      <w:r>
        <w:rPr>
          <w:sz w:val="20"/>
          <w:szCs w:val="20"/>
        </w:rPr>
        <w:t>tion of headcounts.</w:t>
      </w:r>
    </w:p>
    <w:p w14:paraId="638F422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9EA027A"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Income tax expenses</w:t>
      </w:r>
    </w:p>
    <w:p w14:paraId="716DC52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B316A46"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income tax expenses decreased by RMB18.0 million ($2.6 million) or 100.0% from RMB18.0 million in 2018 to nil in 2019. The decrease was primarily attributed to accrued interest of Stage 3 credit-impaired loans are not taxable income for tax purposes.</w:t>
      </w:r>
    </w:p>
    <w:p w14:paraId="51C6B1B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E9C4206"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Net profit</w:t>
      </w:r>
    </w:p>
    <w:p w14:paraId="5B9DAEC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B46F6E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As a result of the foregoing, our net profit increased by RMB50.5 million ($7.3 million) or 618.8% from RMB8.2 million in 2018 to RMB58.6 million ($8.5 million) in 2019. </w:t>
      </w:r>
    </w:p>
    <w:p w14:paraId="7C7A403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8FDC748"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 xml:space="preserve">Comparison of results of operations for the years ended December 31, </w:t>
      </w:r>
      <w:r>
        <w:rPr>
          <w:rStyle w:val="Emphasis"/>
          <w:b/>
          <w:bCs/>
          <w:sz w:val="20"/>
          <w:szCs w:val="20"/>
        </w:rPr>
        <w:t>2018 and 2017</w:t>
      </w:r>
    </w:p>
    <w:p w14:paraId="3AD2FE9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B7D637C"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lastRenderedPageBreak/>
        <w:t>Interest income on loans</w:t>
      </w:r>
    </w:p>
    <w:p w14:paraId="245E5F3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377B2A5"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interest income on loans increased by RMB22.2 million or 18.6% from RMB119.6 million in 2017 to RMB141.9 million in 2018. The increase was primarily attributable to increase in effective interest rate from 20.</w:t>
      </w:r>
      <w:r>
        <w:rPr>
          <w:sz w:val="20"/>
          <w:szCs w:val="20"/>
        </w:rPr>
        <w:t>4% in 2017 to 24.3% in 2018, which resulted in a RMB22.9 million increase in interest income on loans. The increase was partially offset by a decrease in average outstanding loan during the year from RMB585.7 million in 2017 to RMB582.7 million in 2018, wh</w:t>
      </w:r>
      <w:r>
        <w:rPr>
          <w:sz w:val="20"/>
          <w:szCs w:val="20"/>
        </w:rPr>
        <w:t>ich resulted in a RMB0.6 million decrease in interest income on loans.</w:t>
      </w:r>
    </w:p>
    <w:p w14:paraId="320D52D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42FAEFD"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Interest expenses on loans</w:t>
      </w:r>
    </w:p>
    <w:p w14:paraId="7458F22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34FB97D"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Interest expenses on loans decreased by RMB7.3 million or 21.7% from RMB33.8 million in 2017 to RMB26.5 million in 2018. The decrease was mainly attribute</w:t>
      </w:r>
      <w:r>
        <w:rPr>
          <w:sz w:val="20"/>
          <w:szCs w:val="20"/>
        </w:rPr>
        <w:t xml:space="preserve">d to decrease in effective interest rate on borrowings from 15.9% in 2017 to 11.8% in 2018, which resulted in a RMB9.1 million decrease in interest expenses on loans. Further, the decrease was attributed to the decrease in total borrowings during the year </w:t>
      </w:r>
      <w:r>
        <w:rPr>
          <w:sz w:val="20"/>
          <w:szCs w:val="20"/>
        </w:rPr>
        <w:t>from RMB641.4 million in 2017 to RMB623.0 million in 2018, which resulted in a decrease in RMB0.6 million in interest expenses on borrowings. The decrease was partially offset by an increase in average duration of the borrowings from approximately 119 days</w:t>
      </w:r>
      <w:r>
        <w:rPr>
          <w:sz w:val="20"/>
          <w:szCs w:val="20"/>
        </w:rPr>
        <w:t xml:space="preserve"> in 2017 to approximately 130 days in 2018, which resulted in a RMB2.4 million increase in interest expenses on loans.</w:t>
      </w:r>
    </w:p>
    <w:p w14:paraId="748B9DB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B2F57BE"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Business related taxes and surcharges</w:t>
      </w:r>
    </w:p>
    <w:p w14:paraId="5245E61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E981668"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Business related taxes and surcharges decreased by RMB0.1 million or 12.5% from RMB0.7 million </w:t>
      </w:r>
      <w:r>
        <w:rPr>
          <w:sz w:val="20"/>
          <w:szCs w:val="20"/>
        </w:rPr>
        <w:t>in 2017 to RMB0.6 million in 2018. The decrease was mainly attributable to the decrease in cash receipt on interest income.</w:t>
      </w:r>
    </w:p>
    <w:p w14:paraId="0BA073C5"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EE7ECC0" w14:textId="77777777">
        <w:trPr>
          <w:divId w:val="98525094"/>
          <w:trHeight w:val="225"/>
          <w:tblCellSpacing w:w="15" w:type="dxa"/>
        </w:trPr>
        <w:tc>
          <w:tcPr>
            <w:tcW w:w="0" w:type="auto"/>
            <w:vAlign w:val="center"/>
            <w:hideMark/>
          </w:tcPr>
          <w:p w14:paraId="2585F3D5" w14:textId="77777777" w:rsidR="00000000" w:rsidRDefault="00EB4933">
            <w:pPr>
              <w:rPr>
                <w:rFonts w:eastAsia="Times New Roman"/>
                <w:sz w:val="20"/>
                <w:szCs w:val="20"/>
              </w:rPr>
            </w:pPr>
            <w:r>
              <w:rPr>
                <w:rFonts w:eastAsia="Times New Roman"/>
                <w:sz w:val="20"/>
                <w:szCs w:val="20"/>
              </w:rPr>
              <w:t> </w:t>
            </w:r>
          </w:p>
        </w:tc>
      </w:tr>
      <w:tr w:rsidR="00000000" w14:paraId="354DC2C4" w14:textId="77777777">
        <w:trPr>
          <w:divId w:val="98525094"/>
          <w:trHeight w:val="225"/>
          <w:tblCellSpacing w:w="15" w:type="dxa"/>
        </w:trPr>
        <w:tc>
          <w:tcPr>
            <w:tcW w:w="0" w:type="auto"/>
            <w:tcBorders>
              <w:bottom w:val="single" w:sz="6" w:space="0" w:color="000000"/>
            </w:tcBorders>
            <w:vAlign w:val="center"/>
            <w:hideMark/>
          </w:tcPr>
          <w:p w14:paraId="42724855" w14:textId="77777777" w:rsidR="00000000" w:rsidRDefault="00EB4933">
            <w:pPr>
              <w:jc w:val="center"/>
              <w:rPr>
                <w:rFonts w:eastAsia="Times New Roman"/>
                <w:sz w:val="20"/>
                <w:szCs w:val="20"/>
              </w:rPr>
            </w:pPr>
            <w:r>
              <w:rPr>
                <w:rFonts w:eastAsia="Times New Roman"/>
                <w:sz w:val="20"/>
                <w:szCs w:val="20"/>
              </w:rPr>
              <w:t>66</w:t>
            </w:r>
          </w:p>
        </w:tc>
      </w:tr>
      <w:tr w:rsidR="00000000" w14:paraId="3BCF7970" w14:textId="77777777">
        <w:trPr>
          <w:divId w:val="98525094"/>
          <w:trHeight w:val="225"/>
          <w:tblCellSpacing w:w="15" w:type="dxa"/>
        </w:trPr>
        <w:tc>
          <w:tcPr>
            <w:tcW w:w="0" w:type="auto"/>
            <w:vAlign w:val="center"/>
            <w:hideMark/>
          </w:tcPr>
          <w:p w14:paraId="0335A389" w14:textId="77777777" w:rsidR="00000000" w:rsidRDefault="00EB4933">
            <w:pPr>
              <w:rPr>
                <w:rFonts w:eastAsia="Times New Roman"/>
                <w:sz w:val="20"/>
                <w:szCs w:val="20"/>
              </w:rPr>
            </w:pPr>
          </w:p>
        </w:tc>
      </w:tr>
      <w:tr w:rsidR="00000000" w14:paraId="45768FD8" w14:textId="77777777">
        <w:trPr>
          <w:divId w:val="98525094"/>
          <w:trHeight w:val="225"/>
          <w:tblCellSpacing w:w="15" w:type="dxa"/>
        </w:trPr>
        <w:tc>
          <w:tcPr>
            <w:tcW w:w="0" w:type="auto"/>
            <w:vAlign w:val="center"/>
            <w:hideMark/>
          </w:tcPr>
          <w:p w14:paraId="2172A026" w14:textId="77777777" w:rsidR="00000000" w:rsidRDefault="00EB4933">
            <w:pPr>
              <w:rPr>
                <w:rFonts w:eastAsia="Times New Roman"/>
                <w:sz w:val="20"/>
                <w:szCs w:val="20"/>
              </w:rPr>
            </w:pPr>
            <w:hyperlink r:id="rId126" w:anchor="toc" w:history="1">
              <w:r>
                <w:rPr>
                  <w:rStyle w:val="Hyperlink"/>
                  <w:rFonts w:eastAsia="Times New Roman"/>
                  <w:i/>
                  <w:iCs/>
                  <w:sz w:val="20"/>
                  <w:szCs w:val="20"/>
                </w:rPr>
                <w:t>Table of Contents</w:t>
              </w:r>
            </w:hyperlink>
          </w:p>
        </w:tc>
      </w:tr>
    </w:tbl>
    <w:p w14:paraId="70793A97"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75C9ACFC"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Credit impairment losses</w:t>
      </w:r>
    </w:p>
    <w:p w14:paraId="54FE42B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953755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We maintain the allowance for loan losses, as presented in our financial statements, at a level we consider to be reasonable by management to absorb probable losses inherent in the loan portfolio as of each balance sheet date. Our management evaluates the </w:t>
      </w:r>
      <w:r>
        <w:rPr>
          <w:sz w:val="20"/>
          <w:szCs w:val="20"/>
        </w:rPr>
        <w:t>adequacy of the allowance for loan losses on a regular basis or more often as necessary. The allowance is based on our past loan loss history, known and inherent risks in the portfolio, adverse situations that may affect the borrower’s ability to repay, th</w:t>
      </w:r>
      <w:r>
        <w:rPr>
          <w:sz w:val="20"/>
          <w:szCs w:val="20"/>
        </w:rPr>
        <w:t>e estimated value of any underlying collateral, composition of the loan portfolio, current economic conditions and other relevant factors. This evaluation is inherently subjective as it requires material estimates that may be susceptible to significant rev</w:t>
      </w:r>
      <w:r>
        <w:rPr>
          <w:sz w:val="20"/>
          <w:szCs w:val="20"/>
        </w:rPr>
        <w:t>ision as more information becomes available.</w:t>
      </w:r>
    </w:p>
    <w:p w14:paraId="51C8C61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E656C5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Allowance for loan losses increased by RMB63.3 million or 1,768.8% from RMB3.6 million in 2017 to RMB66.9 million in 2018. The increase was primarily attributable to increase in credit loss allowance for loan </w:t>
      </w:r>
      <w:r>
        <w:rPr>
          <w:sz w:val="20"/>
          <w:szCs w:val="20"/>
        </w:rPr>
        <w:t>receivable due to collectability issues with certain loans. Although PRC’s year-on-year Gross Domestic Product growth reached 6.6 percent in 2018, the economic and business environment for small and medium enterprises were very challenging. As a result, ce</w:t>
      </w:r>
      <w:r>
        <w:rPr>
          <w:sz w:val="20"/>
          <w:szCs w:val="20"/>
        </w:rPr>
        <w:t>rtain of our loan customers were experiencing financial difficulty, RMB698.5 million of our loan were credit impaired. We assessed credit loss allowance on these credit-impaired loans based on an assessment of the recoverable cash flows under a range of sc</w:t>
      </w:r>
      <w:r>
        <w:rPr>
          <w:sz w:val="20"/>
          <w:szCs w:val="20"/>
        </w:rPr>
        <w:t xml:space="preserve">enarios, including the realization of any collateral held where appropriate. The loss provisions held represent the difference between the present value of the cash flows expected to be recovered, discounted at the instrument’s original effective interest </w:t>
      </w:r>
      <w:r>
        <w:rPr>
          <w:sz w:val="20"/>
          <w:szCs w:val="20"/>
        </w:rPr>
        <w:t>rate, and the gross carrying value of the instrument prior to any credit impairment.</w:t>
      </w:r>
    </w:p>
    <w:p w14:paraId="33FA916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EA94562"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Other interest and other income</w:t>
      </w:r>
    </w:p>
    <w:p w14:paraId="2ED78B1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DFF6D3D" w14:textId="77777777" w:rsidR="00000000" w:rsidRDefault="00EB4933">
      <w:pPr>
        <w:pStyle w:val="NormalWeb"/>
        <w:spacing w:before="0" w:beforeAutospacing="0" w:after="0" w:afterAutospacing="0"/>
        <w:ind w:firstLine="675"/>
        <w:jc w:val="both"/>
        <w:divId w:val="98525094"/>
        <w:rPr>
          <w:sz w:val="20"/>
          <w:szCs w:val="20"/>
        </w:rPr>
      </w:pPr>
      <w:r>
        <w:rPr>
          <w:sz w:val="20"/>
          <w:szCs w:val="20"/>
        </w:rPr>
        <w:t>Other interest and other income decreased by RMB0.4 million or 46.3% from RMB0.8 million in 2017 to RMB0.4 million in 2018. The decreas</w:t>
      </w:r>
      <w:r>
        <w:rPr>
          <w:sz w:val="20"/>
          <w:szCs w:val="20"/>
        </w:rPr>
        <w:t>e was primarily attributable to decrease in interest income on bank deposits.</w:t>
      </w:r>
    </w:p>
    <w:p w14:paraId="6B0E710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4124E3E"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lastRenderedPageBreak/>
        <w:t>Sales and marketing expenses</w:t>
      </w:r>
    </w:p>
    <w:p w14:paraId="6D50656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04E37AB" w14:textId="77777777" w:rsidR="00000000" w:rsidRDefault="00EB4933">
      <w:pPr>
        <w:pStyle w:val="NormalWeb"/>
        <w:spacing w:before="0" w:beforeAutospacing="0" w:after="0" w:afterAutospacing="0"/>
        <w:ind w:firstLine="675"/>
        <w:jc w:val="both"/>
        <w:divId w:val="98525094"/>
        <w:rPr>
          <w:sz w:val="20"/>
          <w:szCs w:val="20"/>
        </w:rPr>
      </w:pPr>
      <w:r>
        <w:rPr>
          <w:sz w:val="20"/>
          <w:szCs w:val="20"/>
        </w:rPr>
        <w:t>Sales and marketing expenses decreased by RMB1.3 million or 42.8% from RMB3.1 million in 2017 to RMB1.8 million in 2018. The decrease was primarily attributable to the cost control initiative which reduced sales and marketing expenses.</w:t>
      </w:r>
    </w:p>
    <w:p w14:paraId="13BA77A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38D4E61"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General and administrative expenses</w:t>
      </w:r>
    </w:p>
    <w:p w14:paraId="0F04E41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9AEFBC7" w14:textId="77777777" w:rsidR="00000000" w:rsidRDefault="00EB4933">
      <w:pPr>
        <w:pStyle w:val="NormalWeb"/>
        <w:spacing w:before="0" w:beforeAutospacing="0" w:after="0" w:afterAutospacing="0"/>
        <w:ind w:firstLine="675"/>
        <w:jc w:val="both"/>
        <w:divId w:val="98525094"/>
        <w:rPr>
          <w:sz w:val="20"/>
          <w:szCs w:val="20"/>
        </w:rPr>
      </w:pPr>
      <w:r>
        <w:rPr>
          <w:sz w:val="20"/>
          <w:szCs w:val="20"/>
        </w:rPr>
        <w:t>General and administrative expenses decreased by RMB14.5 million or 41.6% from RMB34.9 million in 2017 to RMB20.4 million in 2018. The decrease was primarily attributable to the decrease in legal, consulting and profes</w:t>
      </w:r>
      <w:r>
        <w:rPr>
          <w:sz w:val="20"/>
          <w:szCs w:val="20"/>
        </w:rPr>
        <w:t>sional expenses for the listing initiative in 2017.</w:t>
      </w:r>
    </w:p>
    <w:p w14:paraId="58FDEEB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0BAB746"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Income tax expenses</w:t>
      </w:r>
    </w:p>
    <w:p w14:paraId="3615AA0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828D82F"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income tax expenses increased by RMB2.4 million or 16.0% from RMB15.6 million in 2017 to RMB18.0 million in 2018. The increase was primarily attributed to higher expenses not d</w:t>
      </w:r>
      <w:r>
        <w:rPr>
          <w:sz w:val="20"/>
          <w:szCs w:val="20"/>
        </w:rPr>
        <w:t>eductible for tax purposes in 2018 as compared to 2017.</w:t>
      </w:r>
    </w:p>
    <w:p w14:paraId="51FA76C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0AB0211"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Net profit</w:t>
      </w:r>
    </w:p>
    <w:p w14:paraId="0B7AF6E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75DF221"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a result of the foregoing, our net profit decreased by RMB20.6 million or 71.7% from RMB28.8 million in 2017 to RMB8.2 million in 2018. The decrease was primarily attributed to the s</w:t>
      </w:r>
      <w:r>
        <w:rPr>
          <w:sz w:val="20"/>
          <w:szCs w:val="20"/>
        </w:rPr>
        <w:t>ignificant increase in credit impairment losses, as discussed above.</w:t>
      </w:r>
    </w:p>
    <w:p w14:paraId="3A1E8E0B"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54D3063" w14:textId="77777777">
        <w:trPr>
          <w:divId w:val="98525094"/>
          <w:trHeight w:val="225"/>
          <w:tblCellSpacing w:w="15" w:type="dxa"/>
        </w:trPr>
        <w:tc>
          <w:tcPr>
            <w:tcW w:w="0" w:type="auto"/>
            <w:vAlign w:val="center"/>
            <w:hideMark/>
          </w:tcPr>
          <w:p w14:paraId="413BFC5C" w14:textId="77777777" w:rsidR="00000000" w:rsidRDefault="00EB4933">
            <w:pPr>
              <w:rPr>
                <w:rFonts w:eastAsia="Times New Roman"/>
                <w:sz w:val="20"/>
                <w:szCs w:val="20"/>
              </w:rPr>
            </w:pPr>
            <w:r>
              <w:rPr>
                <w:rFonts w:eastAsia="Times New Roman"/>
                <w:sz w:val="20"/>
                <w:szCs w:val="20"/>
              </w:rPr>
              <w:t> </w:t>
            </w:r>
          </w:p>
        </w:tc>
      </w:tr>
      <w:tr w:rsidR="00000000" w14:paraId="337053D7" w14:textId="77777777">
        <w:trPr>
          <w:divId w:val="98525094"/>
          <w:trHeight w:val="225"/>
          <w:tblCellSpacing w:w="15" w:type="dxa"/>
        </w:trPr>
        <w:tc>
          <w:tcPr>
            <w:tcW w:w="0" w:type="auto"/>
            <w:tcBorders>
              <w:bottom w:val="single" w:sz="6" w:space="0" w:color="000000"/>
            </w:tcBorders>
            <w:vAlign w:val="center"/>
            <w:hideMark/>
          </w:tcPr>
          <w:p w14:paraId="6D460D12" w14:textId="77777777" w:rsidR="00000000" w:rsidRDefault="00EB4933">
            <w:pPr>
              <w:jc w:val="center"/>
              <w:rPr>
                <w:rFonts w:eastAsia="Times New Roman"/>
                <w:sz w:val="20"/>
                <w:szCs w:val="20"/>
              </w:rPr>
            </w:pPr>
            <w:r>
              <w:rPr>
                <w:rFonts w:eastAsia="Times New Roman"/>
                <w:sz w:val="20"/>
                <w:szCs w:val="20"/>
              </w:rPr>
              <w:t>67</w:t>
            </w:r>
          </w:p>
        </w:tc>
      </w:tr>
      <w:tr w:rsidR="00000000" w14:paraId="67A877EE" w14:textId="77777777">
        <w:trPr>
          <w:divId w:val="98525094"/>
          <w:trHeight w:val="225"/>
          <w:tblCellSpacing w:w="15" w:type="dxa"/>
        </w:trPr>
        <w:tc>
          <w:tcPr>
            <w:tcW w:w="0" w:type="auto"/>
            <w:vAlign w:val="center"/>
            <w:hideMark/>
          </w:tcPr>
          <w:p w14:paraId="774D32F2" w14:textId="77777777" w:rsidR="00000000" w:rsidRDefault="00EB4933">
            <w:pPr>
              <w:rPr>
                <w:rFonts w:eastAsia="Times New Roman"/>
                <w:sz w:val="20"/>
                <w:szCs w:val="20"/>
              </w:rPr>
            </w:pPr>
          </w:p>
        </w:tc>
      </w:tr>
      <w:tr w:rsidR="00000000" w14:paraId="3ECF17D9" w14:textId="77777777">
        <w:trPr>
          <w:divId w:val="98525094"/>
          <w:trHeight w:val="225"/>
          <w:tblCellSpacing w:w="15" w:type="dxa"/>
        </w:trPr>
        <w:tc>
          <w:tcPr>
            <w:tcW w:w="0" w:type="auto"/>
            <w:vAlign w:val="center"/>
            <w:hideMark/>
          </w:tcPr>
          <w:p w14:paraId="450DD5C7" w14:textId="77777777" w:rsidR="00000000" w:rsidRDefault="00EB4933">
            <w:pPr>
              <w:rPr>
                <w:rFonts w:eastAsia="Times New Roman"/>
                <w:sz w:val="20"/>
                <w:szCs w:val="20"/>
              </w:rPr>
            </w:pPr>
            <w:hyperlink r:id="rId127" w:anchor="toc" w:history="1">
              <w:r>
                <w:rPr>
                  <w:rStyle w:val="Hyperlink"/>
                  <w:rFonts w:eastAsia="Times New Roman"/>
                  <w:i/>
                  <w:iCs/>
                  <w:sz w:val="20"/>
                  <w:szCs w:val="20"/>
                </w:rPr>
                <w:t>Table of Contents</w:t>
              </w:r>
            </w:hyperlink>
          </w:p>
        </w:tc>
      </w:tr>
    </w:tbl>
    <w:p w14:paraId="29D2B088"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12CB1CF0" w14:textId="77777777" w:rsidR="00000000" w:rsidRDefault="00EB4933">
      <w:pPr>
        <w:pStyle w:val="NormalWeb"/>
        <w:spacing w:before="0" w:beforeAutospacing="0" w:after="0" w:afterAutospacing="0"/>
        <w:jc w:val="both"/>
        <w:divId w:val="98525094"/>
        <w:rPr>
          <w:sz w:val="20"/>
          <w:szCs w:val="20"/>
        </w:rPr>
      </w:pPr>
      <w:r>
        <w:rPr>
          <w:rStyle w:val="Strong"/>
          <w:sz w:val="20"/>
          <w:szCs w:val="20"/>
        </w:rPr>
        <w:t>B. Liquidity and Capital Resources</w:t>
      </w:r>
      <w:r>
        <w:rPr>
          <w:sz w:val="20"/>
          <w:szCs w:val="20"/>
        </w:rPr>
        <w:t xml:space="preserve"> </w:t>
      </w:r>
    </w:p>
    <w:p w14:paraId="1521DA4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EBF0339" w14:textId="77777777" w:rsidR="00000000" w:rsidRDefault="00EB4933">
      <w:pPr>
        <w:pStyle w:val="NormalWeb"/>
        <w:spacing w:before="0" w:beforeAutospacing="0" w:after="0" w:afterAutospacing="0"/>
        <w:jc w:val="both"/>
        <w:divId w:val="98525094"/>
        <w:rPr>
          <w:sz w:val="20"/>
          <w:szCs w:val="20"/>
        </w:rPr>
      </w:pPr>
      <w:r>
        <w:rPr>
          <w:rStyle w:val="Strong"/>
          <w:sz w:val="20"/>
          <w:szCs w:val="20"/>
        </w:rPr>
        <w:t>Liquidity</w:t>
      </w:r>
    </w:p>
    <w:p w14:paraId="10EB751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3F846A8"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ongoing cash requirements include payments of our employees’ salaries and benefits, office expenses, lending to our customers, repayments of our borrowings, taxes and other operational expenses. We fund our loans, working capital and other capital requ</w:t>
      </w:r>
      <w:r>
        <w:rPr>
          <w:sz w:val="20"/>
          <w:szCs w:val="20"/>
        </w:rPr>
        <w:t>irements primarily by equity contribution from shareholders, cash flow from operations and borrowings from various individuals and companies through securities exchanges.</w:t>
      </w:r>
    </w:p>
    <w:p w14:paraId="56BB573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C0D13E5"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had negative cash flows for the years ended December 31, 2019, 2018 and 2017, th</w:t>
      </w:r>
      <w:r>
        <w:rPr>
          <w:sz w:val="20"/>
          <w:szCs w:val="20"/>
        </w:rPr>
        <w:t xml:space="preserve">e net cash decreased during the year were RMB3.5 million ($0.5 million), RMB17.9 million and RMB75.1 million for the years ended December 31, 2019, 2018 and 2017, respectively. As of December 31, 2019, we had cash balances totaled RMB132,000. </w:t>
      </w:r>
    </w:p>
    <w:p w14:paraId="4CC1264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8E5ABBD"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have hi</w:t>
      </w:r>
      <w:r>
        <w:rPr>
          <w:sz w:val="20"/>
          <w:szCs w:val="20"/>
        </w:rPr>
        <w:t>storically met our cash needs through a combination of cash flows from operating activities, loans payable from third parties raised through various securities exchanges, loans from shareholders and loans from related parties. The cash requirements are gen</w:t>
      </w:r>
      <w:r>
        <w:rPr>
          <w:sz w:val="20"/>
          <w:szCs w:val="20"/>
        </w:rPr>
        <w:t>erally for operating activities and repayments of loans from third parties, related parties and shareholders. Since securities exchanges ceased offering any form of financing to us through their platforms as well as our loans receivable were credit-impaire</w:t>
      </w:r>
      <w:r>
        <w:rPr>
          <w:sz w:val="20"/>
          <w:szCs w:val="20"/>
        </w:rPr>
        <w:t>d, the Company ran into severe liquidity issue. In the beginning of 2019, the Company began to default in certain loans payable, even though certain loans payable were negotiated for revised repayment terms. With loans receivables continued to be further c</w:t>
      </w:r>
      <w:r>
        <w:rPr>
          <w:sz w:val="20"/>
          <w:szCs w:val="20"/>
        </w:rPr>
        <w:t>redit-impaired, all obligations of loans payable were defaulted. The liquidity issue of the Company has further severely affected its ability to pay its taxes, service providers, employees and others. Due to non-payment of its obligations when due, multipl</w:t>
      </w:r>
      <w:r>
        <w:rPr>
          <w:sz w:val="20"/>
          <w:szCs w:val="20"/>
        </w:rPr>
        <w:t>e significant legal proceedings were initiated by its shareholders, service providers and others against the Compay (see Note 28 of the Consolidated Financial Statements – Legal proceedings for detailed disclosure). COVID-19 discussed in Note 29 Subsequent</w:t>
      </w:r>
      <w:r>
        <w:rPr>
          <w:sz w:val="20"/>
          <w:szCs w:val="20"/>
        </w:rPr>
        <w:t xml:space="preserve"> event of the Consolidated Financial Statements has further exacerbated the liquidity issue of the Company.</w:t>
      </w:r>
    </w:p>
    <w:p w14:paraId="0DFA2B82"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 </w:t>
      </w:r>
    </w:p>
    <w:p w14:paraId="5163D665"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Company has taken an intensive review of operations and expenditures, including intensify loan and interest collection initiative and monetizi</w:t>
      </w:r>
      <w:r>
        <w:rPr>
          <w:sz w:val="20"/>
          <w:szCs w:val="20"/>
        </w:rPr>
        <w:t>ng collaterals of loans receivable. The Company has also acquired the financial support letter from Hubei New Nature Investment Co., Ltd, a company that is 80.8% owned by the Chairman and the Chief Executive Officer, Mr Ricky Qizhi Wei, and from Dunxin Hol</w:t>
      </w:r>
      <w:r>
        <w:rPr>
          <w:sz w:val="20"/>
          <w:szCs w:val="20"/>
        </w:rPr>
        <w:t>dings Co., Ltd, a company that is 70% owned by the Chairman and the Chief Executive Officer, Mr Ricky Qizhi Wei, which have expressed the willingness and intention to provide the necessary financial support to the Company. Further, the Company activitely p</w:t>
      </w:r>
      <w:r>
        <w:rPr>
          <w:sz w:val="20"/>
          <w:szCs w:val="20"/>
        </w:rPr>
        <w:t xml:space="preserve">lans to seek equity financing from private placements, so as to enable the Company to meet its liabilities and to carry on its business without a significant curtailment of operations for the next 12 months from the issuance date of this report. </w:t>
      </w:r>
    </w:p>
    <w:p w14:paraId="7E24B50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142EE84"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Com</w:t>
      </w:r>
      <w:r>
        <w:rPr>
          <w:sz w:val="20"/>
          <w:szCs w:val="20"/>
        </w:rPr>
        <w:t>pany believes that available cash and cash equivalents, future cash provided by operating activities, together with the efforts from aforementioned management plan and actions, should enable the Company to meet presently anticipated cash needs for at least</w:t>
      </w:r>
      <w:r>
        <w:rPr>
          <w:sz w:val="20"/>
          <w:szCs w:val="20"/>
        </w:rPr>
        <w:t xml:space="preserve"> the next 12 months after the date that the financial statements are issued and the Company has prepared the consolidated financial statements on a going concern basis. However, the Company continues to have ongoing obligations and it expects that it will </w:t>
      </w:r>
      <w:r>
        <w:rPr>
          <w:sz w:val="20"/>
          <w:szCs w:val="20"/>
        </w:rPr>
        <w:t>require additional capital in order to execute its longer-term business plan. If the Company encounters unforeseen circumstances that place constraints on its capital resources, management will be required to take various measures to conserve liquidity, wh</w:t>
      </w:r>
      <w:r>
        <w:rPr>
          <w:sz w:val="20"/>
          <w:szCs w:val="20"/>
        </w:rPr>
        <w:t>ich could include, but not necessarily be limited to, curtailing the Company’s business development activities, suspending the pursuit of its business plan, controlling operating expenses and seeking to further dispose of non-core assets. Management cannot</w:t>
      </w:r>
      <w:r>
        <w:rPr>
          <w:sz w:val="20"/>
          <w:szCs w:val="20"/>
        </w:rPr>
        <w:t xml:space="preserve"> provide any assurance that the Company will raise additional capital if needed.</w:t>
      </w:r>
    </w:p>
    <w:p w14:paraId="5FC537B6"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2C64FAF" w14:textId="77777777">
        <w:trPr>
          <w:divId w:val="98525094"/>
          <w:trHeight w:val="225"/>
          <w:tblCellSpacing w:w="15" w:type="dxa"/>
        </w:trPr>
        <w:tc>
          <w:tcPr>
            <w:tcW w:w="0" w:type="auto"/>
            <w:vAlign w:val="center"/>
            <w:hideMark/>
          </w:tcPr>
          <w:p w14:paraId="2BF72154" w14:textId="77777777" w:rsidR="00000000" w:rsidRDefault="00EB4933">
            <w:pPr>
              <w:rPr>
                <w:rFonts w:eastAsia="Times New Roman"/>
                <w:sz w:val="20"/>
                <w:szCs w:val="20"/>
              </w:rPr>
            </w:pPr>
            <w:r>
              <w:rPr>
                <w:rFonts w:eastAsia="Times New Roman"/>
                <w:sz w:val="20"/>
                <w:szCs w:val="20"/>
              </w:rPr>
              <w:t> </w:t>
            </w:r>
          </w:p>
        </w:tc>
      </w:tr>
      <w:tr w:rsidR="00000000" w14:paraId="0B55CBA0" w14:textId="77777777">
        <w:trPr>
          <w:divId w:val="98525094"/>
          <w:trHeight w:val="225"/>
          <w:tblCellSpacing w:w="15" w:type="dxa"/>
        </w:trPr>
        <w:tc>
          <w:tcPr>
            <w:tcW w:w="0" w:type="auto"/>
            <w:tcBorders>
              <w:bottom w:val="single" w:sz="6" w:space="0" w:color="000000"/>
            </w:tcBorders>
            <w:vAlign w:val="center"/>
            <w:hideMark/>
          </w:tcPr>
          <w:p w14:paraId="4CEBC0F1" w14:textId="77777777" w:rsidR="00000000" w:rsidRDefault="00EB4933">
            <w:pPr>
              <w:jc w:val="center"/>
              <w:rPr>
                <w:rFonts w:eastAsia="Times New Roman"/>
                <w:sz w:val="20"/>
                <w:szCs w:val="20"/>
              </w:rPr>
            </w:pPr>
            <w:r>
              <w:rPr>
                <w:rFonts w:eastAsia="Times New Roman"/>
                <w:sz w:val="20"/>
                <w:szCs w:val="20"/>
              </w:rPr>
              <w:t>68</w:t>
            </w:r>
          </w:p>
        </w:tc>
      </w:tr>
      <w:tr w:rsidR="00000000" w14:paraId="1A660CDF" w14:textId="77777777">
        <w:trPr>
          <w:divId w:val="98525094"/>
          <w:trHeight w:val="225"/>
          <w:tblCellSpacing w:w="15" w:type="dxa"/>
        </w:trPr>
        <w:tc>
          <w:tcPr>
            <w:tcW w:w="0" w:type="auto"/>
            <w:vAlign w:val="center"/>
            <w:hideMark/>
          </w:tcPr>
          <w:p w14:paraId="75716614" w14:textId="77777777" w:rsidR="00000000" w:rsidRDefault="00EB4933">
            <w:pPr>
              <w:rPr>
                <w:rFonts w:eastAsia="Times New Roman"/>
                <w:sz w:val="20"/>
                <w:szCs w:val="20"/>
              </w:rPr>
            </w:pPr>
          </w:p>
        </w:tc>
      </w:tr>
      <w:tr w:rsidR="00000000" w14:paraId="5A3E48D6" w14:textId="77777777">
        <w:trPr>
          <w:divId w:val="98525094"/>
          <w:trHeight w:val="225"/>
          <w:tblCellSpacing w:w="15" w:type="dxa"/>
        </w:trPr>
        <w:tc>
          <w:tcPr>
            <w:tcW w:w="0" w:type="auto"/>
            <w:vAlign w:val="center"/>
            <w:hideMark/>
          </w:tcPr>
          <w:p w14:paraId="58088760" w14:textId="77777777" w:rsidR="00000000" w:rsidRDefault="00EB4933">
            <w:pPr>
              <w:rPr>
                <w:rFonts w:eastAsia="Times New Roman"/>
                <w:sz w:val="20"/>
                <w:szCs w:val="20"/>
              </w:rPr>
            </w:pPr>
            <w:hyperlink r:id="rId128" w:anchor="toc" w:history="1">
              <w:r>
                <w:rPr>
                  <w:rStyle w:val="Hyperlink"/>
                  <w:rFonts w:eastAsia="Times New Roman"/>
                  <w:i/>
                  <w:iCs/>
                  <w:sz w:val="20"/>
                  <w:szCs w:val="20"/>
                </w:rPr>
                <w:t>Table of Contents</w:t>
              </w:r>
            </w:hyperlink>
          </w:p>
        </w:tc>
      </w:tr>
    </w:tbl>
    <w:p w14:paraId="227D2737"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36562AE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The following table sets forth a summary of our borrowings for the periods indicated. </w:t>
      </w:r>
    </w:p>
    <w:p w14:paraId="22B94D38"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614"/>
        <w:gridCol w:w="101"/>
        <w:gridCol w:w="101"/>
        <w:gridCol w:w="807"/>
        <w:gridCol w:w="197"/>
        <w:gridCol w:w="101"/>
        <w:gridCol w:w="101"/>
        <w:gridCol w:w="807"/>
        <w:gridCol w:w="197"/>
        <w:gridCol w:w="101"/>
        <w:gridCol w:w="101"/>
        <w:gridCol w:w="807"/>
        <w:gridCol w:w="197"/>
        <w:gridCol w:w="101"/>
        <w:gridCol w:w="102"/>
        <w:gridCol w:w="808"/>
        <w:gridCol w:w="117"/>
      </w:tblGrid>
      <w:tr w:rsidR="00000000" w14:paraId="40C8BD7B" w14:textId="77777777">
        <w:trPr>
          <w:divId w:val="98525094"/>
          <w:trHeight w:val="225"/>
          <w:tblCellSpacing w:w="15" w:type="dxa"/>
        </w:trPr>
        <w:tc>
          <w:tcPr>
            <w:tcW w:w="0" w:type="auto"/>
            <w:vAlign w:val="center"/>
            <w:hideMark/>
          </w:tcPr>
          <w:p w14:paraId="39D41AA3"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90EA90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14"/>
            <w:tcBorders>
              <w:bottom w:val="single" w:sz="6" w:space="0" w:color="000000"/>
            </w:tcBorders>
            <w:vAlign w:val="bottom"/>
            <w:hideMark/>
          </w:tcPr>
          <w:p w14:paraId="6276FB6F" w14:textId="77777777" w:rsidR="00000000" w:rsidRDefault="00EB4933">
            <w:pPr>
              <w:pStyle w:val="NormalWeb"/>
              <w:spacing w:before="0" w:beforeAutospacing="0" w:after="0" w:afterAutospacing="0"/>
              <w:jc w:val="center"/>
              <w:rPr>
                <w:sz w:val="20"/>
                <w:szCs w:val="20"/>
              </w:rPr>
            </w:pPr>
            <w:r>
              <w:rPr>
                <w:rStyle w:val="Strong"/>
                <w:sz w:val="20"/>
                <w:szCs w:val="20"/>
              </w:rPr>
              <w:t>For the Years Ended December 31</w:t>
            </w:r>
          </w:p>
        </w:tc>
        <w:tc>
          <w:tcPr>
            <w:tcW w:w="0" w:type="auto"/>
            <w:noWrap/>
            <w:vAlign w:val="center"/>
            <w:hideMark/>
          </w:tcPr>
          <w:p w14:paraId="0998AA45" w14:textId="77777777" w:rsidR="00000000" w:rsidRDefault="00EB4933">
            <w:pPr>
              <w:pStyle w:val="NormalWeb"/>
              <w:spacing w:before="0" w:beforeAutospacing="0" w:after="0" w:afterAutospacing="0"/>
              <w:rPr>
                <w:sz w:val="20"/>
                <w:szCs w:val="20"/>
              </w:rPr>
            </w:pPr>
            <w:r>
              <w:rPr>
                <w:sz w:val="20"/>
                <w:szCs w:val="20"/>
              </w:rPr>
              <w:t> </w:t>
            </w:r>
          </w:p>
        </w:tc>
      </w:tr>
      <w:tr w:rsidR="00000000" w14:paraId="2E3D49B4" w14:textId="77777777">
        <w:trPr>
          <w:divId w:val="98525094"/>
          <w:trHeight w:val="225"/>
          <w:tblCellSpacing w:w="15" w:type="dxa"/>
        </w:trPr>
        <w:tc>
          <w:tcPr>
            <w:tcW w:w="0" w:type="auto"/>
            <w:vAlign w:val="center"/>
            <w:hideMark/>
          </w:tcPr>
          <w:p w14:paraId="7019FC2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FEBA0F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7D8BD98E" w14:textId="77777777" w:rsidR="00000000" w:rsidRDefault="00EB4933">
            <w:pPr>
              <w:pStyle w:val="NormalWeb"/>
              <w:spacing w:before="0" w:beforeAutospacing="0" w:after="0" w:afterAutospacing="0"/>
              <w:jc w:val="center"/>
              <w:rPr>
                <w:sz w:val="20"/>
                <w:szCs w:val="20"/>
              </w:rPr>
            </w:pPr>
            <w:r>
              <w:rPr>
                <w:rStyle w:val="Strong"/>
                <w:sz w:val="20"/>
                <w:szCs w:val="20"/>
              </w:rPr>
              <w:t>2017</w:t>
            </w:r>
          </w:p>
        </w:tc>
        <w:tc>
          <w:tcPr>
            <w:tcW w:w="0" w:type="auto"/>
            <w:noWrap/>
            <w:vAlign w:val="center"/>
            <w:hideMark/>
          </w:tcPr>
          <w:p w14:paraId="79262002"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6A6DDA5"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0A91D298"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vAlign w:val="center"/>
            <w:hideMark/>
          </w:tcPr>
          <w:p w14:paraId="1748C7EB"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E2A4CC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17D02FEF"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28CB9BCC"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624AEE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685602C5"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46B52445" w14:textId="77777777" w:rsidR="00000000" w:rsidRDefault="00EB4933">
            <w:pPr>
              <w:pStyle w:val="NormalWeb"/>
              <w:spacing w:before="0" w:beforeAutospacing="0" w:after="0" w:afterAutospacing="0"/>
              <w:rPr>
                <w:sz w:val="20"/>
                <w:szCs w:val="20"/>
              </w:rPr>
            </w:pPr>
            <w:r>
              <w:rPr>
                <w:sz w:val="20"/>
                <w:szCs w:val="20"/>
              </w:rPr>
              <w:t> </w:t>
            </w:r>
          </w:p>
        </w:tc>
      </w:tr>
      <w:tr w:rsidR="00000000" w14:paraId="43818DD6" w14:textId="77777777">
        <w:trPr>
          <w:divId w:val="98525094"/>
          <w:trHeight w:val="225"/>
          <w:tblCellSpacing w:w="15" w:type="dxa"/>
        </w:trPr>
        <w:tc>
          <w:tcPr>
            <w:tcW w:w="0" w:type="auto"/>
            <w:vAlign w:val="center"/>
            <w:hideMark/>
          </w:tcPr>
          <w:p w14:paraId="004141AE"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2816808"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1980E11D" w14:textId="77777777" w:rsidR="00000000" w:rsidRDefault="00EB4933">
            <w:pPr>
              <w:pStyle w:val="NormalWeb"/>
              <w:spacing w:before="0" w:beforeAutospacing="0" w:after="0" w:afterAutospacing="0"/>
              <w:jc w:val="center"/>
              <w:rPr>
                <w:sz w:val="20"/>
                <w:szCs w:val="20"/>
              </w:rPr>
            </w:pPr>
            <w:r>
              <w:rPr>
                <w:rStyle w:val="Strong"/>
                <w:sz w:val="20"/>
                <w:szCs w:val="20"/>
              </w:rPr>
              <w:t>RMB</w:t>
            </w:r>
          </w:p>
        </w:tc>
        <w:tc>
          <w:tcPr>
            <w:tcW w:w="0" w:type="auto"/>
            <w:noWrap/>
            <w:tcMar>
              <w:top w:w="0" w:type="dxa"/>
              <w:left w:w="0" w:type="dxa"/>
              <w:bottom w:w="15" w:type="dxa"/>
              <w:right w:w="0" w:type="dxa"/>
            </w:tcMar>
            <w:vAlign w:val="center"/>
            <w:hideMark/>
          </w:tcPr>
          <w:p w14:paraId="0048CE1C" w14:textId="77777777" w:rsidR="00000000" w:rsidRDefault="00EB4933">
            <w:pPr>
              <w:pStyle w:val="NormalWeb"/>
              <w:spacing w:before="0" w:beforeAutospacing="0" w:after="0" w:afterAutospacing="0"/>
              <w:rPr>
                <w:sz w:val="20"/>
                <w:szCs w:val="20"/>
              </w:rPr>
            </w:pPr>
            <w:r>
              <w:rPr>
                <w:sz w:val="20"/>
                <w:szCs w:val="20"/>
              </w:rPr>
              <w:t> </w:t>
            </w:r>
          </w:p>
        </w:tc>
        <w:tc>
          <w:tcPr>
            <w:tcW w:w="0" w:type="auto"/>
            <w:tcBorders>
              <w:bottom w:val="single" w:sz="6" w:space="0" w:color="000000"/>
            </w:tcBorders>
            <w:noWrap/>
            <w:vAlign w:val="center"/>
            <w:hideMark/>
          </w:tcPr>
          <w:p w14:paraId="0417C0F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1E52B7CC" w14:textId="77777777" w:rsidR="00000000" w:rsidRDefault="00EB4933">
            <w:pPr>
              <w:pStyle w:val="NormalWeb"/>
              <w:spacing w:before="0" w:beforeAutospacing="0" w:after="0" w:afterAutospacing="0"/>
              <w:jc w:val="center"/>
              <w:rPr>
                <w:sz w:val="20"/>
                <w:szCs w:val="20"/>
              </w:rPr>
            </w:pPr>
            <w:r>
              <w:rPr>
                <w:rStyle w:val="Strong"/>
                <w:sz w:val="20"/>
                <w:szCs w:val="20"/>
              </w:rPr>
              <w:t>RMB</w:t>
            </w:r>
          </w:p>
        </w:tc>
        <w:tc>
          <w:tcPr>
            <w:tcW w:w="0" w:type="auto"/>
            <w:noWrap/>
            <w:tcMar>
              <w:top w:w="0" w:type="dxa"/>
              <w:left w:w="0" w:type="dxa"/>
              <w:bottom w:w="15" w:type="dxa"/>
              <w:right w:w="0" w:type="dxa"/>
            </w:tcMar>
            <w:vAlign w:val="center"/>
            <w:hideMark/>
          </w:tcPr>
          <w:p w14:paraId="6661DCD1" w14:textId="77777777" w:rsidR="00000000" w:rsidRDefault="00EB4933">
            <w:pPr>
              <w:pStyle w:val="NormalWeb"/>
              <w:spacing w:before="0" w:beforeAutospacing="0" w:after="0" w:afterAutospacing="0"/>
              <w:rPr>
                <w:sz w:val="20"/>
                <w:szCs w:val="20"/>
              </w:rPr>
            </w:pPr>
            <w:r>
              <w:rPr>
                <w:sz w:val="20"/>
                <w:szCs w:val="20"/>
              </w:rPr>
              <w:t> </w:t>
            </w:r>
          </w:p>
        </w:tc>
        <w:tc>
          <w:tcPr>
            <w:tcW w:w="0" w:type="auto"/>
            <w:tcBorders>
              <w:bottom w:val="single" w:sz="6" w:space="0" w:color="000000"/>
            </w:tcBorders>
            <w:noWrap/>
            <w:vAlign w:val="center"/>
            <w:hideMark/>
          </w:tcPr>
          <w:p w14:paraId="5361316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52B20F8B" w14:textId="77777777" w:rsidR="00000000" w:rsidRDefault="00EB4933">
            <w:pPr>
              <w:pStyle w:val="NormalWeb"/>
              <w:spacing w:before="0" w:beforeAutospacing="0" w:after="0" w:afterAutospacing="0"/>
              <w:jc w:val="center"/>
              <w:rPr>
                <w:sz w:val="20"/>
                <w:szCs w:val="20"/>
              </w:rPr>
            </w:pPr>
            <w:r>
              <w:rPr>
                <w:rStyle w:val="Strong"/>
                <w:sz w:val="20"/>
                <w:szCs w:val="20"/>
              </w:rPr>
              <w:t>RMB</w:t>
            </w:r>
          </w:p>
        </w:tc>
        <w:tc>
          <w:tcPr>
            <w:tcW w:w="0" w:type="auto"/>
            <w:noWrap/>
            <w:tcMar>
              <w:top w:w="0" w:type="dxa"/>
              <w:left w:w="0" w:type="dxa"/>
              <w:bottom w:w="15" w:type="dxa"/>
              <w:right w:w="0" w:type="dxa"/>
            </w:tcMar>
            <w:vAlign w:val="center"/>
            <w:hideMark/>
          </w:tcPr>
          <w:p w14:paraId="140B2562" w14:textId="77777777" w:rsidR="00000000" w:rsidRDefault="00EB4933">
            <w:pPr>
              <w:pStyle w:val="NormalWeb"/>
              <w:spacing w:before="0" w:beforeAutospacing="0" w:after="0" w:afterAutospacing="0"/>
              <w:rPr>
                <w:sz w:val="20"/>
                <w:szCs w:val="20"/>
              </w:rPr>
            </w:pPr>
            <w:r>
              <w:rPr>
                <w:sz w:val="20"/>
                <w:szCs w:val="20"/>
              </w:rPr>
              <w:t> </w:t>
            </w:r>
          </w:p>
        </w:tc>
        <w:tc>
          <w:tcPr>
            <w:tcW w:w="0" w:type="auto"/>
            <w:tcBorders>
              <w:bottom w:val="single" w:sz="6" w:space="0" w:color="000000"/>
            </w:tcBorders>
            <w:noWrap/>
            <w:vAlign w:val="center"/>
            <w:hideMark/>
          </w:tcPr>
          <w:p w14:paraId="0AA5EAE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1A328D7F" w14:textId="77777777" w:rsidR="00000000" w:rsidRDefault="00EB4933">
            <w:pPr>
              <w:pStyle w:val="NormalWeb"/>
              <w:spacing w:before="0" w:beforeAutospacing="0" w:after="0" w:afterAutospacing="0"/>
              <w:jc w:val="center"/>
              <w:rPr>
                <w:sz w:val="20"/>
                <w:szCs w:val="20"/>
              </w:rPr>
            </w:pPr>
            <w:r>
              <w:rPr>
                <w:rStyle w:val="Strong"/>
                <w:sz w:val="20"/>
                <w:szCs w:val="20"/>
              </w:rPr>
              <w:t>$</w:t>
            </w:r>
          </w:p>
        </w:tc>
        <w:tc>
          <w:tcPr>
            <w:tcW w:w="0" w:type="auto"/>
            <w:noWrap/>
            <w:tcMar>
              <w:top w:w="0" w:type="dxa"/>
              <w:left w:w="0" w:type="dxa"/>
              <w:bottom w:w="15" w:type="dxa"/>
              <w:right w:w="0" w:type="dxa"/>
            </w:tcMar>
            <w:vAlign w:val="center"/>
            <w:hideMark/>
          </w:tcPr>
          <w:p w14:paraId="206AFD3B" w14:textId="77777777" w:rsidR="00000000" w:rsidRDefault="00EB4933">
            <w:pPr>
              <w:pStyle w:val="NormalWeb"/>
              <w:spacing w:before="0" w:beforeAutospacing="0" w:after="0" w:afterAutospacing="0"/>
              <w:rPr>
                <w:sz w:val="20"/>
                <w:szCs w:val="20"/>
              </w:rPr>
            </w:pPr>
            <w:r>
              <w:rPr>
                <w:sz w:val="20"/>
                <w:szCs w:val="20"/>
              </w:rPr>
              <w:t> </w:t>
            </w:r>
          </w:p>
        </w:tc>
      </w:tr>
      <w:tr w:rsidR="00000000" w14:paraId="38ED8D15" w14:textId="77777777">
        <w:trPr>
          <w:divId w:val="98525094"/>
          <w:trHeight w:val="225"/>
          <w:tblCellSpacing w:w="15" w:type="dxa"/>
        </w:trPr>
        <w:tc>
          <w:tcPr>
            <w:tcW w:w="0" w:type="auto"/>
            <w:vAlign w:val="center"/>
            <w:hideMark/>
          </w:tcPr>
          <w:p w14:paraId="5C2B1691"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C0DB1F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14"/>
            <w:vAlign w:val="bottom"/>
            <w:hideMark/>
          </w:tcPr>
          <w:p w14:paraId="3471ED4F" w14:textId="77777777" w:rsidR="00000000" w:rsidRDefault="00EB4933">
            <w:pPr>
              <w:pStyle w:val="NormalWeb"/>
              <w:spacing w:before="0" w:beforeAutospacing="0" w:after="0" w:afterAutospacing="0"/>
              <w:jc w:val="center"/>
              <w:rPr>
                <w:sz w:val="20"/>
                <w:szCs w:val="20"/>
              </w:rPr>
            </w:pPr>
            <w:r>
              <w:rPr>
                <w:sz w:val="20"/>
                <w:szCs w:val="20"/>
              </w:rPr>
              <w:t>(amount in thousands)</w:t>
            </w:r>
          </w:p>
        </w:tc>
        <w:tc>
          <w:tcPr>
            <w:tcW w:w="0" w:type="auto"/>
            <w:noWrap/>
            <w:vAlign w:val="center"/>
            <w:hideMark/>
          </w:tcPr>
          <w:p w14:paraId="11A9C4BF" w14:textId="77777777" w:rsidR="00000000" w:rsidRDefault="00EB4933">
            <w:pPr>
              <w:pStyle w:val="NormalWeb"/>
              <w:spacing w:before="0" w:beforeAutospacing="0" w:after="0" w:afterAutospacing="0"/>
              <w:rPr>
                <w:sz w:val="20"/>
                <w:szCs w:val="20"/>
              </w:rPr>
            </w:pPr>
            <w:r>
              <w:rPr>
                <w:sz w:val="20"/>
                <w:szCs w:val="20"/>
              </w:rPr>
              <w:t> </w:t>
            </w:r>
          </w:p>
        </w:tc>
      </w:tr>
      <w:tr w:rsidR="00000000" w14:paraId="461EC4EF" w14:textId="77777777">
        <w:trPr>
          <w:divId w:val="98525094"/>
          <w:trHeight w:val="225"/>
          <w:tblCellSpacing w:w="15" w:type="dxa"/>
        </w:trPr>
        <w:tc>
          <w:tcPr>
            <w:tcW w:w="0" w:type="auto"/>
            <w:shd w:val="clear" w:color="auto" w:fill="CCEEFF"/>
            <w:hideMark/>
          </w:tcPr>
          <w:p w14:paraId="0C4A333A" w14:textId="77777777" w:rsidR="00000000" w:rsidRDefault="00EB4933">
            <w:pPr>
              <w:pStyle w:val="NormalWeb"/>
              <w:spacing w:before="0" w:beforeAutospacing="0" w:after="0" w:afterAutospacing="0"/>
              <w:rPr>
                <w:sz w:val="20"/>
                <w:szCs w:val="20"/>
              </w:rPr>
            </w:pPr>
            <w:r>
              <w:rPr>
                <w:sz w:val="20"/>
                <w:szCs w:val="20"/>
              </w:rPr>
              <w:t>Total borrowings</w:t>
            </w:r>
          </w:p>
        </w:tc>
        <w:tc>
          <w:tcPr>
            <w:tcW w:w="50" w:type="pct"/>
            <w:shd w:val="clear" w:color="auto" w:fill="CCEEFF"/>
            <w:noWrap/>
            <w:vAlign w:val="center"/>
            <w:hideMark/>
          </w:tcPr>
          <w:p w14:paraId="159BEE5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1286C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3C827C0" w14:textId="77777777" w:rsidR="00000000" w:rsidRDefault="00EB4933">
            <w:pPr>
              <w:jc w:val="right"/>
              <w:rPr>
                <w:rFonts w:eastAsia="Times New Roman"/>
                <w:sz w:val="20"/>
                <w:szCs w:val="20"/>
              </w:rPr>
            </w:pPr>
            <w:r>
              <w:rPr>
                <w:rFonts w:eastAsia="Times New Roman"/>
                <w:sz w:val="20"/>
                <w:szCs w:val="20"/>
              </w:rPr>
              <w:t>641,370</w:t>
            </w:r>
          </w:p>
        </w:tc>
        <w:tc>
          <w:tcPr>
            <w:tcW w:w="50" w:type="pct"/>
            <w:shd w:val="clear" w:color="auto" w:fill="CCEEFF"/>
            <w:noWrap/>
            <w:vAlign w:val="center"/>
            <w:hideMark/>
          </w:tcPr>
          <w:p w14:paraId="40A9CCD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2410A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9F812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12A8EA2" w14:textId="77777777" w:rsidR="00000000" w:rsidRDefault="00EB4933">
            <w:pPr>
              <w:jc w:val="right"/>
              <w:rPr>
                <w:rFonts w:eastAsia="Times New Roman"/>
                <w:sz w:val="20"/>
                <w:szCs w:val="20"/>
              </w:rPr>
            </w:pPr>
            <w:r>
              <w:rPr>
                <w:rFonts w:eastAsia="Times New Roman"/>
                <w:sz w:val="20"/>
                <w:szCs w:val="20"/>
              </w:rPr>
              <w:t>622,999</w:t>
            </w:r>
          </w:p>
        </w:tc>
        <w:tc>
          <w:tcPr>
            <w:tcW w:w="50" w:type="pct"/>
            <w:shd w:val="clear" w:color="auto" w:fill="CCEEFF"/>
            <w:noWrap/>
            <w:vAlign w:val="center"/>
            <w:hideMark/>
          </w:tcPr>
          <w:p w14:paraId="48AEB23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F6FDB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70D96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A5148F7" w14:textId="77777777" w:rsidR="00000000" w:rsidRDefault="00EB4933">
            <w:pPr>
              <w:jc w:val="right"/>
              <w:rPr>
                <w:rFonts w:eastAsia="Times New Roman"/>
                <w:sz w:val="20"/>
                <w:szCs w:val="20"/>
              </w:rPr>
            </w:pPr>
            <w:r>
              <w:rPr>
                <w:rFonts w:eastAsia="Times New Roman"/>
                <w:sz w:val="20"/>
                <w:szCs w:val="20"/>
              </w:rPr>
              <w:t>278,993</w:t>
            </w:r>
          </w:p>
        </w:tc>
        <w:tc>
          <w:tcPr>
            <w:tcW w:w="50" w:type="pct"/>
            <w:shd w:val="clear" w:color="auto" w:fill="CCEEFF"/>
            <w:noWrap/>
            <w:vAlign w:val="center"/>
            <w:hideMark/>
          </w:tcPr>
          <w:p w14:paraId="7B6911E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E1CE6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B6F68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B1CF8C7" w14:textId="77777777" w:rsidR="00000000" w:rsidRDefault="00EB4933">
            <w:pPr>
              <w:jc w:val="right"/>
              <w:rPr>
                <w:rFonts w:eastAsia="Times New Roman"/>
                <w:sz w:val="20"/>
                <w:szCs w:val="20"/>
              </w:rPr>
            </w:pPr>
            <w:r>
              <w:rPr>
                <w:rFonts w:eastAsia="Times New Roman"/>
                <w:sz w:val="20"/>
                <w:szCs w:val="20"/>
              </w:rPr>
              <w:t>40,075</w:t>
            </w:r>
          </w:p>
        </w:tc>
        <w:tc>
          <w:tcPr>
            <w:tcW w:w="50" w:type="pct"/>
            <w:shd w:val="clear" w:color="auto" w:fill="CCEEFF"/>
            <w:noWrap/>
            <w:vAlign w:val="center"/>
            <w:hideMark/>
          </w:tcPr>
          <w:p w14:paraId="0180D2AC" w14:textId="77777777" w:rsidR="00000000" w:rsidRDefault="00EB4933">
            <w:pPr>
              <w:pStyle w:val="NormalWeb"/>
              <w:spacing w:before="0" w:beforeAutospacing="0" w:after="0" w:afterAutospacing="0"/>
              <w:rPr>
                <w:sz w:val="20"/>
                <w:szCs w:val="20"/>
              </w:rPr>
            </w:pPr>
            <w:r>
              <w:rPr>
                <w:sz w:val="20"/>
                <w:szCs w:val="20"/>
              </w:rPr>
              <w:t> </w:t>
            </w:r>
          </w:p>
        </w:tc>
      </w:tr>
      <w:tr w:rsidR="00000000" w14:paraId="3C476457" w14:textId="77777777">
        <w:trPr>
          <w:divId w:val="98525094"/>
          <w:trHeight w:val="225"/>
          <w:tblCellSpacing w:w="15" w:type="dxa"/>
        </w:trPr>
        <w:tc>
          <w:tcPr>
            <w:tcW w:w="0" w:type="auto"/>
            <w:shd w:val="clear" w:color="auto" w:fill="FFFFFF"/>
            <w:hideMark/>
          </w:tcPr>
          <w:p w14:paraId="2575E45C" w14:textId="77777777" w:rsidR="00000000" w:rsidRDefault="00EB4933">
            <w:pPr>
              <w:pStyle w:val="NormalWeb"/>
              <w:spacing w:before="0" w:beforeAutospacing="0" w:after="0" w:afterAutospacing="0"/>
              <w:rPr>
                <w:sz w:val="20"/>
                <w:szCs w:val="20"/>
              </w:rPr>
            </w:pPr>
            <w:r>
              <w:rPr>
                <w:sz w:val="20"/>
                <w:szCs w:val="20"/>
              </w:rPr>
              <w:t>Effective interest rate</w:t>
            </w:r>
          </w:p>
        </w:tc>
        <w:tc>
          <w:tcPr>
            <w:tcW w:w="50" w:type="pct"/>
            <w:shd w:val="clear" w:color="auto" w:fill="FFFFFF"/>
            <w:noWrap/>
            <w:vAlign w:val="center"/>
            <w:hideMark/>
          </w:tcPr>
          <w:p w14:paraId="36C6731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391E4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84A7D9B" w14:textId="77777777" w:rsidR="00000000" w:rsidRDefault="00EB4933">
            <w:pPr>
              <w:jc w:val="right"/>
              <w:rPr>
                <w:rFonts w:eastAsia="Times New Roman"/>
                <w:sz w:val="20"/>
                <w:szCs w:val="20"/>
              </w:rPr>
            </w:pPr>
            <w:r>
              <w:rPr>
                <w:rFonts w:eastAsia="Times New Roman"/>
                <w:sz w:val="20"/>
                <w:szCs w:val="20"/>
              </w:rPr>
              <w:t>15.9</w:t>
            </w:r>
          </w:p>
        </w:tc>
        <w:tc>
          <w:tcPr>
            <w:tcW w:w="50" w:type="pct"/>
            <w:shd w:val="clear" w:color="auto" w:fill="FFFFFF"/>
            <w:noWrap/>
            <w:vAlign w:val="bottom"/>
            <w:hideMark/>
          </w:tcPr>
          <w:p w14:paraId="2CC15CA1"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10B649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1F592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6AC6558" w14:textId="77777777" w:rsidR="00000000" w:rsidRDefault="00EB4933">
            <w:pPr>
              <w:jc w:val="right"/>
              <w:rPr>
                <w:rFonts w:eastAsia="Times New Roman"/>
                <w:sz w:val="20"/>
                <w:szCs w:val="20"/>
              </w:rPr>
            </w:pPr>
            <w:r>
              <w:rPr>
                <w:rFonts w:eastAsia="Times New Roman"/>
                <w:sz w:val="20"/>
                <w:szCs w:val="20"/>
              </w:rPr>
              <w:t>11.8</w:t>
            </w:r>
          </w:p>
        </w:tc>
        <w:tc>
          <w:tcPr>
            <w:tcW w:w="50" w:type="pct"/>
            <w:shd w:val="clear" w:color="auto" w:fill="FFFFFF"/>
            <w:noWrap/>
            <w:vAlign w:val="bottom"/>
            <w:hideMark/>
          </w:tcPr>
          <w:p w14:paraId="0EB8A6BB"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CE10B8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8431B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A73A34E" w14:textId="77777777" w:rsidR="00000000" w:rsidRDefault="00EB4933">
            <w:pPr>
              <w:jc w:val="right"/>
              <w:rPr>
                <w:rFonts w:eastAsia="Times New Roman"/>
                <w:sz w:val="20"/>
                <w:szCs w:val="20"/>
              </w:rPr>
            </w:pPr>
            <w:r>
              <w:rPr>
                <w:rFonts w:eastAsia="Times New Roman"/>
                <w:sz w:val="20"/>
                <w:szCs w:val="20"/>
              </w:rPr>
              <w:t>10.9</w:t>
            </w:r>
          </w:p>
        </w:tc>
        <w:tc>
          <w:tcPr>
            <w:tcW w:w="50" w:type="pct"/>
            <w:shd w:val="clear" w:color="auto" w:fill="FFFFFF"/>
            <w:noWrap/>
            <w:vAlign w:val="bottom"/>
            <w:hideMark/>
          </w:tcPr>
          <w:p w14:paraId="314CA3CE"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434DFB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774D1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AD45A0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8D56CB" w14:textId="77777777" w:rsidR="00000000" w:rsidRDefault="00EB4933">
            <w:pPr>
              <w:pStyle w:val="NormalWeb"/>
              <w:spacing w:before="0" w:beforeAutospacing="0" w:after="0" w:afterAutospacing="0"/>
              <w:rPr>
                <w:sz w:val="20"/>
                <w:szCs w:val="20"/>
              </w:rPr>
            </w:pPr>
            <w:r>
              <w:rPr>
                <w:sz w:val="20"/>
                <w:szCs w:val="20"/>
              </w:rPr>
              <w:t> </w:t>
            </w:r>
          </w:p>
        </w:tc>
      </w:tr>
      <w:tr w:rsidR="00000000" w14:paraId="45230E63" w14:textId="77777777">
        <w:trPr>
          <w:divId w:val="98525094"/>
          <w:trHeight w:val="225"/>
          <w:tblCellSpacing w:w="15" w:type="dxa"/>
        </w:trPr>
        <w:tc>
          <w:tcPr>
            <w:tcW w:w="0" w:type="auto"/>
            <w:shd w:val="clear" w:color="auto" w:fill="CCEEFF"/>
            <w:hideMark/>
          </w:tcPr>
          <w:p w14:paraId="19E13918" w14:textId="77777777" w:rsidR="00000000" w:rsidRDefault="00EB4933">
            <w:pPr>
              <w:pStyle w:val="NormalWeb"/>
              <w:spacing w:before="0" w:beforeAutospacing="0" w:after="0" w:afterAutospacing="0"/>
              <w:rPr>
                <w:sz w:val="20"/>
                <w:szCs w:val="20"/>
              </w:rPr>
            </w:pPr>
            <w:r>
              <w:rPr>
                <w:sz w:val="20"/>
                <w:szCs w:val="20"/>
              </w:rPr>
              <w:t>Average duration of borrowings</w:t>
            </w:r>
          </w:p>
        </w:tc>
        <w:tc>
          <w:tcPr>
            <w:tcW w:w="50" w:type="pct"/>
            <w:shd w:val="clear" w:color="auto" w:fill="CCEEFF"/>
            <w:noWrap/>
            <w:vAlign w:val="center"/>
            <w:hideMark/>
          </w:tcPr>
          <w:p w14:paraId="70581F3D" w14:textId="77777777" w:rsidR="00000000" w:rsidRDefault="00EB4933">
            <w:pPr>
              <w:pStyle w:val="NormalWeb"/>
              <w:spacing w:before="0" w:beforeAutospacing="0" w:after="0" w:afterAutospacing="0"/>
              <w:rPr>
                <w:sz w:val="20"/>
                <w:szCs w:val="20"/>
              </w:rPr>
            </w:pPr>
            <w:r>
              <w:rPr>
                <w:sz w:val="20"/>
                <w:szCs w:val="20"/>
              </w:rPr>
              <w:t> </w:t>
            </w:r>
          </w:p>
        </w:tc>
        <w:tc>
          <w:tcPr>
            <w:tcW w:w="0" w:type="auto"/>
            <w:gridSpan w:val="2"/>
            <w:shd w:val="clear" w:color="auto" w:fill="CCEEFF"/>
            <w:vAlign w:val="center"/>
            <w:hideMark/>
          </w:tcPr>
          <w:p w14:paraId="7FB358F9" w14:textId="77777777" w:rsidR="00000000" w:rsidRDefault="00EB4933">
            <w:pPr>
              <w:pStyle w:val="NormalWeb"/>
              <w:spacing w:before="0" w:beforeAutospacing="0" w:after="0" w:afterAutospacing="0"/>
              <w:jc w:val="right"/>
              <w:rPr>
                <w:sz w:val="20"/>
                <w:szCs w:val="20"/>
              </w:rPr>
            </w:pPr>
            <w:r>
              <w:rPr>
                <w:sz w:val="20"/>
                <w:szCs w:val="20"/>
              </w:rPr>
              <w:t>119 days</w:t>
            </w:r>
          </w:p>
        </w:tc>
        <w:tc>
          <w:tcPr>
            <w:tcW w:w="50" w:type="pct"/>
            <w:shd w:val="clear" w:color="auto" w:fill="CCEEFF"/>
            <w:noWrap/>
            <w:vAlign w:val="center"/>
            <w:hideMark/>
          </w:tcPr>
          <w:p w14:paraId="1E69455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96D2D5" w14:textId="77777777" w:rsidR="00000000" w:rsidRDefault="00EB4933">
            <w:pPr>
              <w:pStyle w:val="NormalWeb"/>
              <w:spacing w:before="0" w:beforeAutospacing="0" w:after="0" w:afterAutospacing="0"/>
              <w:rPr>
                <w:sz w:val="20"/>
                <w:szCs w:val="20"/>
              </w:rPr>
            </w:pPr>
            <w:r>
              <w:rPr>
                <w:sz w:val="20"/>
                <w:szCs w:val="20"/>
              </w:rPr>
              <w:t> </w:t>
            </w:r>
          </w:p>
        </w:tc>
        <w:tc>
          <w:tcPr>
            <w:tcW w:w="0" w:type="auto"/>
            <w:gridSpan w:val="2"/>
            <w:shd w:val="clear" w:color="auto" w:fill="CCEEFF"/>
            <w:vAlign w:val="center"/>
            <w:hideMark/>
          </w:tcPr>
          <w:p w14:paraId="00230B40" w14:textId="77777777" w:rsidR="00000000" w:rsidRDefault="00EB4933">
            <w:pPr>
              <w:pStyle w:val="NormalWeb"/>
              <w:spacing w:before="0" w:beforeAutospacing="0" w:after="0" w:afterAutospacing="0"/>
              <w:jc w:val="right"/>
              <w:rPr>
                <w:sz w:val="20"/>
                <w:szCs w:val="20"/>
              </w:rPr>
            </w:pPr>
            <w:r>
              <w:rPr>
                <w:sz w:val="20"/>
                <w:szCs w:val="20"/>
              </w:rPr>
              <w:t>130 days</w:t>
            </w:r>
          </w:p>
        </w:tc>
        <w:tc>
          <w:tcPr>
            <w:tcW w:w="50" w:type="pct"/>
            <w:shd w:val="clear" w:color="auto" w:fill="CCEEFF"/>
            <w:noWrap/>
            <w:vAlign w:val="center"/>
            <w:hideMark/>
          </w:tcPr>
          <w:p w14:paraId="5B734FD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CBEBA3" w14:textId="77777777" w:rsidR="00000000" w:rsidRDefault="00EB4933">
            <w:pPr>
              <w:pStyle w:val="NormalWeb"/>
              <w:spacing w:before="0" w:beforeAutospacing="0" w:after="0" w:afterAutospacing="0"/>
              <w:rPr>
                <w:sz w:val="20"/>
                <w:szCs w:val="20"/>
              </w:rPr>
            </w:pPr>
            <w:r>
              <w:rPr>
                <w:sz w:val="20"/>
                <w:szCs w:val="20"/>
              </w:rPr>
              <w:t> </w:t>
            </w:r>
          </w:p>
        </w:tc>
        <w:tc>
          <w:tcPr>
            <w:tcW w:w="0" w:type="auto"/>
            <w:gridSpan w:val="2"/>
            <w:shd w:val="clear" w:color="auto" w:fill="CCEEFF"/>
            <w:vAlign w:val="center"/>
            <w:hideMark/>
          </w:tcPr>
          <w:p w14:paraId="371BBB56" w14:textId="77777777" w:rsidR="00000000" w:rsidRDefault="00EB4933">
            <w:pPr>
              <w:pStyle w:val="NormalWeb"/>
              <w:spacing w:before="0" w:beforeAutospacing="0" w:after="0" w:afterAutospacing="0"/>
              <w:jc w:val="right"/>
              <w:rPr>
                <w:sz w:val="20"/>
                <w:szCs w:val="20"/>
              </w:rPr>
            </w:pPr>
            <w:r>
              <w:rPr>
                <w:sz w:val="20"/>
                <w:szCs w:val="20"/>
              </w:rPr>
              <w:t>365 days</w:t>
            </w:r>
          </w:p>
        </w:tc>
        <w:tc>
          <w:tcPr>
            <w:tcW w:w="50" w:type="pct"/>
            <w:shd w:val="clear" w:color="auto" w:fill="CCEEFF"/>
            <w:noWrap/>
            <w:vAlign w:val="center"/>
            <w:hideMark/>
          </w:tcPr>
          <w:p w14:paraId="3DEE941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B49CB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EBCD5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431BF2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7E08C3" w14:textId="77777777" w:rsidR="00000000" w:rsidRDefault="00EB4933">
            <w:pPr>
              <w:pStyle w:val="NormalWeb"/>
              <w:spacing w:before="0" w:beforeAutospacing="0" w:after="0" w:afterAutospacing="0"/>
              <w:rPr>
                <w:sz w:val="20"/>
                <w:szCs w:val="20"/>
              </w:rPr>
            </w:pPr>
            <w:r>
              <w:rPr>
                <w:sz w:val="20"/>
                <w:szCs w:val="20"/>
              </w:rPr>
              <w:t> </w:t>
            </w:r>
          </w:p>
        </w:tc>
      </w:tr>
    </w:tbl>
    <w:p w14:paraId="6CEBB50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98C5E7A"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following table sets forth a summary of our cash flows for the periods indicated:</w:t>
      </w:r>
    </w:p>
    <w:p w14:paraId="09114A43"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632"/>
        <w:gridCol w:w="119"/>
        <w:gridCol w:w="118"/>
        <w:gridCol w:w="824"/>
        <w:gridCol w:w="118"/>
        <w:gridCol w:w="118"/>
        <w:gridCol w:w="118"/>
        <w:gridCol w:w="824"/>
        <w:gridCol w:w="118"/>
        <w:gridCol w:w="118"/>
        <w:gridCol w:w="118"/>
        <w:gridCol w:w="824"/>
        <w:gridCol w:w="118"/>
        <w:gridCol w:w="118"/>
        <w:gridCol w:w="118"/>
        <w:gridCol w:w="824"/>
        <w:gridCol w:w="133"/>
      </w:tblGrid>
      <w:tr w:rsidR="00000000" w14:paraId="41AD9A3C" w14:textId="77777777">
        <w:trPr>
          <w:divId w:val="98525094"/>
          <w:trHeight w:val="225"/>
          <w:tblCellSpacing w:w="15" w:type="dxa"/>
        </w:trPr>
        <w:tc>
          <w:tcPr>
            <w:tcW w:w="0" w:type="auto"/>
            <w:vAlign w:val="center"/>
            <w:hideMark/>
          </w:tcPr>
          <w:p w14:paraId="775A9AF1"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9F70F00"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14"/>
            <w:tcBorders>
              <w:bottom w:val="single" w:sz="6" w:space="0" w:color="000000"/>
            </w:tcBorders>
            <w:vAlign w:val="bottom"/>
            <w:hideMark/>
          </w:tcPr>
          <w:p w14:paraId="46077227" w14:textId="77777777" w:rsidR="00000000" w:rsidRDefault="00EB4933">
            <w:pPr>
              <w:pStyle w:val="NormalWeb"/>
              <w:spacing w:before="0" w:beforeAutospacing="0" w:after="0" w:afterAutospacing="0"/>
              <w:jc w:val="center"/>
              <w:rPr>
                <w:sz w:val="20"/>
                <w:szCs w:val="20"/>
              </w:rPr>
            </w:pPr>
            <w:r>
              <w:rPr>
                <w:rStyle w:val="Strong"/>
                <w:sz w:val="20"/>
                <w:szCs w:val="20"/>
              </w:rPr>
              <w:t>For the Years Ended December 31</w:t>
            </w:r>
          </w:p>
        </w:tc>
        <w:tc>
          <w:tcPr>
            <w:tcW w:w="0" w:type="auto"/>
            <w:noWrap/>
            <w:vAlign w:val="center"/>
            <w:hideMark/>
          </w:tcPr>
          <w:p w14:paraId="26B32560" w14:textId="77777777" w:rsidR="00000000" w:rsidRDefault="00EB4933">
            <w:pPr>
              <w:pStyle w:val="NormalWeb"/>
              <w:spacing w:before="0" w:beforeAutospacing="0" w:after="0" w:afterAutospacing="0"/>
              <w:rPr>
                <w:sz w:val="20"/>
                <w:szCs w:val="20"/>
              </w:rPr>
            </w:pPr>
            <w:r>
              <w:rPr>
                <w:sz w:val="20"/>
                <w:szCs w:val="20"/>
              </w:rPr>
              <w:t> </w:t>
            </w:r>
          </w:p>
        </w:tc>
      </w:tr>
      <w:tr w:rsidR="00000000" w14:paraId="7EA0868F" w14:textId="77777777">
        <w:trPr>
          <w:divId w:val="98525094"/>
          <w:trHeight w:val="225"/>
          <w:tblCellSpacing w:w="15" w:type="dxa"/>
        </w:trPr>
        <w:tc>
          <w:tcPr>
            <w:tcW w:w="0" w:type="auto"/>
            <w:vAlign w:val="center"/>
            <w:hideMark/>
          </w:tcPr>
          <w:p w14:paraId="3C02B8C7"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F7780FC"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369C2375" w14:textId="77777777" w:rsidR="00000000" w:rsidRDefault="00EB4933">
            <w:pPr>
              <w:pStyle w:val="NormalWeb"/>
              <w:spacing w:before="0" w:beforeAutospacing="0" w:after="0" w:afterAutospacing="0"/>
              <w:jc w:val="center"/>
              <w:rPr>
                <w:sz w:val="20"/>
                <w:szCs w:val="20"/>
              </w:rPr>
            </w:pPr>
            <w:r>
              <w:rPr>
                <w:rStyle w:val="Strong"/>
                <w:sz w:val="20"/>
                <w:szCs w:val="20"/>
              </w:rPr>
              <w:t>2017</w:t>
            </w:r>
          </w:p>
        </w:tc>
        <w:tc>
          <w:tcPr>
            <w:tcW w:w="0" w:type="auto"/>
            <w:noWrap/>
            <w:vAlign w:val="center"/>
            <w:hideMark/>
          </w:tcPr>
          <w:p w14:paraId="1F09062A"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83E37C0"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45ED86F5"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vAlign w:val="center"/>
            <w:hideMark/>
          </w:tcPr>
          <w:p w14:paraId="445F466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61D0915"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72F2236C"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4E45DA4C"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8D47D6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3ADB0865"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7FDDE4D4" w14:textId="77777777" w:rsidR="00000000" w:rsidRDefault="00EB4933">
            <w:pPr>
              <w:pStyle w:val="NormalWeb"/>
              <w:spacing w:before="0" w:beforeAutospacing="0" w:after="0" w:afterAutospacing="0"/>
              <w:rPr>
                <w:sz w:val="20"/>
                <w:szCs w:val="20"/>
              </w:rPr>
            </w:pPr>
            <w:r>
              <w:rPr>
                <w:sz w:val="20"/>
                <w:szCs w:val="20"/>
              </w:rPr>
              <w:t> </w:t>
            </w:r>
          </w:p>
        </w:tc>
      </w:tr>
      <w:tr w:rsidR="00000000" w14:paraId="43CE322F" w14:textId="77777777">
        <w:trPr>
          <w:divId w:val="98525094"/>
          <w:trHeight w:val="225"/>
          <w:tblCellSpacing w:w="15" w:type="dxa"/>
        </w:trPr>
        <w:tc>
          <w:tcPr>
            <w:tcW w:w="0" w:type="auto"/>
            <w:vAlign w:val="center"/>
            <w:hideMark/>
          </w:tcPr>
          <w:p w14:paraId="6F570B5D"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95BF2E1"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5781AAEE" w14:textId="77777777" w:rsidR="00000000" w:rsidRDefault="00EB4933">
            <w:pPr>
              <w:pStyle w:val="NormalWeb"/>
              <w:spacing w:before="0" w:beforeAutospacing="0" w:after="0" w:afterAutospacing="0"/>
              <w:jc w:val="center"/>
              <w:rPr>
                <w:sz w:val="20"/>
                <w:szCs w:val="20"/>
              </w:rPr>
            </w:pPr>
            <w:r>
              <w:rPr>
                <w:rStyle w:val="Strong"/>
                <w:sz w:val="20"/>
                <w:szCs w:val="20"/>
              </w:rPr>
              <w:t>RMB</w:t>
            </w:r>
          </w:p>
        </w:tc>
        <w:tc>
          <w:tcPr>
            <w:tcW w:w="0" w:type="auto"/>
            <w:noWrap/>
            <w:tcMar>
              <w:top w:w="0" w:type="dxa"/>
              <w:left w:w="0" w:type="dxa"/>
              <w:bottom w:w="15" w:type="dxa"/>
              <w:right w:w="0" w:type="dxa"/>
            </w:tcMar>
            <w:vAlign w:val="center"/>
            <w:hideMark/>
          </w:tcPr>
          <w:p w14:paraId="24875CC8" w14:textId="77777777" w:rsidR="00000000" w:rsidRDefault="00EB4933">
            <w:pPr>
              <w:pStyle w:val="NormalWeb"/>
              <w:spacing w:before="0" w:beforeAutospacing="0" w:after="0" w:afterAutospacing="0"/>
              <w:rPr>
                <w:sz w:val="20"/>
                <w:szCs w:val="20"/>
              </w:rPr>
            </w:pPr>
            <w:r>
              <w:rPr>
                <w:sz w:val="20"/>
                <w:szCs w:val="20"/>
              </w:rPr>
              <w:t> </w:t>
            </w:r>
          </w:p>
        </w:tc>
        <w:tc>
          <w:tcPr>
            <w:tcW w:w="0" w:type="auto"/>
            <w:tcBorders>
              <w:bottom w:val="single" w:sz="6" w:space="0" w:color="000000"/>
            </w:tcBorders>
            <w:noWrap/>
            <w:vAlign w:val="center"/>
            <w:hideMark/>
          </w:tcPr>
          <w:p w14:paraId="77FF22D8"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11E8AF88" w14:textId="77777777" w:rsidR="00000000" w:rsidRDefault="00EB4933">
            <w:pPr>
              <w:pStyle w:val="NormalWeb"/>
              <w:spacing w:before="0" w:beforeAutospacing="0" w:after="0" w:afterAutospacing="0"/>
              <w:jc w:val="center"/>
              <w:rPr>
                <w:sz w:val="20"/>
                <w:szCs w:val="20"/>
              </w:rPr>
            </w:pPr>
            <w:r>
              <w:rPr>
                <w:rStyle w:val="Strong"/>
                <w:sz w:val="20"/>
                <w:szCs w:val="20"/>
              </w:rPr>
              <w:t>RMB</w:t>
            </w:r>
          </w:p>
        </w:tc>
        <w:tc>
          <w:tcPr>
            <w:tcW w:w="0" w:type="auto"/>
            <w:noWrap/>
            <w:tcMar>
              <w:top w:w="0" w:type="dxa"/>
              <w:left w:w="0" w:type="dxa"/>
              <w:bottom w:w="15" w:type="dxa"/>
              <w:right w:w="0" w:type="dxa"/>
            </w:tcMar>
            <w:vAlign w:val="center"/>
            <w:hideMark/>
          </w:tcPr>
          <w:p w14:paraId="26A2C003" w14:textId="77777777" w:rsidR="00000000" w:rsidRDefault="00EB4933">
            <w:pPr>
              <w:pStyle w:val="NormalWeb"/>
              <w:spacing w:before="0" w:beforeAutospacing="0" w:after="0" w:afterAutospacing="0"/>
              <w:rPr>
                <w:sz w:val="20"/>
                <w:szCs w:val="20"/>
              </w:rPr>
            </w:pPr>
            <w:r>
              <w:rPr>
                <w:sz w:val="20"/>
                <w:szCs w:val="20"/>
              </w:rPr>
              <w:t> </w:t>
            </w:r>
          </w:p>
        </w:tc>
        <w:tc>
          <w:tcPr>
            <w:tcW w:w="0" w:type="auto"/>
            <w:tcBorders>
              <w:bottom w:val="single" w:sz="6" w:space="0" w:color="000000"/>
            </w:tcBorders>
            <w:noWrap/>
            <w:vAlign w:val="center"/>
            <w:hideMark/>
          </w:tcPr>
          <w:p w14:paraId="4CACF121"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21AB681D" w14:textId="77777777" w:rsidR="00000000" w:rsidRDefault="00EB4933">
            <w:pPr>
              <w:pStyle w:val="NormalWeb"/>
              <w:spacing w:before="0" w:beforeAutospacing="0" w:after="0" w:afterAutospacing="0"/>
              <w:jc w:val="center"/>
              <w:rPr>
                <w:sz w:val="20"/>
                <w:szCs w:val="20"/>
              </w:rPr>
            </w:pPr>
            <w:r>
              <w:rPr>
                <w:rStyle w:val="Strong"/>
                <w:sz w:val="20"/>
                <w:szCs w:val="20"/>
              </w:rPr>
              <w:t>RMB</w:t>
            </w:r>
          </w:p>
        </w:tc>
        <w:tc>
          <w:tcPr>
            <w:tcW w:w="0" w:type="auto"/>
            <w:noWrap/>
            <w:tcMar>
              <w:top w:w="0" w:type="dxa"/>
              <w:left w:w="0" w:type="dxa"/>
              <w:bottom w:w="15" w:type="dxa"/>
              <w:right w:w="0" w:type="dxa"/>
            </w:tcMar>
            <w:vAlign w:val="center"/>
            <w:hideMark/>
          </w:tcPr>
          <w:p w14:paraId="47C5F44E" w14:textId="77777777" w:rsidR="00000000" w:rsidRDefault="00EB4933">
            <w:pPr>
              <w:pStyle w:val="NormalWeb"/>
              <w:spacing w:before="0" w:beforeAutospacing="0" w:after="0" w:afterAutospacing="0"/>
              <w:rPr>
                <w:sz w:val="20"/>
                <w:szCs w:val="20"/>
              </w:rPr>
            </w:pPr>
            <w:r>
              <w:rPr>
                <w:sz w:val="20"/>
                <w:szCs w:val="20"/>
              </w:rPr>
              <w:t> </w:t>
            </w:r>
          </w:p>
        </w:tc>
        <w:tc>
          <w:tcPr>
            <w:tcW w:w="0" w:type="auto"/>
            <w:tcBorders>
              <w:bottom w:val="single" w:sz="6" w:space="0" w:color="000000"/>
            </w:tcBorders>
            <w:noWrap/>
            <w:vAlign w:val="center"/>
            <w:hideMark/>
          </w:tcPr>
          <w:p w14:paraId="103A310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2377811B" w14:textId="77777777" w:rsidR="00000000" w:rsidRDefault="00EB4933">
            <w:pPr>
              <w:pStyle w:val="NormalWeb"/>
              <w:spacing w:before="0" w:beforeAutospacing="0" w:after="0" w:afterAutospacing="0"/>
              <w:jc w:val="center"/>
              <w:rPr>
                <w:sz w:val="20"/>
                <w:szCs w:val="20"/>
              </w:rPr>
            </w:pPr>
            <w:r>
              <w:rPr>
                <w:rStyle w:val="Strong"/>
                <w:sz w:val="20"/>
                <w:szCs w:val="20"/>
              </w:rPr>
              <w:t>$</w:t>
            </w:r>
          </w:p>
        </w:tc>
        <w:tc>
          <w:tcPr>
            <w:tcW w:w="0" w:type="auto"/>
            <w:noWrap/>
            <w:tcMar>
              <w:top w:w="0" w:type="dxa"/>
              <w:left w:w="0" w:type="dxa"/>
              <w:bottom w:w="15" w:type="dxa"/>
              <w:right w:w="0" w:type="dxa"/>
            </w:tcMar>
            <w:vAlign w:val="center"/>
            <w:hideMark/>
          </w:tcPr>
          <w:p w14:paraId="3AA0BF0D" w14:textId="77777777" w:rsidR="00000000" w:rsidRDefault="00EB4933">
            <w:pPr>
              <w:pStyle w:val="NormalWeb"/>
              <w:spacing w:before="0" w:beforeAutospacing="0" w:after="0" w:afterAutospacing="0"/>
              <w:rPr>
                <w:sz w:val="20"/>
                <w:szCs w:val="20"/>
              </w:rPr>
            </w:pPr>
            <w:r>
              <w:rPr>
                <w:sz w:val="20"/>
                <w:szCs w:val="20"/>
              </w:rPr>
              <w:t> </w:t>
            </w:r>
          </w:p>
        </w:tc>
      </w:tr>
      <w:tr w:rsidR="00000000" w14:paraId="5806E30B" w14:textId="77777777">
        <w:trPr>
          <w:divId w:val="98525094"/>
          <w:trHeight w:val="225"/>
          <w:tblCellSpacing w:w="15" w:type="dxa"/>
        </w:trPr>
        <w:tc>
          <w:tcPr>
            <w:tcW w:w="0" w:type="auto"/>
            <w:vAlign w:val="center"/>
            <w:hideMark/>
          </w:tcPr>
          <w:p w14:paraId="58681475"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BE5AF1C"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14"/>
            <w:vAlign w:val="bottom"/>
            <w:hideMark/>
          </w:tcPr>
          <w:p w14:paraId="257BA083" w14:textId="77777777" w:rsidR="00000000" w:rsidRDefault="00EB4933">
            <w:pPr>
              <w:pStyle w:val="NormalWeb"/>
              <w:spacing w:before="0" w:beforeAutospacing="0" w:after="0" w:afterAutospacing="0"/>
              <w:jc w:val="center"/>
              <w:rPr>
                <w:sz w:val="20"/>
                <w:szCs w:val="20"/>
              </w:rPr>
            </w:pPr>
            <w:r>
              <w:rPr>
                <w:sz w:val="20"/>
                <w:szCs w:val="20"/>
              </w:rPr>
              <w:t>(amount in thousands)</w:t>
            </w:r>
          </w:p>
        </w:tc>
        <w:tc>
          <w:tcPr>
            <w:tcW w:w="0" w:type="auto"/>
            <w:noWrap/>
            <w:vAlign w:val="center"/>
            <w:hideMark/>
          </w:tcPr>
          <w:p w14:paraId="12C9852E" w14:textId="77777777" w:rsidR="00000000" w:rsidRDefault="00EB4933">
            <w:pPr>
              <w:pStyle w:val="NormalWeb"/>
              <w:spacing w:before="0" w:beforeAutospacing="0" w:after="0" w:afterAutospacing="0"/>
              <w:rPr>
                <w:sz w:val="20"/>
                <w:szCs w:val="20"/>
              </w:rPr>
            </w:pPr>
            <w:r>
              <w:rPr>
                <w:sz w:val="20"/>
                <w:szCs w:val="20"/>
              </w:rPr>
              <w:t> </w:t>
            </w:r>
          </w:p>
        </w:tc>
      </w:tr>
      <w:tr w:rsidR="00000000" w14:paraId="466E6CFB" w14:textId="77777777">
        <w:trPr>
          <w:divId w:val="98525094"/>
          <w:trHeight w:val="225"/>
          <w:tblCellSpacing w:w="15" w:type="dxa"/>
        </w:trPr>
        <w:tc>
          <w:tcPr>
            <w:tcW w:w="0" w:type="auto"/>
            <w:shd w:val="clear" w:color="auto" w:fill="CCEEFF"/>
            <w:hideMark/>
          </w:tcPr>
          <w:p w14:paraId="1B40F2B7" w14:textId="77777777" w:rsidR="00000000" w:rsidRDefault="00EB4933">
            <w:pPr>
              <w:pStyle w:val="NormalWeb"/>
              <w:spacing w:before="0" w:beforeAutospacing="0" w:after="0" w:afterAutospacing="0"/>
              <w:jc w:val="both"/>
              <w:rPr>
                <w:sz w:val="20"/>
                <w:szCs w:val="20"/>
              </w:rPr>
            </w:pPr>
            <w:r>
              <w:rPr>
                <w:sz w:val="20"/>
                <w:szCs w:val="20"/>
              </w:rPr>
              <w:t>Net cash (used)/generated by operating activities</w:t>
            </w:r>
          </w:p>
        </w:tc>
        <w:tc>
          <w:tcPr>
            <w:tcW w:w="50" w:type="pct"/>
            <w:shd w:val="clear" w:color="auto" w:fill="CCEEFF"/>
            <w:noWrap/>
            <w:vAlign w:val="center"/>
            <w:hideMark/>
          </w:tcPr>
          <w:p w14:paraId="25AC288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9B98E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44602A0" w14:textId="77777777" w:rsidR="00000000" w:rsidRDefault="00EB4933">
            <w:pPr>
              <w:jc w:val="right"/>
              <w:rPr>
                <w:rFonts w:eastAsia="Times New Roman"/>
                <w:sz w:val="20"/>
                <w:szCs w:val="20"/>
              </w:rPr>
            </w:pPr>
            <w:r>
              <w:rPr>
                <w:rFonts w:eastAsia="Times New Roman"/>
                <w:sz w:val="20"/>
                <w:szCs w:val="20"/>
              </w:rPr>
              <w:t>(70,419</w:t>
            </w:r>
          </w:p>
        </w:tc>
        <w:tc>
          <w:tcPr>
            <w:tcW w:w="50" w:type="pct"/>
            <w:shd w:val="clear" w:color="auto" w:fill="CCEEFF"/>
            <w:noWrap/>
            <w:vAlign w:val="bottom"/>
            <w:hideMark/>
          </w:tcPr>
          <w:p w14:paraId="6CDFA81D"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B41414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71BAB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3153010" w14:textId="77777777" w:rsidR="00000000" w:rsidRDefault="00EB4933">
            <w:pPr>
              <w:jc w:val="right"/>
              <w:rPr>
                <w:rFonts w:eastAsia="Times New Roman"/>
                <w:sz w:val="20"/>
                <w:szCs w:val="20"/>
              </w:rPr>
            </w:pPr>
            <w:r>
              <w:rPr>
                <w:rFonts w:eastAsia="Times New Roman"/>
                <w:sz w:val="20"/>
                <w:szCs w:val="20"/>
              </w:rPr>
              <w:t>27,266</w:t>
            </w:r>
          </w:p>
        </w:tc>
        <w:tc>
          <w:tcPr>
            <w:tcW w:w="50" w:type="pct"/>
            <w:shd w:val="clear" w:color="auto" w:fill="CCEEFF"/>
            <w:noWrap/>
            <w:vAlign w:val="center"/>
            <w:hideMark/>
          </w:tcPr>
          <w:p w14:paraId="4EE19C2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310CF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CB366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2F3AD24" w14:textId="77777777" w:rsidR="00000000" w:rsidRDefault="00EB4933">
            <w:pPr>
              <w:jc w:val="right"/>
              <w:rPr>
                <w:rFonts w:eastAsia="Times New Roman"/>
                <w:sz w:val="20"/>
                <w:szCs w:val="20"/>
              </w:rPr>
            </w:pPr>
            <w:r>
              <w:rPr>
                <w:rFonts w:eastAsia="Times New Roman"/>
                <w:sz w:val="20"/>
                <w:szCs w:val="20"/>
              </w:rPr>
              <w:t>15,077</w:t>
            </w:r>
          </w:p>
        </w:tc>
        <w:tc>
          <w:tcPr>
            <w:tcW w:w="50" w:type="pct"/>
            <w:shd w:val="clear" w:color="auto" w:fill="CCEEFF"/>
            <w:noWrap/>
            <w:vAlign w:val="center"/>
            <w:hideMark/>
          </w:tcPr>
          <w:p w14:paraId="09462B1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F0430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47974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C82E8FD" w14:textId="77777777" w:rsidR="00000000" w:rsidRDefault="00EB4933">
            <w:pPr>
              <w:jc w:val="right"/>
              <w:rPr>
                <w:rFonts w:eastAsia="Times New Roman"/>
                <w:sz w:val="20"/>
                <w:szCs w:val="20"/>
              </w:rPr>
            </w:pPr>
            <w:r>
              <w:rPr>
                <w:rFonts w:eastAsia="Times New Roman"/>
                <w:sz w:val="20"/>
                <w:szCs w:val="20"/>
              </w:rPr>
              <w:t>2,166</w:t>
            </w:r>
          </w:p>
        </w:tc>
        <w:tc>
          <w:tcPr>
            <w:tcW w:w="50" w:type="pct"/>
            <w:shd w:val="clear" w:color="auto" w:fill="CCEEFF"/>
            <w:noWrap/>
            <w:vAlign w:val="center"/>
            <w:hideMark/>
          </w:tcPr>
          <w:p w14:paraId="05311139" w14:textId="77777777" w:rsidR="00000000" w:rsidRDefault="00EB4933">
            <w:pPr>
              <w:pStyle w:val="NormalWeb"/>
              <w:spacing w:before="0" w:beforeAutospacing="0" w:after="0" w:afterAutospacing="0"/>
              <w:rPr>
                <w:sz w:val="20"/>
                <w:szCs w:val="20"/>
              </w:rPr>
            </w:pPr>
            <w:r>
              <w:rPr>
                <w:sz w:val="20"/>
                <w:szCs w:val="20"/>
              </w:rPr>
              <w:t> </w:t>
            </w:r>
          </w:p>
        </w:tc>
      </w:tr>
      <w:tr w:rsidR="00000000" w14:paraId="1B644C98" w14:textId="77777777">
        <w:trPr>
          <w:divId w:val="98525094"/>
          <w:trHeight w:val="225"/>
          <w:tblCellSpacing w:w="15" w:type="dxa"/>
        </w:trPr>
        <w:tc>
          <w:tcPr>
            <w:tcW w:w="0" w:type="auto"/>
            <w:shd w:val="clear" w:color="auto" w:fill="FFFFFF"/>
            <w:hideMark/>
          </w:tcPr>
          <w:p w14:paraId="1557B8A5" w14:textId="77777777" w:rsidR="00000000" w:rsidRDefault="00EB4933">
            <w:pPr>
              <w:pStyle w:val="NormalWeb"/>
              <w:spacing w:before="0" w:beforeAutospacing="0" w:after="0" w:afterAutospacing="0"/>
              <w:jc w:val="both"/>
              <w:rPr>
                <w:sz w:val="20"/>
                <w:szCs w:val="20"/>
              </w:rPr>
            </w:pPr>
            <w:r>
              <w:rPr>
                <w:sz w:val="20"/>
                <w:szCs w:val="20"/>
              </w:rPr>
              <w:t>Net cash used in investing activities</w:t>
            </w:r>
          </w:p>
        </w:tc>
        <w:tc>
          <w:tcPr>
            <w:tcW w:w="50" w:type="pct"/>
            <w:shd w:val="clear" w:color="auto" w:fill="FFFFFF"/>
            <w:noWrap/>
            <w:vAlign w:val="center"/>
            <w:hideMark/>
          </w:tcPr>
          <w:p w14:paraId="6153552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F6906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20DE9EE" w14:textId="77777777" w:rsidR="00000000" w:rsidRDefault="00EB4933">
            <w:pPr>
              <w:jc w:val="right"/>
              <w:rPr>
                <w:rFonts w:eastAsia="Times New Roman"/>
                <w:sz w:val="20"/>
                <w:szCs w:val="20"/>
              </w:rPr>
            </w:pPr>
            <w:r>
              <w:rPr>
                <w:rFonts w:eastAsia="Times New Roman"/>
                <w:sz w:val="20"/>
                <w:szCs w:val="20"/>
              </w:rPr>
              <w:t>(14,928</w:t>
            </w:r>
          </w:p>
        </w:tc>
        <w:tc>
          <w:tcPr>
            <w:tcW w:w="50" w:type="pct"/>
            <w:shd w:val="clear" w:color="auto" w:fill="FFFFFF"/>
            <w:noWrap/>
            <w:vAlign w:val="bottom"/>
            <w:hideMark/>
          </w:tcPr>
          <w:p w14:paraId="3AD3F946"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10EB38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0AAF6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0F86022" w14:textId="77777777" w:rsidR="00000000" w:rsidRDefault="00EB4933">
            <w:pPr>
              <w:jc w:val="right"/>
              <w:rPr>
                <w:rFonts w:eastAsia="Times New Roman"/>
                <w:sz w:val="20"/>
                <w:szCs w:val="20"/>
              </w:rPr>
            </w:pPr>
            <w:r>
              <w:rPr>
                <w:rFonts w:eastAsia="Times New Roman"/>
                <w:sz w:val="20"/>
                <w:szCs w:val="20"/>
              </w:rPr>
              <w:t>(18,385</w:t>
            </w:r>
          </w:p>
        </w:tc>
        <w:tc>
          <w:tcPr>
            <w:tcW w:w="50" w:type="pct"/>
            <w:shd w:val="clear" w:color="auto" w:fill="FFFFFF"/>
            <w:noWrap/>
            <w:vAlign w:val="bottom"/>
            <w:hideMark/>
          </w:tcPr>
          <w:p w14:paraId="738CBE08"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963364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257DD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F5937F6" w14:textId="77777777" w:rsidR="00000000" w:rsidRDefault="00EB4933">
            <w:pPr>
              <w:jc w:val="right"/>
              <w:rPr>
                <w:rFonts w:eastAsia="Times New Roman"/>
                <w:sz w:val="20"/>
                <w:szCs w:val="20"/>
              </w:rPr>
            </w:pPr>
            <w:r>
              <w:rPr>
                <w:rFonts w:eastAsia="Times New Roman"/>
                <w:sz w:val="20"/>
                <w:szCs w:val="20"/>
              </w:rPr>
              <w:t>(76</w:t>
            </w:r>
          </w:p>
        </w:tc>
        <w:tc>
          <w:tcPr>
            <w:tcW w:w="50" w:type="pct"/>
            <w:shd w:val="clear" w:color="auto" w:fill="FFFFFF"/>
            <w:noWrap/>
            <w:vAlign w:val="bottom"/>
            <w:hideMark/>
          </w:tcPr>
          <w:p w14:paraId="0CC49B48"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D85D47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3606F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DB540AA" w14:textId="77777777" w:rsidR="00000000" w:rsidRDefault="00EB4933">
            <w:pPr>
              <w:jc w:val="right"/>
              <w:rPr>
                <w:rFonts w:eastAsia="Times New Roman"/>
                <w:sz w:val="20"/>
                <w:szCs w:val="20"/>
              </w:rPr>
            </w:pPr>
            <w:r>
              <w:rPr>
                <w:rFonts w:eastAsia="Times New Roman"/>
                <w:sz w:val="20"/>
                <w:szCs w:val="20"/>
              </w:rPr>
              <w:t>(11</w:t>
            </w:r>
          </w:p>
        </w:tc>
        <w:tc>
          <w:tcPr>
            <w:tcW w:w="50" w:type="pct"/>
            <w:shd w:val="clear" w:color="auto" w:fill="FFFFFF"/>
            <w:noWrap/>
            <w:vAlign w:val="bottom"/>
            <w:hideMark/>
          </w:tcPr>
          <w:p w14:paraId="1D7E8FEE" w14:textId="77777777" w:rsidR="00000000" w:rsidRDefault="00EB4933">
            <w:pPr>
              <w:rPr>
                <w:rFonts w:eastAsia="Times New Roman"/>
                <w:sz w:val="20"/>
                <w:szCs w:val="20"/>
              </w:rPr>
            </w:pPr>
            <w:r>
              <w:rPr>
                <w:rFonts w:eastAsia="Times New Roman"/>
                <w:sz w:val="20"/>
                <w:szCs w:val="20"/>
              </w:rPr>
              <w:t>)</w:t>
            </w:r>
          </w:p>
        </w:tc>
      </w:tr>
      <w:tr w:rsidR="00000000" w14:paraId="3EA44D12" w14:textId="77777777">
        <w:trPr>
          <w:divId w:val="98525094"/>
          <w:trHeight w:val="225"/>
          <w:tblCellSpacing w:w="15" w:type="dxa"/>
        </w:trPr>
        <w:tc>
          <w:tcPr>
            <w:tcW w:w="0" w:type="auto"/>
            <w:shd w:val="clear" w:color="auto" w:fill="CCEEFF"/>
            <w:hideMark/>
          </w:tcPr>
          <w:p w14:paraId="71DB205C" w14:textId="77777777" w:rsidR="00000000" w:rsidRDefault="00EB4933">
            <w:pPr>
              <w:pStyle w:val="NormalWeb"/>
              <w:spacing w:before="0" w:beforeAutospacing="0" w:after="0" w:afterAutospacing="0"/>
              <w:jc w:val="both"/>
              <w:rPr>
                <w:sz w:val="20"/>
                <w:szCs w:val="20"/>
              </w:rPr>
            </w:pPr>
            <w:r>
              <w:rPr>
                <w:sz w:val="20"/>
                <w:szCs w:val="20"/>
              </w:rPr>
              <w:t>Net cash generated/(used) by financing activities</w:t>
            </w:r>
          </w:p>
        </w:tc>
        <w:tc>
          <w:tcPr>
            <w:tcW w:w="50" w:type="pct"/>
            <w:shd w:val="clear" w:color="auto" w:fill="CCEEFF"/>
            <w:noWrap/>
            <w:vAlign w:val="center"/>
            <w:hideMark/>
          </w:tcPr>
          <w:p w14:paraId="7E754BA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E4249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F5D072D" w14:textId="77777777" w:rsidR="00000000" w:rsidRDefault="00EB4933">
            <w:pPr>
              <w:jc w:val="right"/>
              <w:rPr>
                <w:rFonts w:eastAsia="Times New Roman"/>
                <w:sz w:val="20"/>
                <w:szCs w:val="20"/>
              </w:rPr>
            </w:pPr>
            <w:r>
              <w:rPr>
                <w:rFonts w:eastAsia="Times New Roman"/>
                <w:sz w:val="20"/>
                <w:szCs w:val="20"/>
              </w:rPr>
              <w:t>10,273</w:t>
            </w:r>
          </w:p>
        </w:tc>
        <w:tc>
          <w:tcPr>
            <w:tcW w:w="50" w:type="pct"/>
            <w:shd w:val="clear" w:color="auto" w:fill="CCEEFF"/>
            <w:noWrap/>
            <w:vAlign w:val="center"/>
            <w:hideMark/>
          </w:tcPr>
          <w:p w14:paraId="5EE9447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F400C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CE24E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B69EF75" w14:textId="77777777" w:rsidR="00000000" w:rsidRDefault="00EB4933">
            <w:pPr>
              <w:jc w:val="right"/>
              <w:rPr>
                <w:rFonts w:eastAsia="Times New Roman"/>
                <w:sz w:val="20"/>
                <w:szCs w:val="20"/>
              </w:rPr>
            </w:pPr>
            <w:r>
              <w:rPr>
                <w:rFonts w:eastAsia="Times New Roman"/>
                <w:sz w:val="20"/>
                <w:szCs w:val="20"/>
              </w:rPr>
              <w:t>(26,795</w:t>
            </w:r>
          </w:p>
        </w:tc>
        <w:tc>
          <w:tcPr>
            <w:tcW w:w="50" w:type="pct"/>
            <w:shd w:val="clear" w:color="auto" w:fill="CCEEFF"/>
            <w:noWrap/>
            <w:vAlign w:val="bottom"/>
            <w:hideMark/>
          </w:tcPr>
          <w:p w14:paraId="6A1430FF"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3A88A2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C8695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A7CDA90" w14:textId="77777777" w:rsidR="00000000" w:rsidRDefault="00EB4933">
            <w:pPr>
              <w:jc w:val="right"/>
              <w:rPr>
                <w:rFonts w:eastAsia="Times New Roman"/>
                <w:sz w:val="20"/>
                <w:szCs w:val="20"/>
              </w:rPr>
            </w:pPr>
            <w:r>
              <w:rPr>
                <w:rFonts w:eastAsia="Times New Roman"/>
                <w:sz w:val="20"/>
                <w:szCs w:val="20"/>
              </w:rPr>
              <w:t>(18,462</w:t>
            </w:r>
          </w:p>
        </w:tc>
        <w:tc>
          <w:tcPr>
            <w:tcW w:w="50" w:type="pct"/>
            <w:shd w:val="clear" w:color="auto" w:fill="CCEEFF"/>
            <w:noWrap/>
            <w:vAlign w:val="bottom"/>
            <w:hideMark/>
          </w:tcPr>
          <w:p w14:paraId="72D97823"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BE2CEE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2834E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C818817" w14:textId="77777777" w:rsidR="00000000" w:rsidRDefault="00EB4933">
            <w:pPr>
              <w:jc w:val="right"/>
              <w:rPr>
                <w:rFonts w:eastAsia="Times New Roman"/>
                <w:sz w:val="20"/>
                <w:szCs w:val="20"/>
              </w:rPr>
            </w:pPr>
            <w:r>
              <w:rPr>
                <w:rFonts w:eastAsia="Times New Roman"/>
                <w:sz w:val="20"/>
                <w:szCs w:val="20"/>
              </w:rPr>
              <w:t>(2,652</w:t>
            </w:r>
          </w:p>
        </w:tc>
        <w:tc>
          <w:tcPr>
            <w:tcW w:w="50" w:type="pct"/>
            <w:shd w:val="clear" w:color="auto" w:fill="CCEEFF"/>
            <w:noWrap/>
            <w:vAlign w:val="bottom"/>
            <w:hideMark/>
          </w:tcPr>
          <w:p w14:paraId="604E807E" w14:textId="77777777" w:rsidR="00000000" w:rsidRDefault="00EB4933">
            <w:pPr>
              <w:rPr>
                <w:rFonts w:eastAsia="Times New Roman"/>
                <w:sz w:val="20"/>
                <w:szCs w:val="20"/>
              </w:rPr>
            </w:pPr>
            <w:r>
              <w:rPr>
                <w:rFonts w:eastAsia="Times New Roman"/>
                <w:sz w:val="20"/>
                <w:szCs w:val="20"/>
              </w:rPr>
              <w:t>)</w:t>
            </w:r>
          </w:p>
        </w:tc>
      </w:tr>
      <w:tr w:rsidR="00000000" w14:paraId="32EA0278" w14:textId="77777777">
        <w:trPr>
          <w:divId w:val="98525094"/>
          <w:trHeight w:val="225"/>
          <w:tblCellSpacing w:w="15" w:type="dxa"/>
        </w:trPr>
        <w:tc>
          <w:tcPr>
            <w:tcW w:w="0" w:type="auto"/>
            <w:shd w:val="clear" w:color="auto" w:fill="FFFFFF"/>
            <w:hideMark/>
          </w:tcPr>
          <w:p w14:paraId="402D8993" w14:textId="77777777" w:rsidR="00000000" w:rsidRDefault="00EB4933">
            <w:pPr>
              <w:pStyle w:val="NormalWeb"/>
              <w:spacing w:before="0" w:beforeAutospacing="0" w:after="0" w:afterAutospacing="0"/>
              <w:jc w:val="both"/>
              <w:rPr>
                <w:sz w:val="20"/>
                <w:szCs w:val="20"/>
              </w:rPr>
            </w:pPr>
            <w:r>
              <w:rPr>
                <w:sz w:val="20"/>
                <w:szCs w:val="20"/>
              </w:rPr>
              <w:t>Net decrease in cash, cash equivalents and restricted cash</w:t>
            </w:r>
          </w:p>
        </w:tc>
        <w:tc>
          <w:tcPr>
            <w:tcW w:w="50" w:type="pct"/>
            <w:shd w:val="clear" w:color="auto" w:fill="FFFFFF"/>
            <w:noWrap/>
            <w:vAlign w:val="center"/>
            <w:hideMark/>
          </w:tcPr>
          <w:p w14:paraId="2E03A4A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D10CE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AE929D9" w14:textId="77777777" w:rsidR="00000000" w:rsidRDefault="00EB4933">
            <w:pPr>
              <w:jc w:val="right"/>
              <w:rPr>
                <w:rFonts w:eastAsia="Times New Roman"/>
                <w:sz w:val="20"/>
                <w:szCs w:val="20"/>
              </w:rPr>
            </w:pPr>
            <w:r>
              <w:rPr>
                <w:rFonts w:eastAsia="Times New Roman"/>
                <w:sz w:val="20"/>
                <w:szCs w:val="20"/>
              </w:rPr>
              <w:t>(75,074</w:t>
            </w:r>
          </w:p>
        </w:tc>
        <w:tc>
          <w:tcPr>
            <w:tcW w:w="50" w:type="pct"/>
            <w:shd w:val="clear" w:color="auto" w:fill="FFFFFF"/>
            <w:noWrap/>
            <w:vAlign w:val="bottom"/>
            <w:hideMark/>
          </w:tcPr>
          <w:p w14:paraId="3DF7568E"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4C04E9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92E75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EC2E10E" w14:textId="77777777" w:rsidR="00000000" w:rsidRDefault="00EB4933">
            <w:pPr>
              <w:jc w:val="right"/>
              <w:rPr>
                <w:rFonts w:eastAsia="Times New Roman"/>
                <w:sz w:val="20"/>
                <w:szCs w:val="20"/>
              </w:rPr>
            </w:pPr>
            <w:r>
              <w:rPr>
                <w:rFonts w:eastAsia="Times New Roman"/>
                <w:sz w:val="20"/>
                <w:szCs w:val="20"/>
              </w:rPr>
              <w:t>(17,914</w:t>
            </w:r>
          </w:p>
        </w:tc>
        <w:tc>
          <w:tcPr>
            <w:tcW w:w="50" w:type="pct"/>
            <w:shd w:val="clear" w:color="auto" w:fill="FFFFFF"/>
            <w:noWrap/>
            <w:vAlign w:val="bottom"/>
            <w:hideMark/>
          </w:tcPr>
          <w:p w14:paraId="2540C31C"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089C7A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BD8AF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2890724" w14:textId="77777777" w:rsidR="00000000" w:rsidRDefault="00EB4933">
            <w:pPr>
              <w:jc w:val="right"/>
              <w:rPr>
                <w:rFonts w:eastAsia="Times New Roman"/>
                <w:sz w:val="20"/>
                <w:szCs w:val="20"/>
              </w:rPr>
            </w:pPr>
            <w:r>
              <w:rPr>
                <w:rFonts w:eastAsia="Times New Roman"/>
                <w:sz w:val="20"/>
                <w:szCs w:val="20"/>
              </w:rPr>
              <w:t>(3,461</w:t>
            </w:r>
          </w:p>
        </w:tc>
        <w:tc>
          <w:tcPr>
            <w:tcW w:w="50" w:type="pct"/>
            <w:shd w:val="clear" w:color="auto" w:fill="FFFFFF"/>
            <w:noWrap/>
            <w:vAlign w:val="bottom"/>
            <w:hideMark/>
          </w:tcPr>
          <w:p w14:paraId="5DE3A8A6"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1C9D2F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AF131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57D2104" w14:textId="77777777" w:rsidR="00000000" w:rsidRDefault="00EB4933">
            <w:pPr>
              <w:jc w:val="right"/>
              <w:rPr>
                <w:rFonts w:eastAsia="Times New Roman"/>
                <w:sz w:val="20"/>
                <w:szCs w:val="20"/>
              </w:rPr>
            </w:pPr>
            <w:r>
              <w:rPr>
                <w:rFonts w:eastAsia="Times New Roman"/>
                <w:sz w:val="20"/>
                <w:szCs w:val="20"/>
              </w:rPr>
              <w:t>(497</w:t>
            </w:r>
          </w:p>
        </w:tc>
        <w:tc>
          <w:tcPr>
            <w:tcW w:w="50" w:type="pct"/>
            <w:shd w:val="clear" w:color="auto" w:fill="FFFFFF"/>
            <w:noWrap/>
            <w:vAlign w:val="bottom"/>
            <w:hideMark/>
          </w:tcPr>
          <w:p w14:paraId="5C68935B" w14:textId="77777777" w:rsidR="00000000" w:rsidRDefault="00EB4933">
            <w:pPr>
              <w:rPr>
                <w:rFonts w:eastAsia="Times New Roman"/>
                <w:sz w:val="20"/>
                <w:szCs w:val="20"/>
              </w:rPr>
            </w:pPr>
            <w:r>
              <w:rPr>
                <w:rFonts w:eastAsia="Times New Roman"/>
                <w:sz w:val="20"/>
                <w:szCs w:val="20"/>
              </w:rPr>
              <w:t>)</w:t>
            </w:r>
          </w:p>
        </w:tc>
      </w:tr>
      <w:tr w:rsidR="00000000" w14:paraId="27A526F0" w14:textId="77777777">
        <w:trPr>
          <w:divId w:val="98525094"/>
          <w:trHeight w:val="225"/>
          <w:tblCellSpacing w:w="15" w:type="dxa"/>
        </w:trPr>
        <w:tc>
          <w:tcPr>
            <w:tcW w:w="0" w:type="auto"/>
            <w:shd w:val="clear" w:color="auto" w:fill="CCEEFF"/>
            <w:hideMark/>
          </w:tcPr>
          <w:p w14:paraId="566D8B76" w14:textId="77777777" w:rsidR="00000000" w:rsidRDefault="00EB4933">
            <w:pPr>
              <w:pStyle w:val="NormalWeb"/>
              <w:spacing w:before="0" w:beforeAutospacing="0" w:after="0" w:afterAutospacing="0"/>
              <w:jc w:val="both"/>
              <w:rPr>
                <w:sz w:val="20"/>
                <w:szCs w:val="20"/>
              </w:rPr>
            </w:pPr>
            <w:r>
              <w:rPr>
                <w:sz w:val="20"/>
                <w:szCs w:val="20"/>
              </w:rPr>
              <w:t>Cash, cash equivalents and restricted cash at beginning of the year</w:t>
            </w:r>
          </w:p>
        </w:tc>
        <w:tc>
          <w:tcPr>
            <w:tcW w:w="50" w:type="pct"/>
            <w:shd w:val="clear" w:color="auto" w:fill="CCEEFF"/>
            <w:noWrap/>
            <w:vAlign w:val="center"/>
            <w:hideMark/>
          </w:tcPr>
          <w:p w14:paraId="438C0DD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FC31D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C102605" w14:textId="77777777" w:rsidR="00000000" w:rsidRDefault="00EB4933">
            <w:pPr>
              <w:jc w:val="right"/>
              <w:rPr>
                <w:rFonts w:eastAsia="Times New Roman"/>
                <w:sz w:val="20"/>
                <w:szCs w:val="20"/>
              </w:rPr>
            </w:pPr>
            <w:r>
              <w:rPr>
                <w:rFonts w:eastAsia="Times New Roman"/>
                <w:sz w:val="20"/>
                <w:szCs w:val="20"/>
              </w:rPr>
              <w:t>96,791</w:t>
            </w:r>
          </w:p>
        </w:tc>
        <w:tc>
          <w:tcPr>
            <w:tcW w:w="50" w:type="pct"/>
            <w:shd w:val="clear" w:color="auto" w:fill="CCEEFF"/>
            <w:noWrap/>
            <w:vAlign w:val="center"/>
            <w:hideMark/>
          </w:tcPr>
          <w:p w14:paraId="728F7AD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68489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B5DBF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7C37588" w14:textId="77777777" w:rsidR="00000000" w:rsidRDefault="00EB4933">
            <w:pPr>
              <w:jc w:val="right"/>
              <w:rPr>
                <w:rFonts w:eastAsia="Times New Roman"/>
                <w:sz w:val="20"/>
                <w:szCs w:val="20"/>
              </w:rPr>
            </w:pPr>
            <w:r>
              <w:rPr>
                <w:rFonts w:eastAsia="Times New Roman"/>
                <w:sz w:val="20"/>
                <w:szCs w:val="20"/>
              </w:rPr>
              <w:t>21,717</w:t>
            </w:r>
          </w:p>
        </w:tc>
        <w:tc>
          <w:tcPr>
            <w:tcW w:w="50" w:type="pct"/>
            <w:shd w:val="clear" w:color="auto" w:fill="CCEEFF"/>
            <w:noWrap/>
            <w:vAlign w:val="center"/>
            <w:hideMark/>
          </w:tcPr>
          <w:p w14:paraId="6080B91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49D3F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567DE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D29F850" w14:textId="77777777" w:rsidR="00000000" w:rsidRDefault="00EB4933">
            <w:pPr>
              <w:jc w:val="right"/>
              <w:rPr>
                <w:rFonts w:eastAsia="Times New Roman"/>
                <w:sz w:val="20"/>
                <w:szCs w:val="20"/>
              </w:rPr>
            </w:pPr>
            <w:r>
              <w:rPr>
                <w:rFonts w:eastAsia="Times New Roman"/>
                <w:sz w:val="20"/>
                <w:szCs w:val="20"/>
              </w:rPr>
              <w:t>3,188</w:t>
            </w:r>
          </w:p>
        </w:tc>
        <w:tc>
          <w:tcPr>
            <w:tcW w:w="50" w:type="pct"/>
            <w:shd w:val="clear" w:color="auto" w:fill="CCEEFF"/>
            <w:noWrap/>
            <w:vAlign w:val="center"/>
            <w:hideMark/>
          </w:tcPr>
          <w:p w14:paraId="2E2801A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D3854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AC13E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484B0CD" w14:textId="77777777" w:rsidR="00000000" w:rsidRDefault="00EB4933">
            <w:pPr>
              <w:jc w:val="right"/>
              <w:rPr>
                <w:rFonts w:eastAsia="Times New Roman"/>
                <w:sz w:val="20"/>
                <w:szCs w:val="20"/>
              </w:rPr>
            </w:pPr>
            <w:r>
              <w:rPr>
                <w:rFonts w:eastAsia="Times New Roman"/>
                <w:sz w:val="20"/>
                <w:szCs w:val="20"/>
              </w:rPr>
              <w:t>458</w:t>
            </w:r>
          </w:p>
        </w:tc>
        <w:tc>
          <w:tcPr>
            <w:tcW w:w="50" w:type="pct"/>
            <w:shd w:val="clear" w:color="auto" w:fill="CCEEFF"/>
            <w:noWrap/>
            <w:vAlign w:val="center"/>
            <w:hideMark/>
          </w:tcPr>
          <w:p w14:paraId="517F9C89" w14:textId="77777777" w:rsidR="00000000" w:rsidRDefault="00EB4933">
            <w:pPr>
              <w:pStyle w:val="NormalWeb"/>
              <w:spacing w:before="0" w:beforeAutospacing="0" w:after="0" w:afterAutospacing="0"/>
              <w:rPr>
                <w:sz w:val="20"/>
                <w:szCs w:val="20"/>
              </w:rPr>
            </w:pPr>
            <w:r>
              <w:rPr>
                <w:sz w:val="20"/>
                <w:szCs w:val="20"/>
              </w:rPr>
              <w:t> </w:t>
            </w:r>
          </w:p>
        </w:tc>
      </w:tr>
      <w:tr w:rsidR="00000000" w14:paraId="530FEC33" w14:textId="77777777">
        <w:trPr>
          <w:divId w:val="98525094"/>
          <w:trHeight w:val="225"/>
          <w:tblCellSpacing w:w="15" w:type="dxa"/>
        </w:trPr>
        <w:tc>
          <w:tcPr>
            <w:tcW w:w="0" w:type="auto"/>
            <w:shd w:val="clear" w:color="auto" w:fill="FFFFFF"/>
            <w:hideMark/>
          </w:tcPr>
          <w:p w14:paraId="05D37FA3" w14:textId="77777777" w:rsidR="00000000" w:rsidRDefault="00EB4933">
            <w:pPr>
              <w:pStyle w:val="NormalWeb"/>
              <w:spacing w:before="0" w:beforeAutospacing="0" w:after="0" w:afterAutospacing="0"/>
              <w:jc w:val="both"/>
              <w:rPr>
                <w:sz w:val="20"/>
                <w:szCs w:val="20"/>
              </w:rPr>
            </w:pPr>
            <w:r>
              <w:rPr>
                <w:sz w:val="20"/>
                <w:szCs w:val="20"/>
              </w:rPr>
              <w:t>Exchange losses on cash, cash equivalents and restricted cash</w:t>
            </w:r>
          </w:p>
        </w:tc>
        <w:tc>
          <w:tcPr>
            <w:tcW w:w="50" w:type="pct"/>
            <w:shd w:val="clear" w:color="auto" w:fill="FFFFFF"/>
            <w:noWrap/>
            <w:vAlign w:val="center"/>
            <w:hideMark/>
          </w:tcPr>
          <w:p w14:paraId="1DD4376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5E442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86A89C7"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A3474E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74B09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A6291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D83AB66" w14:textId="77777777" w:rsidR="00000000" w:rsidRDefault="00EB4933">
            <w:pPr>
              <w:jc w:val="right"/>
              <w:rPr>
                <w:rFonts w:eastAsia="Times New Roman"/>
                <w:sz w:val="20"/>
                <w:szCs w:val="20"/>
              </w:rPr>
            </w:pPr>
            <w:r>
              <w:rPr>
                <w:rFonts w:eastAsia="Times New Roman"/>
                <w:sz w:val="20"/>
                <w:szCs w:val="20"/>
              </w:rPr>
              <w:t>(615</w:t>
            </w:r>
          </w:p>
        </w:tc>
        <w:tc>
          <w:tcPr>
            <w:tcW w:w="50" w:type="pct"/>
            <w:shd w:val="clear" w:color="auto" w:fill="FFFFFF"/>
            <w:noWrap/>
            <w:vAlign w:val="bottom"/>
            <w:hideMark/>
          </w:tcPr>
          <w:p w14:paraId="6F5369E7"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E12BAE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981C3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980032F" w14:textId="77777777" w:rsidR="00000000" w:rsidRDefault="00EB4933">
            <w:pPr>
              <w:jc w:val="right"/>
              <w:rPr>
                <w:rFonts w:eastAsia="Times New Roman"/>
                <w:sz w:val="20"/>
                <w:szCs w:val="20"/>
              </w:rPr>
            </w:pPr>
            <w:r>
              <w:rPr>
                <w:rFonts w:eastAsia="Times New Roman"/>
                <w:sz w:val="20"/>
                <w:szCs w:val="20"/>
              </w:rPr>
              <w:t>405</w:t>
            </w:r>
          </w:p>
        </w:tc>
        <w:tc>
          <w:tcPr>
            <w:tcW w:w="50" w:type="pct"/>
            <w:shd w:val="clear" w:color="auto" w:fill="FFFFFF"/>
            <w:noWrap/>
            <w:vAlign w:val="center"/>
            <w:hideMark/>
          </w:tcPr>
          <w:p w14:paraId="6F0716A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FD438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13C4A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96BAF81" w14:textId="77777777" w:rsidR="00000000" w:rsidRDefault="00EB4933">
            <w:pPr>
              <w:jc w:val="right"/>
              <w:rPr>
                <w:rFonts w:eastAsia="Times New Roman"/>
                <w:sz w:val="20"/>
                <w:szCs w:val="20"/>
              </w:rPr>
            </w:pPr>
            <w:r>
              <w:rPr>
                <w:rFonts w:eastAsia="Times New Roman"/>
                <w:sz w:val="20"/>
                <w:szCs w:val="20"/>
              </w:rPr>
              <w:t>58</w:t>
            </w:r>
          </w:p>
        </w:tc>
        <w:tc>
          <w:tcPr>
            <w:tcW w:w="50" w:type="pct"/>
            <w:shd w:val="clear" w:color="auto" w:fill="FFFFFF"/>
            <w:noWrap/>
            <w:vAlign w:val="center"/>
            <w:hideMark/>
          </w:tcPr>
          <w:p w14:paraId="2338BF4F" w14:textId="77777777" w:rsidR="00000000" w:rsidRDefault="00EB4933">
            <w:pPr>
              <w:pStyle w:val="NormalWeb"/>
              <w:spacing w:before="0" w:beforeAutospacing="0" w:after="0" w:afterAutospacing="0"/>
              <w:rPr>
                <w:sz w:val="20"/>
                <w:szCs w:val="20"/>
              </w:rPr>
            </w:pPr>
            <w:r>
              <w:rPr>
                <w:sz w:val="20"/>
                <w:szCs w:val="20"/>
              </w:rPr>
              <w:t> </w:t>
            </w:r>
          </w:p>
        </w:tc>
      </w:tr>
      <w:tr w:rsidR="00000000" w14:paraId="5C91614F" w14:textId="77777777">
        <w:trPr>
          <w:divId w:val="98525094"/>
          <w:trHeight w:val="225"/>
          <w:tblCellSpacing w:w="15" w:type="dxa"/>
        </w:trPr>
        <w:tc>
          <w:tcPr>
            <w:tcW w:w="0" w:type="auto"/>
            <w:shd w:val="clear" w:color="auto" w:fill="CCEEFF"/>
            <w:hideMark/>
          </w:tcPr>
          <w:p w14:paraId="24E54AB4" w14:textId="77777777" w:rsidR="00000000" w:rsidRDefault="00EB4933">
            <w:pPr>
              <w:pStyle w:val="NormalWeb"/>
              <w:spacing w:before="0" w:beforeAutospacing="0" w:after="0" w:afterAutospacing="0"/>
              <w:jc w:val="both"/>
              <w:rPr>
                <w:sz w:val="20"/>
                <w:szCs w:val="20"/>
              </w:rPr>
            </w:pPr>
            <w:r>
              <w:rPr>
                <w:sz w:val="20"/>
                <w:szCs w:val="20"/>
              </w:rPr>
              <w:t>Cash, cash equivalents and restricted cash at end of the year</w:t>
            </w:r>
          </w:p>
        </w:tc>
        <w:tc>
          <w:tcPr>
            <w:tcW w:w="50" w:type="pct"/>
            <w:shd w:val="clear" w:color="auto" w:fill="CCEEFF"/>
            <w:noWrap/>
            <w:vAlign w:val="center"/>
            <w:hideMark/>
          </w:tcPr>
          <w:p w14:paraId="0B6F9DA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FEF2D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6B71BA3" w14:textId="77777777" w:rsidR="00000000" w:rsidRDefault="00EB4933">
            <w:pPr>
              <w:jc w:val="right"/>
              <w:rPr>
                <w:rFonts w:eastAsia="Times New Roman"/>
                <w:sz w:val="20"/>
                <w:szCs w:val="20"/>
              </w:rPr>
            </w:pPr>
            <w:r>
              <w:rPr>
                <w:rFonts w:eastAsia="Times New Roman"/>
                <w:sz w:val="20"/>
                <w:szCs w:val="20"/>
              </w:rPr>
              <w:t>21,717</w:t>
            </w:r>
          </w:p>
        </w:tc>
        <w:tc>
          <w:tcPr>
            <w:tcW w:w="50" w:type="pct"/>
            <w:shd w:val="clear" w:color="auto" w:fill="CCEEFF"/>
            <w:noWrap/>
            <w:vAlign w:val="center"/>
            <w:hideMark/>
          </w:tcPr>
          <w:p w14:paraId="69AC2DE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68FFB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269CF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460A43F" w14:textId="77777777" w:rsidR="00000000" w:rsidRDefault="00EB4933">
            <w:pPr>
              <w:jc w:val="right"/>
              <w:rPr>
                <w:rFonts w:eastAsia="Times New Roman"/>
                <w:sz w:val="20"/>
                <w:szCs w:val="20"/>
              </w:rPr>
            </w:pPr>
            <w:r>
              <w:rPr>
                <w:rFonts w:eastAsia="Times New Roman"/>
                <w:sz w:val="20"/>
                <w:szCs w:val="20"/>
              </w:rPr>
              <w:t>3,188</w:t>
            </w:r>
          </w:p>
        </w:tc>
        <w:tc>
          <w:tcPr>
            <w:tcW w:w="50" w:type="pct"/>
            <w:shd w:val="clear" w:color="auto" w:fill="CCEEFF"/>
            <w:noWrap/>
            <w:vAlign w:val="center"/>
            <w:hideMark/>
          </w:tcPr>
          <w:p w14:paraId="7A89C9A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0A9B9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FF83B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D6CBC21" w14:textId="77777777" w:rsidR="00000000" w:rsidRDefault="00EB4933">
            <w:pPr>
              <w:jc w:val="right"/>
              <w:rPr>
                <w:rFonts w:eastAsia="Times New Roman"/>
                <w:sz w:val="20"/>
                <w:szCs w:val="20"/>
              </w:rPr>
            </w:pPr>
            <w:r>
              <w:rPr>
                <w:rFonts w:eastAsia="Times New Roman"/>
                <w:sz w:val="20"/>
                <w:szCs w:val="20"/>
              </w:rPr>
              <w:t>132</w:t>
            </w:r>
          </w:p>
        </w:tc>
        <w:tc>
          <w:tcPr>
            <w:tcW w:w="50" w:type="pct"/>
            <w:shd w:val="clear" w:color="auto" w:fill="CCEEFF"/>
            <w:noWrap/>
            <w:vAlign w:val="center"/>
            <w:hideMark/>
          </w:tcPr>
          <w:p w14:paraId="6F79FDC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089EB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BCD48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E320BEA" w14:textId="77777777" w:rsidR="00000000" w:rsidRDefault="00EB4933">
            <w:pPr>
              <w:jc w:val="right"/>
              <w:rPr>
                <w:rFonts w:eastAsia="Times New Roman"/>
                <w:sz w:val="20"/>
                <w:szCs w:val="20"/>
              </w:rPr>
            </w:pPr>
            <w:r>
              <w:rPr>
                <w:rFonts w:eastAsia="Times New Roman"/>
                <w:sz w:val="20"/>
                <w:szCs w:val="20"/>
              </w:rPr>
              <w:t>19</w:t>
            </w:r>
          </w:p>
        </w:tc>
        <w:tc>
          <w:tcPr>
            <w:tcW w:w="50" w:type="pct"/>
            <w:shd w:val="clear" w:color="auto" w:fill="CCEEFF"/>
            <w:noWrap/>
            <w:vAlign w:val="center"/>
            <w:hideMark/>
          </w:tcPr>
          <w:p w14:paraId="61001E25" w14:textId="77777777" w:rsidR="00000000" w:rsidRDefault="00EB4933">
            <w:pPr>
              <w:pStyle w:val="NormalWeb"/>
              <w:spacing w:before="0" w:beforeAutospacing="0" w:after="0" w:afterAutospacing="0"/>
              <w:rPr>
                <w:sz w:val="20"/>
                <w:szCs w:val="20"/>
              </w:rPr>
            </w:pPr>
            <w:r>
              <w:rPr>
                <w:sz w:val="20"/>
                <w:szCs w:val="20"/>
              </w:rPr>
              <w:t> </w:t>
            </w:r>
          </w:p>
        </w:tc>
      </w:tr>
    </w:tbl>
    <w:p w14:paraId="504EF4CE"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p w14:paraId="00126C4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As of December 31, 2019, our cash, cash equivalents and restricted cash amounted to RMB132,000 ($19,000). Our cash, cash equivalents and restricted cash consist of cash on hand, cash deposited in banks and restricted cash at bank. </w:t>
      </w:r>
    </w:p>
    <w:p w14:paraId="5DD00F9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1F412F8" w14:textId="77777777" w:rsidR="00000000" w:rsidRDefault="00EB4933">
      <w:pPr>
        <w:pStyle w:val="NormalWeb"/>
        <w:spacing w:before="0" w:beforeAutospacing="0" w:after="0" w:afterAutospacing="0"/>
        <w:jc w:val="both"/>
        <w:divId w:val="98525094"/>
        <w:rPr>
          <w:sz w:val="20"/>
          <w:szCs w:val="20"/>
        </w:rPr>
      </w:pPr>
      <w:r>
        <w:rPr>
          <w:rStyle w:val="Strong"/>
          <w:sz w:val="20"/>
          <w:szCs w:val="20"/>
        </w:rPr>
        <w:t>Cash flow (used)/gener</w:t>
      </w:r>
      <w:r>
        <w:rPr>
          <w:rStyle w:val="Strong"/>
          <w:sz w:val="20"/>
          <w:szCs w:val="20"/>
        </w:rPr>
        <w:t>ated by operating activities</w:t>
      </w:r>
    </w:p>
    <w:p w14:paraId="5B886AC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B75B827"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net cash generated by operating activities primarily consists of profit before income tax, as adjusted by depreciation of property and equipment, allowance for loan and interest receivable losses, income tax paid, and cha</w:t>
      </w:r>
      <w:r>
        <w:rPr>
          <w:sz w:val="20"/>
          <w:szCs w:val="20"/>
        </w:rPr>
        <w:t>nges in assets and liabilities, which include interest receivables, loan receivables, prepaid expenses, advances from customers, salary and benefit payable, business and other taxes payable, interest payable, and other payable.</w:t>
      </w:r>
    </w:p>
    <w:p w14:paraId="0E2671C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3E8CA2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Our net cash generated by </w:t>
      </w:r>
      <w:r>
        <w:rPr>
          <w:sz w:val="20"/>
          <w:szCs w:val="20"/>
        </w:rPr>
        <w:t>operating activities for the year ended December 31, 2019 was RMB15.1 million ($2.2 million), which mainly consisted of (i) profit before taxation of RMB58.6 million ($8.4 million) adjusted by credit impairment losses for loans of RMB24.7 million ($3.5 mil</w:t>
      </w:r>
      <w:r>
        <w:rPr>
          <w:sz w:val="20"/>
          <w:szCs w:val="20"/>
        </w:rPr>
        <w:t xml:space="preserve">lion), (ii) increase in interest payable of RMB12.6 million ($1.8 million) due to non-payment, as mainly offset by decrease in loans receivables of RMB70.1 million ($10.1 million) due to novation of loans receivable to a related party to offset payable to </w:t>
      </w:r>
      <w:r>
        <w:rPr>
          <w:sz w:val="20"/>
          <w:szCs w:val="20"/>
        </w:rPr>
        <w:t>a related party and corresponding decrease in other payable of RMB25.1 million ($3.6 million).</w:t>
      </w:r>
    </w:p>
    <w:p w14:paraId="44A0C7C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71C4C4B"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net cash generated by operating activities for the year ended December 31, 2018 was RMB27.3 million, which mainly consisted of (i) profit before taxation o</w:t>
      </w:r>
      <w:r>
        <w:rPr>
          <w:sz w:val="20"/>
          <w:szCs w:val="20"/>
        </w:rPr>
        <w:t xml:space="preserve">f RMB26.2 million adjusted by credit impairment losses for loans of RMB66.9 million, (ii) increase in other payable of RMB9.4 million as funds provided by related parties to us for working capital purposes, as mainly offset by increase in loan receivables </w:t>
      </w:r>
      <w:r>
        <w:rPr>
          <w:sz w:val="20"/>
          <w:szCs w:val="20"/>
        </w:rPr>
        <w:t>of RMB79.6 million due to increase in credit impairment losses.</w:t>
      </w:r>
    </w:p>
    <w:p w14:paraId="43A7CBE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74599D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Our net cash used by operating activities for the year ended December 31, 2017 was RMB70.4 million, which mainly consisted of (i) increase in loan receivables of RMB121.0 million due to net </w:t>
      </w:r>
      <w:r>
        <w:rPr>
          <w:sz w:val="20"/>
          <w:szCs w:val="20"/>
        </w:rPr>
        <w:t>loan disbursements to customer, (ii) payment of taxes of RMB10.6 million for profit made during the year, and (iii) increase in interest receivables of RMB19.5 million due to increase in outstanding loan as of December 31, 2017, as mainly offset by (i) pro</w:t>
      </w:r>
      <w:r>
        <w:rPr>
          <w:sz w:val="20"/>
          <w:szCs w:val="20"/>
        </w:rPr>
        <w:t>fit before taxation of RMB44.4 million, and (ii) increase in other payable of RMB24.0 million mainly due to funding provided by a related party for payment of listing expenses.</w:t>
      </w:r>
    </w:p>
    <w:p w14:paraId="642C50F4"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501D4CB" w14:textId="77777777">
        <w:trPr>
          <w:divId w:val="98525094"/>
          <w:trHeight w:val="225"/>
          <w:tblCellSpacing w:w="15" w:type="dxa"/>
        </w:trPr>
        <w:tc>
          <w:tcPr>
            <w:tcW w:w="0" w:type="auto"/>
            <w:vAlign w:val="center"/>
            <w:hideMark/>
          </w:tcPr>
          <w:p w14:paraId="132A9E26" w14:textId="77777777" w:rsidR="00000000" w:rsidRDefault="00EB4933">
            <w:pPr>
              <w:rPr>
                <w:rFonts w:eastAsia="Times New Roman"/>
                <w:sz w:val="20"/>
                <w:szCs w:val="20"/>
              </w:rPr>
            </w:pPr>
            <w:r>
              <w:rPr>
                <w:rFonts w:eastAsia="Times New Roman"/>
                <w:sz w:val="20"/>
                <w:szCs w:val="20"/>
              </w:rPr>
              <w:t> </w:t>
            </w:r>
          </w:p>
        </w:tc>
      </w:tr>
      <w:tr w:rsidR="00000000" w14:paraId="3EF7D885" w14:textId="77777777">
        <w:trPr>
          <w:divId w:val="98525094"/>
          <w:trHeight w:val="225"/>
          <w:tblCellSpacing w:w="15" w:type="dxa"/>
        </w:trPr>
        <w:tc>
          <w:tcPr>
            <w:tcW w:w="0" w:type="auto"/>
            <w:tcBorders>
              <w:bottom w:val="single" w:sz="6" w:space="0" w:color="000000"/>
            </w:tcBorders>
            <w:vAlign w:val="center"/>
            <w:hideMark/>
          </w:tcPr>
          <w:p w14:paraId="124D6A68" w14:textId="77777777" w:rsidR="00000000" w:rsidRDefault="00EB4933">
            <w:pPr>
              <w:jc w:val="center"/>
              <w:rPr>
                <w:rFonts w:eastAsia="Times New Roman"/>
                <w:sz w:val="20"/>
                <w:szCs w:val="20"/>
              </w:rPr>
            </w:pPr>
            <w:r>
              <w:rPr>
                <w:rFonts w:eastAsia="Times New Roman"/>
                <w:sz w:val="20"/>
                <w:szCs w:val="20"/>
              </w:rPr>
              <w:t>69</w:t>
            </w:r>
          </w:p>
        </w:tc>
      </w:tr>
      <w:tr w:rsidR="00000000" w14:paraId="66601457" w14:textId="77777777">
        <w:trPr>
          <w:divId w:val="98525094"/>
          <w:trHeight w:val="225"/>
          <w:tblCellSpacing w:w="15" w:type="dxa"/>
        </w:trPr>
        <w:tc>
          <w:tcPr>
            <w:tcW w:w="0" w:type="auto"/>
            <w:vAlign w:val="center"/>
            <w:hideMark/>
          </w:tcPr>
          <w:p w14:paraId="453A3DC2" w14:textId="77777777" w:rsidR="00000000" w:rsidRDefault="00EB4933">
            <w:pPr>
              <w:rPr>
                <w:rFonts w:eastAsia="Times New Roman"/>
                <w:sz w:val="20"/>
                <w:szCs w:val="20"/>
              </w:rPr>
            </w:pPr>
          </w:p>
        </w:tc>
      </w:tr>
      <w:tr w:rsidR="00000000" w14:paraId="09DDB5E6" w14:textId="77777777">
        <w:trPr>
          <w:divId w:val="98525094"/>
          <w:trHeight w:val="225"/>
          <w:tblCellSpacing w:w="15" w:type="dxa"/>
        </w:trPr>
        <w:tc>
          <w:tcPr>
            <w:tcW w:w="0" w:type="auto"/>
            <w:vAlign w:val="center"/>
            <w:hideMark/>
          </w:tcPr>
          <w:p w14:paraId="0EF937C8" w14:textId="77777777" w:rsidR="00000000" w:rsidRDefault="00EB4933">
            <w:pPr>
              <w:rPr>
                <w:rFonts w:eastAsia="Times New Roman"/>
                <w:sz w:val="20"/>
                <w:szCs w:val="20"/>
              </w:rPr>
            </w:pPr>
            <w:hyperlink r:id="rId129" w:anchor="toc" w:history="1">
              <w:r>
                <w:rPr>
                  <w:rStyle w:val="Hyperlink"/>
                  <w:rFonts w:eastAsia="Times New Roman"/>
                  <w:i/>
                  <w:iCs/>
                  <w:sz w:val="20"/>
                  <w:szCs w:val="20"/>
                </w:rPr>
                <w:t>Table of Contents</w:t>
              </w:r>
            </w:hyperlink>
          </w:p>
        </w:tc>
      </w:tr>
    </w:tbl>
    <w:p w14:paraId="1997DB8D"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71CE5D07" w14:textId="77777777" w:rsidR="00000000" w:rsidRDefault="00EB4933">
      <w:pPr>
        <w:pStyle w:val="NormalWeb"/>
        <w:spacing w:before="0" w:beforeAutospacing="0" w:after="0" w:afterAutospacing="0"/>
        <w:jc w:val="both"/>
        <w:divId w:val="98525094"/>
        <w:rPr>
          <w:sz w:val="20"/>
          <w:szCs w:val="20"/>
        </w:rPr>
      </w:pPr>
      <w:r>
        <w:rPr>
          <w:rStyle w:val="Strong"/>
          <w:sz w:val="20"/>
          <w:szCs w:val="20"/>
        </w:rPr>
        <w:t>Cash flow used in investing activities</w:t>
      </w:r>
    </w:p>
    <w:p w14:paraId="14D3C73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B8E2B3A"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net cash of RMB76,000 ($11,000) used in investing activities for the year ended December 31, 2019, mainly consisted of payment for property and equipment of RMB271,000 ($39,000) as offset b</w:t>
      </w:r>
      <w:r>
        <w:rPr>
          <w:sz w:val="20"/>
          <w:szCs w:val="20"/>
        </w:rPr>
        <w:t>y disposal of a motor vehicle of RMB195,000 ($28,000).</w:t>
      </w:r>
    </w:p>
    <w:p w14:paraId="381D03E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C2C42E2"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net cash of RMB18.4 million used in investing activities for the year ended December 31, 2018, mainly consisted of payment for property and equipment of RMB18.4 million.</w:t>
      </w:r>
    </w:p>
    <w:p w14:paraId="590EC33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6653E5A"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net cash of RMB14.9</w:t>
      </w:r>
      <w:r>
        <w:rPr>
          <w:sz w:val="20"/>
          <w:szCs w:val="20"/>
        </w:rPr>
        <w:t xml:space="preserve"> million used in investing activities for the year ended December 31, 2017, mainly consisted of down payment of RMB14.9 million for a property.</w:t>
      </w:r>
    </w:p>
    <w:p w14:paraId="1515BCD8"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DFA5C25" w14:textId="77777777" w:rsidR="00000000" w:rsidRDefault="00EB4933">
      <w:pPr>
        <w:pStyle w:val="NormalWeb"/>
        <w:spacing w:before="0" w:beforeAutospacing="0" w:after="0" w:afterAutospacing="0"/>
        <w:jc w:val="both"/>
        <w:divId w:val="98525094"/>
        <w:rPr>
          <w:sz w:val="20"/>
          <w:szCs w:val="20"/>
        </w:rPr>
      </w:pPr>
      <w:r>
        <w:rPr>
          <w:rStyle w:val="Strong"/>
          <w:sz w:val="20"/>
          <w:szCs w:val="20"/>
        </w:rPr>
        <w:t>Net cash generated/(used) by financing activities</w:t>
      </w:r>
    </w:p>
    <w:p w14:paraId="08ADE1B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1B80CA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Our net cash of RMB18.5 million ($2.7 million) used by financing activities for the year ended December 31, 2019, mainly consisted of cash outflows of RMB79.3 million ($11.4 million) repayments of loans payable, partially offset by cash inflows of RMB48.1 </w:t>
      </w:r>
      <w:r>
        <w:rPr>
          <w:sz w:val="20"/>
          <w:szCs w:val="20"/>
        </w:rPr>
        <w:t>million ($6.9 million) received from loans payable.</w:t>
      </w:r>
    </w:p>
    <w:p w14:paraId="5CCA5C3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5A400231"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 xml:space="preserve">Our net cash of RMB26.8 million used by financing activities for the year ended December 31, 2018, mainly consisted of cash outflows of RMB414.9 million repayments of loans payable, partially offset by </w:t>
      </w:r>
      <w:r>
        <w:rPr>
          <w:sz w:val="20"/>
          <w:szCs w:val="20"/>
        </w:rPr>
        <w:t>cash inflows of RMB308.6 million received from loans payable.</w:t>
      </w:r>
    </w:p>
    <w:p w14:paraId="64A100B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FA47FEA"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net cash of RMB10.3 million generated by financing activities for the year ended December 31, 2017, mainly consisted of cash inflows of RMB363.7 million received from loans payable and loa</w:t>
      </w:r>
      <w:r>
        <w:rPr>
          <w:sz w:val="20"/>
          <w:szCs w:val="20"/>
        </w:rPr>
        <w:t>ns of RMB52.6 million received from shareholders, partially offset by cash outflows of RMB347.8 million repayments of loans payable and repayments of RMB42.6 million loan to a shareholder.</w:t>
      </w:r>
    </w:p>
    <w:p w14:paraId="34CBDFE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C59FEC9" w14:textId="77777777" w:rsidR="00000000" w:rsidRDefault="00EB4933">
      <w:pPr>
        <w:pStyle w:val="NormalWeb"/>
        <w:spacing w:before="0" w:beforeAutospacing="0" w:after="0" w:afterAutospacing="0"/>
        <w:jc w:val="both"/>
        <w:divId w:val="98525094"/>
        <w:rPr>
          <w:sz w:val="20"/>
          <w:szCs w:val="20"/>
        </w:rPr>
      </w:pPr>
      <w:r>
        <w:rPr>
          <w:rStyle w:val="Strong"/>
          <w:sz w:val="20"/>
          <w:szCs w:val="20"/>
        </w:rPr>
        <w:t>Capital Resources</w:t>
      </w:r>
    </w:p>
    <w:p w14:paraId="7390124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919FC8A"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capital expenditures, consisting of the p</w:t>
      </w:r>
      <w:r>
        <w:rPr>
          <w:sz w:val="20"/>
          <w:szCs w:val="20"/>
        </w:rPr>
        <w:t>urchase of motor vehicles, leasehold improvements, office equipment and furniture, were RMB14.9 million, RMB18.4 million and RMB271,000 ($39,000) in 2017, 2018 and 2019, respectively. Historically, we have financed our operations primarily through cash flo</w:t>
      </w:r>
      <w:r>
        <w:rPr>
          <w:sz w:val="20"/>
          <w:szCs w:val="20"/>
        </w:rPr>
        <w:t>ws from operations and have not relied on any other sources to finance our operations.</w:t>
      </w:r>
    </w:p>
    <w:p w14:paraId="74FA36B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E12CD32" w14:textId="77777777" w:rsidR="00000000" w:rsidRDefault="00EB4933">
      <w:pPr>
        <w:pStyle w:val="NormalWeb"/>
        <w:spacing w:before="0" w:beforeAutospacing="0" w:after="0" w:afterAutospacing="0"/>
        <w:jc w:val="both"/>
        <w:divId w:val="98525094"/>
        <w:rPr>
          <w:sz w:val="20"/>
          <w:szCs w:val="20"/>
        </w:rPr>
      </w:pPr>
      <w:r>
        <w:rPr>
          <w:rStyle w:val="Strong"/>
          <w:sz w:val="20"/>
          <w:szCs w:val="20"/>
        </w:rPr>
        <w:t>C. Research and Development</w:t>
      </w:r>
      <w:r>
        <w:rPr>
          <w:sz w:val="20"/>
          <w:szCs w:val="20"/>
        </w:rPr>
        <w:t xml:space="preserve"> </w:t>
      </w:r>
    </w:p>
    <w:p w14:paraId="7256DD9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97FCF50"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We have not made, and do not expect to make significant expenditures on research and development. </w:t>
      </w:r>
    </w:p>
    <w:p w14:paraId="0740E17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F157A6D" w14:textId="77777777" w:rsidR="00000000" w:rsidRDefault="00EB4933">
      <w:pPr>
        <w:pStyle w:val="NormalWeb"/>
        <w:spacing w:before="0" w:beforeAutospacing="0" w:after="0" w:afterAutospacing="0"/>
        <w:jc w:val="both"/>
        <w:divId w:val="98525094"/>
        <w:rPr>
          <w:sz w:val="20"/>
          <w:szCs w:val="20"/>
        </w:rPr>
      </w:pPr>
      <w:r>
        <w:rPr>
          <w:rStyle w:val="Strong"/>
          <w:sz w:val="20"/>
          <w:szCs w:val="20"/>
        </w:rPr>
        <w:t>D. Trend Information</w:t>
      </w:r>
      <w:r>
        <w:rPr>
          <w:sz w:val="20"/>
          <w:szCs w:val="20"/>
        </w:rPr>
        <w:t xml:space="preserve"> </w:t>
      </w:r>
    </w:p>
    <w:p w14:paraId="5606814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29AB79E"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Other than </w:t>
      </w:r>
      <w:r>
        <w:rPr>
          <w:sz w:val="20"/>
          <w:szCs w:val="20"/>
        </w:rPr>
        <w:t>as disclosed elsewhere herein, we are not aware of any trends, uncertainties, demands, commitments or events for the year ended December 31, 2019 that are reasonably likely to have a material adverse effect on our net revenues, income, profitability, liqui</w:t>
      </w:r>
      <w:r>
        <w:rPr>
          <w:sz w:val="20"/>
          <w:szCs w:val="20"/>
        </w:rPr>
        <w:t>dity or capital resources, or that would cause the disclosed financial information to be not necessarily indicative of future operating results or financial conditions.</w:t>
      </w:r>
    </w:p>
    <w:p w14:paraId="14830A0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224A263" w14:textId="77777777" w:rsidR="00000000" w:rsidRDefault="00EB4933">
      <w:pPr>
        <w:pStyle w:val="NormalWeb"/>
        <w:spacing w:before="0" w:beforeAutospacing="0" w:after="0" w:afterAutospacing="0"/>
        <w:jc w:val="both"/>
        <w:divId w:val="98525094"/>
        <w:rPr>
          <w:sz w:val="20"/>
          <w:szCs w:val="20"/>
        </w:rPr>
      </w:pPr>
      <w:r>
        <w:rPr>
          <w:rStyle w:val="Strong"/>
          <w:sz w:val="20"/>
          <w:szCs w:val="20"/>
        </w:rPr>
        <w:t>E. Off-Balance Sheet Arrangements</w:t>
      </w:r>
      <w:r>
        <w:rPr>
          <w:sz w:val="20"/>
          <w:szCs w:val="20"/>
        </w:rPr>
        <w:t xml:space="preserve"> </w:t>
      </w:r>
    </w:p>
    <w:p w14:paraId="52765C6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1C383E2"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did not have any off-balance sheet commitment</w:t>
      </w:r>
      <w:r>
        <w:rPr>
          <w:sz w:val="20"/>
          <w:szCs w:val="20"/>
        </w:rPr>
        <w:t>s or arrangements as of December 31, 2019. We have not entered into, nor do we expect to enter into, any off-balance sheet arrangements. We also have not entered into any financial guarantees or other commitments to guarantee the payment obligations of thi</w:t>
      </w:r>
      <w:r>
        <w:rPr>
          <w:sz w:val="20"/>
          <w:szCs w:val="20"/>
        </w:rPr>
        <w:t>rd parties. In addition, we have not entered into any derivative contracts that are indexed to our equity interests and classified as shareholders’ equity. Furthermore, we do not have any retained or contingent interest in assets transferred to an unconsol</w:t>
      </w:r>
      <w:r>
        <w:rPr>
          <w:sz w:val="20"/>
          <w:szCs w:val="20"/>
        </w:rPr>
        <w:t>idated entity that serves as credit, liquidity or market risk support to such entity. We do not have any variable interest in any unconsolidated entity that provides financing, liquidity, market risk or credit support to us or that engages in leasing, hedg</w:t>
      </w:r>
      <w:r>
        <w:rPr>
          <w:sz w:val="20"/>
          <w:szCs w:val="20"/>
        </w:rPr>
        <w:t>ing or research and development services with us.</w:t>
      </w:r>
    </w:p>
    <w:p w14:paraId="64A742E0"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2FFDCB4" w14:textId="77777777">
        <w:trPr>
          <w:divId w:val="98525094"/>
          <w:trHeight w:val="225"/>
          <w:tblCellSpacing w:w="15" w:type="dxa"/>
        </w:trPr>
        <w:tc>
          <w:tcPr>
            <w:tcW w:w="0" w:type="auto"/>
            <w:vAlign w:val="center"/>
            <w:hideMark/>
          </w:tcPr>
          <w:p w14:paraId="7FBD7A0A" w14:textId="77777777" w:rsidR="00000000" w:rsidRDefault="00EB4933">
            <w:pPr>
              <w:rPr>
                <w:rFonts w:eastAsia="Times New Roman"/>
                <w:sz w:val="20"/>
                <w:szCs w:val="20"/>
              </w:rPr>
            </w:pPr>
            <w:r>
              <w:rPr>
                <w:rFonts w:eastAsia="Times New Roman"/>
                <w:sz w:val="20"/>
                <w:szCs w:val="20"/>
              </w:rPr>
              <w:t> </w:t>
            </w:r>
          </w:p>
        </w:tc>
      </w:tr>
      <w:tr w:rsidR="00000000" w14:paraId="6127460B" w14:textId="77777777">
        <w:trPr>
          <w:divId w:val="98525094"/>
          <w:trHeight w:val="225"/>
          <w:tblCellSpacing w:w="15" w:type="dxa"/>
        </w:trPr>
        <w:tc>
          <w:tcPr>
            <w:tcW w:w="0" w:type="auto"/>
            <w:tcBorders>
              <w:bottom w:val="single" w:sz="6" w:space="0" w:color="000000"/>
            </w:tcBorders>
            <w:vAlign w:val="center"/>
            <w:hideMark/>
          </w:tcPr>
          <w:p w14:paraId="4CC29DA9" w14:textId="77777777" w:rsidR="00000000" w:rsidRDefault="00EB4933">
            <w:pPr>
              <w:jc w:val="center"/>
              <w:rPr>
                <w:rFonts w:eastAsia="Times New Roman"/>
                <w:sz w:val="20"/>
                <w:szCs w:val="20"/>
              </w:rPr>
            </w:pPr>
            <w:r>
              <w:rPr>
                <w:rFonts w:eastAsia="Times New Roman"/>
                <w:sz w:val="20"/>
                <w:szCs w:val="20"/>
              </w:rPr>
              <w:t>70</w:t>
            </w:r>
          </w:p>
        </w:tc>
      </w:tr>
      <w:tr w:rsidR="00000000" w14:paraId="1775B4EA" w14:textId="77777777">
        <w:trPr>
          <w:divId w:val="98525094"/>
          <w:trHeight w:val="225"/>
          <w:tblCellSpacing w:w="15" w:type="dxa"/>
        </w:trPr>
        <w:tc>
          <w:tcPr>
            <w:tcW w:w="0" w:type="auto"/>
            <w:vAlign w:val="center"/>
            <w:hideMark/>
          </w:tcPr>
          <w:p w14:paraId="3AB6F22E" w14:textId="77777777" w:rsidR="00000000" w:rsidRDefault="00EB4933">
            <w:pPr>
              <w:rPr>
                <w:rFonts w:eastAsia="Times New Roman"/>
                <w:sz w:val="20"/>
                <w:szCs w:val="20"/>
              </w:rPr>
            </w:pPr>
          </w:p>
        </w:tc>
      </w:tr>
      <w:tr w:rsidR="00000000" w14:paraId="343B3C8B" w14:textId="77777777">
        <w:trPr>
          <w:divId w:val="98525094"/>
          <w:trHeight w:val="225"/>
          <w:tblCellSpacing w:w="15" w:type="dxa"/>
        </w:trPr>
        <w:tc>
          <w:tcPr>
            <w:tcW w:w="0" w:type="auto"/>
            <w:vAlign w:val="center"/>
            <w:hideMark/>
          </w:tcPr>
          <w:p w14:paraId="19AA458F" w14:textId="77777777" w:rsidR="00000000" w:rsidRDefault="00EB4933">
            <w:pPr>
              <w:rPr>
                <w:rFonts w:eastAsia="Times New Roman"/>
                <w:sz w:val="20"/>
                <w:szCs w:val="20"/>
              </w:rPr>
            </w:pPr>
            <w:hyperlink r:id="rId130" w:anchor="toc" w:history="1">
              <w:r>
                <w:rPr>
                  <w:rStyle w:val="Hyperlink"/>
                  <w:rFonts w:eastAsia="Times New Roman"/>
                  <w:i/>
                  <w:iCs/>
                  <w:sz w:val="20"/>
                  <w:szCs w:val="20"/>
                </w:rPr>
                <w:t>Table of Contents</w:t>
              </w:r>
            </w:hyperlink>
          </w:p>
        </w:tc>
      </w:tr>
    </w:tbl>
    <w:p w14:paraId="5F8E5FCF"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73FE74B1" w14:textId="77777777" w:rsidR="00000000" w:rsidRDefault="00EB4933">
      <w:pPr>
        <w:pStyle w:val="NormalWeb"/>
        <w:spacing w:before="0" w:beforeAutospacing="0" w:after="0" w:afterAutospacing="0"/>
        <w:jc w:val="both"/>
        <w:divId w:val="98525094"/>
        <w:rPr>
          <w:sz w:val="20"/>
          <w:szCs w:val="20"/>
        </w:rPr>
      </w:pPr>
      <w:r>
        <w:rPr>
          <w:rStyle w:val="Strong"/>
          <w:sz w:val="20"/>
          <w:szCs w:val="20"/>
        </w:rPr>
        <w:t>F. Tabular Disclosure of Contractual Obligations</w:t>
      </w:r>
    </w:p>
    <w:p w14:paraId="03CFAB1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0E3E793"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following table sets forth our contractual obligations as of December 31, 2019.</w:t>
      </w:r>
    </w:p>
    <w:p w14:paraId="5237D827"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525"/>
        <w:gridCol w:w="117"/>
        <w:gridCol w:w="117"/>
        <w:gridCol w:w="813"/>
        <w:gridCol w:w="117"/>
        <w:gridCol w:w="117"/>
        <w:gridCol w:w="117"/>
        <w:gridCol w:w="813"/>
        <w:gridCol w:w="117"/>
        <w:gridCol w:w="117"/>
        <w:gridCol w:w="117"/>
        <w:gridCol w:w="813"/>
        <w:gridCol w:w="117"/>
        <w:gridCol w:w="117"/>
        <w:gridCol w:w="117"/>
        <w:gridCol w:w="813"/>
        <w:gridCol w:w="117"/>
        <w:gridCol w:w="117"/>
        <w:gridCol w:w="117"/>
        <w:gridCol w:w="813"/>
        <w:gridCol w:w="132"/>
      </w:tblGrid>
      <w:tr w:rsidR="00000000" w14:paraId="7CA92086" w14:textId="77777777">
        <w:trPr>
          <w:divId w:val="98525094"/>
          <w:trHeight w:val="225"/>
          <w:tblCellSpacing w:w="15" w:type="dxa"/>
        </w:trPr>
        <w:tc>
          <w:tcPr>
            <w:tcW w:w="0" w:type="auto"/>
            <w:vAlign w:val="center"/>
            <w:hideMark/>
          </w:tcPr>
          <w:p w14:paraId="436C43A2"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B6B742C"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18"/>
            <w:tcBorders>
              <w:bottom w:val="single" w:sz="6" w:space="0" w:color="000000"/>
            </w:tcBorders>
            <w:vAlign w:val="bottom"/>
            <w:hideMark/>
          </w:tcPr>
          <w:p w14:paraId="5454790D" w14:textId="77777777" w:rsidR="00000000" w:rsidRDefault="00EB4933">
            <w:pPr>
              <w:pStyle w:val="NormalWeb"/>
              <w:spacing w:before="0" w:beforeAutospacing="0" w:after="0" w:afterAutospacing="0"/>
              <w:jc w:val="center"/>
              <w:rPr>
                <w:sz w:val="20"/>
                <w:szCs w:val="20"/>
              </w:rPr>
            </w:pPr>
            <w:r>
              <w:rPr>
                <w:rStyle w:val="Strong"/>
                <w:sz w:val="20"/>
                <w:szCs w:val="20"/>
              </w:rPr>
              <w:t>Payments Due By Period</w:t>
            </w:r>
          </w:p>
        </w:tc>
        <w:tc>
          <w:tcPr>
            <w:tcW w:w="0" w:type="auto"/>
            <w:noWrap/>
            <w:vAlign w:val="center"/>
            <w:hideMark/>
          </w:tcPr>
          <w:p w14:paraId="47B4C2FC" w14:textId="77777777" w:rsidR="00000000" w:rsidRDefault="00EB4933">
            <w:pPr>
              <w:pStyle w:val="NormalWeb"/>
              <w:spacing w:before="0" w:beforeAutospacing="0" w:after="0" w:afterAutospacing="0"/>
              <w:rPr>
                <w:sz w:val="20"/>
                <w:szCs w:val="20"/>
              </w:rPr>
            </w:pPr>
            <w:r>
              <w:rPr>
                <w:rStyle w:val="Strong"/>
                <w:sz w:val="20"/>
                <w:szCs w:val="20"/>
              </w:rPr>
              <w:t> </w:t>
            </w:r>
          </w:p>
        </w:tc>
      </w:tr>
      <w:tr w:rsidR="00000000" w14:paraId="603AD28E" w14:textId="77777777">
        <w:trPr>
          <w:divId w:val="98525094"/>
          <w:trHeight w:val="225"/>
          <w:tblCellSpacing w:w="15" w:type="dxa"/>
        </w:trPr>
        <w:tc>
          <w:tcPr>
            <w:tcW w:w="0" w:type="auto"/>
            <w:vAlign w:val="center"/>
            <w:hideMark/>
          </w:tcPr>
          <w:p w14:paraId="7F51B2DB" w14:textId="77777777" w:rsidR="00000000" w:rsidRDefault="00EB4933">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7C477743" w14:textId="77777777" w:rsidR="00000000" w:rsidRDefault="00EB4933">
            <w:pPr>
              <w:pStyle w:val="NormalWeb"/>
              <w:spacing w:before="0" w:beforeAutospacing="0" w:after="0" w:afterAutospacing="0"/>
              <w:rPr>
                <w:sz w:val="20"/>
                <w:szCs w:val="20"/>
              </w:rPr>
            </w:pPr>
            <w:r>
              <w:rPr>
                <w:rStyle w:val="Strong"/>
                <w:sz w:val="20"/>
                <w:szCs w:val="20"/>
              </w:rPr>
              <w:t> </w:t>
            </w:r>
          </w:p>
        </w:tc>
        <w:tc>
          <w:tcPr>
            <w:tcW w:w="450" w:type="pct"/>
            <w:gridSpan w:val="2"/>
            <w:tcBorders>
              <w:bottom w:val="single" w:sz="6" w:space="0" w:color="000000"/>
            </w:tcBorders>
            <w:vAlign w:val="bottom"/>
            <w:hideMark/>
          </w:tcPr>
          <w:p w14:paraId="5CB74158" w14:textId="77777777" w:rsidR="00000000" w:rsidRDefault="00EB4933">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7D52BE7B" w14:textId="77777777" w:rsidR="00000000" w:rsidRDefault="00EB4933">
            <w:pPr>
              <w:pStyle w:val="NormalWeb"/>
              <w:spacing w:before="0" w:beforeAutospacing="0" w:after="0" w:afterAutospacing="0"/>
              <w:rPr>
                <w:sz w:val="20"/>
                <w:szCs w:val="20"/>
              </w:rPr>
            </w:pPr>
            <w:r>
              <w:rPr>
                <w:rStyle w:val="Strong"/>
                <w:sz w:val="20"/>
                <w:szCs w:val="20"/>
              </w:rPr>
              <w:t> </w:t>
            </w:r>
          </w:p>
        </w:tc>
        <w:tc>
          <w:tcPr>
            <w:tcW w:w="0" w:type="auto"/>
            <w:tcBorders>
              <w:bottom w:val="single" w:sz="6" w:space="0" w:color="000000"/>
            </w:tcBorders>
            <w:noWrap/>
            <w:vAlign w:val="center"/>
            <w:hideMark/>
          </w:tcPr>
          <w:p w14:paraId="6A627C00" w14:textId="77777777" w:rsidR="00000000" w:rsidRDefault="00EB4933">
            <w:pPr>
              <w:pStyle w:val="NormalWeb"/>
              <w:spacing w:before="0" w:beforeAutospacing="0" w:after="0" w:afterAutospacing="0"/>
              <w:rPr>
                <w:sz w:val="20"/>
                <w:szCs w:val="20"/>
              </w:rPr>
            </w:pPr>
            <w:r>
              <w:rPr>
                <w:rStyle w:val="Strong"/>
                <w:sz w:val="20"/>
                <w:szCs w:val="20"/>
              </w:rPr>
              <w:t> </w:t>
            </w:r>
          </w:p>
        </w:tc>
        <w:tc>
          <w:tcPr>
            <w:tcW w:w="450" w:type="pct"/>
            <w:gridSpan w:val="2"/>
            <w:tcBorders>
              <w:bottom w:val="single" w:sz="6" w:space="0" w:color="000000"/>
            </w:tcBorders>
            <w:vAlign w:val="bottom"/>
            <w:hideMark/>
          </w:tcPr>
          <w:p w14:paraId="5F3C0E00" w14:textId="77777777" w:rsidR="00000000" w:rsidRDefault="00EB4933">
            <w:pPr>
              <w:pStyle w:val="NormalWeb"/>
              <w:spacing w:before="0" w:beforeAutospacing="0" w:after="0" w:afterAutospacing="0"/>
              <w:jc w:val="center"/>
              <w:rPr>
                <w:sz w:val="20"/>
                <w:szCs w:val="20"/>
              </w:rPr>
            </w:pPr>
            <w:r>
              <w:rPr>
                <w:rStyle w:val="Strong"/>
                <w:sz w:val="20"/>
                <w:szCs w:val="20"/>
              </w:rPr>
              <w:t>Less Than 1 Year</w:t>
            </w:r>
          </w:p>
        </w:tc>
        <w:tc>
          <w:tcPr>
            <w:tcW w:w="0" w:type="auto"/>
            <w:noWrap/>
            <w:tcMar>
              <w:top w:w="0" w:type="dxa"/>
              <w:left w:w="0" w:type="dxa"/>
              <w:bottom w:w="15" w:type="dxa"/>
              <w:right w:w="0" w:type="dxa"/>
            </w:tcMar>
            <w:vAlign w:val="center"/>
            <w:hideMark/>
          </w:tcPr>
          <w:p w14:paraId="1DF1F576" w14:textId="77777777" w:rsidR="00000000" w:rsidRDefault="00EB4933">
            <w:pPr>
              <w:pStyle w:val="NormalWeb"/>
              <w:spacing w:before="0" w:beforeAutospacing="0" w:after="0" w:afterAutospacing="0"/>
              <w:rPr>
                <w:sz w:val="20"/>
                <w:szCs w:val="20"/>
              </w:rPr>
            </w:pPr>
            <w:r>
              <w:rPr>
                <w:rStyle w:val="Strong"/>
                <w:sz w:val="20"/>
                <w:szCs w:val="20"/>
              </w:rPr>
              <w:t> </w:t>
            </w:r>
          </w:p>
        </w:tc>
        <w:tc>
          <w:tcPr>
            <w:tcW w:w="0" w:type="auto"/>
            <w:tcBorders>
              <w:bottom w:val="single" w:sz="6" w:space="0" w:color="000000"/>
            </w:tcBorders>
            <w:noWrap/>
            <w:vAlign w:val="center"/>
            <w:hideMark/>
          </w:tcPr>
          <w:p w14:paraId="66627313" w14:textId="77777777" w:rsidR="00000000" w:rsidRDefault="00EB4933">
            <w:pPr>
              <w:pStyle w:val="NormalWeb"/>
              <w:spacing w:before="0" w:beforeAutospacing="0" w:after="0" w:afterAutospacing="0"/>
              <w:rPr>
                <w:sz w:val="20"/>
                <w:szCs w:val="20"/>
              </w:rPr>
            </w:pPr>
            <w:r>
              <w:rPr>
                <w:rStyle w:val="Strong"/>
                <w:sz w:val="20"/>
                <w:szCs w:val="20"/>
              </w:rPr>
              <w:t> </w:t>
            </w:r>
          </w:p>
        </w:tc>
        <w:tc>
          <w:tcPr>
            <w:tcW w:w="450" w:type="pct"/>
            <w:gridSpan w:val="2"/>
            <w:tcBorders>
              <w:bottom w:val="single" w:sz="6" w:space="0" w:color="000000"/>
            </w:tcBorders>
            <w:vAlign w:val="bottom"/>
            <w:hideMark/>
          </w:tcPr>
          <w:p w14:paraId="69E59D7B" w14:textId="77777777" w:rsidR="00000000" w:rsidRDefault="00EB4933">
            <w:pPr>
              <w:pStyle w:val="NormalWeb"/>
              <w:spacing w:before="0" w:beforeAutospacing="0" w:after="0" w:afterAutospacing="0"/>
              <w:jc w:val="center"/>
              <w:rPr>
                <w:sz w:val="20"/>
                <w:szCs w:val="20"/>
              </w:rPr>
            </w:pPr>
            <w:r>
              <w:rPr>
                <w:rStyle w:val="Strong"/>
                <w:sz w:val="20"/>
                <w:szCs w:val="20"/>
              </w:rPr>
              <w:t>1-3 Years</w:t>
            </w:r>
          </w:p>
        </w:tc>
        <w:tc>
          <w:tcPr>
            <w:tcW w:w="0" w:type="auto"/>
            <w:noWrap/>
            <w:tcMar>
              <w:top w:w="0" w:type="dxa"/>
              <w:left w:w="0" w:type="dxa"/>
              <w:bottom w:w="15" w:type="dxa"/>
              <w:right w:w="0" w:type="dxa"/>
            </w:tcMar>
            <w:vAlign w:val="center"/>
            <w:hideMark/>
          </w:tcPr>
          <w:p w14:paraId="28D76202" w14:textId="77777777" w:rsidR="00000000" w:rsidRDefault="00EB4933">
            <w:pPr>
              <w:pStyle w:val="NormalWeb"/>
              <w:spacing w:before="0" w:beforeAutospacing="0" w:after="0" w:afterAutospacing="0"/>
              <w:rPr>
                <w:sz w:val="20"/>
                <w:szCs w:val="20"/>
              </w:rPr>
            </w:pPr>
            <w:r>
              <w:rPr>
                <w:rStyle w:val="Strong"/>
                <w:sz w:val="20"/>
                <w:szCs w:val="20"/>
              </w:rPr>
              <w:t> </w:t>
            </w:r>
          </w:p>
        </w:tc>
        <w:tc>
          <w:tcPr>
            <w:tcW w:w="0" w:type="auto"/>
            <w:tcBorders>
              <w:bottom w:val="single" w:sz="6" w:space="0" w:color="000000"/>
            </w:tcBorders>
            <w:noWrap/>
            <w:vAlign w:val="center"/>
            <w:hideMark/>
          </w:tcPr>
          <w:p w14:paraId="69D7B6E6" w14:textId="77777777" w:rsidR="00000000" w:rsidRDefault="00EB4933">
            <w:pPr>
              <w:pStyle w:val="NormalWeb"/>
              <w:spacing w:before="0" w:beforeAutospacing="0" w:after="0" w:afterAutospacing="0"/>
              <w:rPr>
                <w:sz w:val="20"/>
                <w:szCs w:val="20"/>
              </w:rPr>
            </w:pPr>
            <w:r>
              <w:rPr>
                <w:rStyle w:val="Strong"/>
                <w:sz w:val="20"/>
                <w:szCs w:val="20"/>
              </w:rPr>
              <w:t> </w:t>
            </w:r>
          </w:p>
        </w:tc>
        <w:tc>
          <w:tcPr>
            <w:tcW w:w="450" w:type="pct"/>
            <w:gridSpan w:val="2"/>
            <w:tcBorders>
              <w:bottom w:val="single" w:sz="6" w:space="0" w:color="000000"/>
            </w:tcBorders>
            <w:vAlign w:val="bottom"/>
            <w:hideMark/>
          </w:tcPr>
          <w:p w14:paraId="13907D09" w14:textId="77777777" w:rsidR="00000000" w:rsidRDefault="00EB4933">
            <w:pPr>
              <w:pStyle w:val="NormalWeb"/>
              <w:spacing w:before="0" w:beforeAutospacing="0" w:after="0" w:afterAutospacing="0"/>
              <w:jc w:val="center"/>
              <w:rPr>
                <w:sz w:val="20"/>
                <w:szCs w:val="20"/>
              </w:rPr>
            </w:pPr>
            <w:r>
              <w:rPr>
                <w:rStyle w:val="Strong"/>
                <w:sz w:val="20"/>
                <w:szCs w:val="20"/>
              </w:rPr>
              <w:t>3-5 Years</w:t>
            </w:r>
          </w:p>
        </w:tc>
        <w:tc>
          <w:tcPr>
            <w:tcW w:w="0" w:type="auto"/>
            <w:noWrap/>
            <w:tcMar>
              <w:top w:w="0" w:type="dxa"/>
              <w:left w:w="0" w:type="dxa"/>
              <w:bottom w:w="15" w:type="dxa"/>
              <w:right w:w="0" w:type="dxa"/>
            </w:tcMar>
            <w:vAlign w:val="center"/>
            <w:hideMark/>
          </w:tcPr>
          <w:p w14:paraId="29196FD4" w14:textId="77777777" w:rsidR="00000000" w:rsidRDefault="00EB4933">
            <w:pPr>
              <w:pStyle w:val="NormalWeb"/>
              <w:spacing w:before="0" w:beforeAutospacing="0" w:after="0" w:afterAutospacing="0"/>
              <w:rPr>
                <w:sz w:val="20"/>
                <w:szCs w:val="20"/>
              </w:rPr>
            </w:pPr>
            <w:r>
              <w:rPr>
                <w:rStyle w:val="Strong"/>
                <w:sz w:val="20"/>
                <w:szCs w:val="20"/>
              </w:rPr>
              <w:t> </w:t>
            </w:r>
          </w:p>
        </w:tc>
        <w:tc>
          <w:tcPr>
            <w:tcW w:w="0" w:type="auto"/>
            <w:tcBorders>
              <w:bottom w:val="single" w:sz="6" w:space="0" w:color="000000"/>
            </w:tcBorders>
            <w:noWrap/>
            <w:vAlign w:val="center"/>
            <w:hideMark/>
          </w:tcPr>
          <w:p w14:paraId="4FE3DC46" w14:textId="77777777" w:rsidR="00000000" w:rsidRDefault="00EB4933">
            <w:pPr>
              <w:pStyle w:val="NormalWeb"/>
              <w:spacing w:before="0" w:beforeAutospacing="0" w:after="0" w:afterAutospacing="0"/>
              <w:rPr>
                <w:sz w:val="20"/>
                <w:szCs w:val="20"/>
              </w:rPr>
            </w:pPr>
            <w:r>
              <w:rPr>
                <w:rStyle w:val="Strong"/>
                <w:sz w:val="20"/>
                <w:szCs w:val="20"/>
              </w:rPr>
              <w:t> </w:t>
            </w:r>
          </w:p>
        </w:tc>
        <w:tc>
          <w:tcPr>
            <w:tcW w:w="450" w:type="pct"/>
            <w:gridSpan w:val="2"/>
            <w:tcBorders>
              <w:bottom w:val="single" w:sz="6" w:space="0" w:color="000000"/>
            </w:tcBorders>
            <w:vAlign w:val="bottom"/>
            <w:hideMark/>
          </w:tcPr>
          <w:p w14:paraId="73865579" w14:textId="77777777" w:rsidR="00000000" w:rsidRDefault="00EB4933">
            <w:pPr>
              <w:pStyle w:val="NormalWeb"/>
              <w:spacing w:before="0" w:beforeAutospacing="0" w:after="0" w:afterAutospacing="0"/>
              <w:jc w:val="center"/>
              <w:rPr>
                <w:sz w:val="20"/>
                <w:szCs w:val="20"/>
              </w:rPr>
            </w:pPr>
            <w:r>
              <w:rPr>
                <w:rStyle w:val="Strong"/>
                <w:sz w:val="20"/>
                <w:szCs w:val="20"/>
              </w:rPr>
              <w:t>More than 5 Years</w:t>
            </w:r>
          </w:p>
        </w:tc>
        <w:tc>
          <w:tcPr>
            <w:tcW w:w="0" w:type="auto"/>
            <w:noWrap/>
            <w:tcMar>
              <w:top w:w="0" w:type="dxa"/>
              <w:left w:w="0" w:type="dxa"/>
              <w:bottom w:w="15" w:type="dxa"/>
              <w:right w:w="0" w:type="dxa"/>
            </w:tcMar>
            <w:vAlign w:val="center"/>
            <w:hideMark/>
          </w:tcPr>
          <w:p w14:paraId="038A0051" w14:textId="77777777" w:rsidR="00000000" w:rsidRDefault="00EB4933">
            <w:pPr>
              <w:pStyle w:val="NormalWeb"/>
              <w:spacing w:before="0" w:beforeAutospacing="0" w:after="0" w:afterAutospacing="0"/>
              <w:rPr>
                <w:sz w:val="20"/>
                <w:szCs w:val="20"/>
              </w:rPr>
            </w:pPr>
            <w:r>
              <w:rPr>
                <w:rStyle w:val="Strong"/>
                <w:sz w:val="20"/>
                <w:szCs w:val="20"/>
              </w:rPr>
              <w:t> </w:t>
            </w:r>
          </w:p>
        </w:tc>
      </w:tr>
      <w:tr w:rsidR="00000000" w14:paraId="7A7D6449" w14:textId="77777777">
        <w:trPr>
          <w:divId w:val="98525094"/>
          <w:trHeight w:val="225"/>
          <w:tblCellSpacing w:w="15" w:type="dxa"/>
        </w:trPr>
        <w:tc>
          <w:tcPr>
            <w:tcW w:w="0" w:type="auto"/>
            <w:vAlign w:val="center"/>
            <w:hideMark/>
          </w:tcPr>
          <w:p w14:paraId="4BAC7517" w14:textId="77777777" w:rsidR="00000000" w:rsidRDefault="00EB4933">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3214D596" w14:textId="77777777" w:rsidR="00000000" w:rsidRDefault="00EB4933">
            <w:pPr>
              <w:pStyle w:val="NormalWeb"/>
              <w:spacing w:before="0" w:beforeAutospacing="0" w:after="0" w:afterAutospacing="0"/>
              <w:rPr>
                <w:sz w:val="20"/>
                <w:szCs w:val="20"/>
              </w:rPr>
            </w:pPr>
            <w:r>
              <w:rPr>
                <w:rStyle w:val="Strong"/>
                <w:sz w:val="20"/>
                <w:szCs w:val="20"/>
              </w:rPr>
              <w:t> </w:t>
            </w:r>
          </w:p>
        </w:tc>
        <w:tc>
          <w:tcPr>
            <w:tcW w:w="450" w:type="pct"/>
            <w:gridSpan w:val="18"/>
            <w:vAlign w:val="bottom"/>
            <w:hideMark/>
          </w:tcPr>
          <w:p w14:paraId="6452BA59" w14:textId="77777777" w:rsidR="00000000" w:rsidRDefault="00EB4933">
            <w:pPr>
              <w:pStyle w:val="NormalWeb"/>
              <w:spacing w:before="0" w:beforeAutospacing="0" w:after="0" w:afterAutospacing="0"/>
              <w:jc w:val="center"/>
              <w:rPr>
                <w:sz w:val="20"/>
                <w:szCs w:val="20"/>
              </w:rPr>
            </w:pPr>
            <w:r>
              <w:rPr>
                <w:rStyle w:val="Strong"/>
                <w:sz w:val="20"/>
                <w:szCs w:val="20"/>
              </w:rPr>
              <w:t>(RMB in thousands)</w:t>
            </w:r>
          </w:p>
        </w:tc>
        <w:tc>
          <w:tcPr>
            <w:tcW w:w="0" w:type="auto"/>
            <w:noWrap/>
            <w:vAlign w:val="center"/>
            <w:hideMark/>
          </w:tcPr>
          <w:p w14:paraId="54C3E6E3" w14:textId="77777777" w:rsidR="00000000" w:rsidRDefault="00EB4933">
            <w:pPr>
              <w:pStyle w:val="NormalWeb"/>
              <w:spacing w:before="0" w:beforeAutospacing="0" w:after="0" w:afterAutospacing="0"/>
              <w:rPr>
                <w:sz w:val="20"/>
                <w:szCs w:val="20"/>
              </w:rPr>
            </w:pPr>
            <w:r>
              <w:rPr>
                <w:sz w:val="20"/>
                <w:szCs w:val="20"/>
              </w:rPr>
              <w:t> </w:t>
            </w:r>
          </w:p>
        </w:tc>
      </w:tr>
      <w:tr w:rsidR="00000000" w14:paraId="069B002B" w14:textId="77777777">
        <w:trPr>
          <w:divId w:val="98525094"/>
          <w:trHeight w:val="225"/>
          <w:tblCellSpacing w:w="15" w:type="dxa"/>
        </w:trPr>
        <w:tc>
          <w:tcPr>
            <w:tcW w:w="0" w:type="auto"/>
            <w:shd w:val="clear" w:color="auto" w:fill="CCEEFF"/>
            <w:hideMark/>
          </w:tcPr>
          <w:p w14:paraId="377D2BD9" w14:textId="77777777" w:rsidR="00000000" w:rsidRDefault="00EB4933">
            <w:pPr>
              <w:pStyle w:val="NormalWeb"/>
              <w:spacing w:before="0" w:beforeAutospacing="0" w:after="0" w:afterAutospacing="0"/>
              <w:jc w:val="both"/>
              <w:rPr>
                <w:sz w:val="20"/>
                <w:szCs w:val="20"/>
              </w:rPr>
            </w:pPr>
            <w:r>
              <w:rPr>
                <w:sz w:val="20"/>
                <w:szCs w:val="20"/>
              </w:rPr>
              <w:t>Debt Obligations</w:t>
            </w:r>
          </w:p>
        </w:tc>
        <w:tc>
          <w:tcPr>
            <w:tcW w:w="50" w:type="pct"/>
            <w:shd w:val="clear" w:color="auto" w:fill="CCEEFF"/>
            <w:noWrap/>
            <w:vAlign w:val="center"/>
            <w:hideMark/>
          </w:tcPr>
          <w:p w14:paraId="5807E9E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A4A34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11981C9" w14:textId="77777777" w:rsidR="00000000" w:rsidRDefault="00EB4933">
            <w:pPr>
              <w:jc w:val="right"/>
              <w:rPr>
                <w:rFonts w:eastAsia="Times New Roman"/>
                <w:sz w:val="20"/>
                <w:szCs w:val="20"/>
              </w:rPr>
            </w:pPr>
            <w:r>
              <w:rPr>
                <w:rFonts w:eastAsia="Times New Roman"/>
                <w:sz w:val="20"/>
                <w:szCs w:val="20"/>
              </w:rPr>
              <w:t>172,891</w:t>
            </w:r>
          </w:p>
        </w:tc>
        <w:tc>
          <w:tcPr>
            <w:tcW w:w="50" w:type="pct"/>
            <w:shd w:val="clear" w:color="auto" w:fill="CCEEFF"/>
            <w:noWrap/>
            <w:vAlign w:val="center"/>
            <w:hideMark/>
          </w:tcPr>
          <w:p w14:paraId="0A94DA6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8C82B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7F1DF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FAC6544" w14:textId="77777777" w:rsidR="00000000" w:rsidRDefault="00EB4933">
            <w:pPr>
              <w:jc w:val="right"/>
              <w:rPr>
                <w:rFonts w:eastAsia="Times New Roman"/>
                <w:sz w:val="20"/>
                <w:szCs w:val="20"/>
              </w:rPr>
            </w:pPr>
            <w:r>
              <w:rPr>
                <w:rFonts w:eastAsia="Times New Roman"/>
                <w:sz w:val="20"/>
                <w:szCs w:val="20"/>
              </w:rPr>
              <w:t>172,891</w:t>
            </w:r>
          </w:p>
        </w:tc>
        <w:tc>
          <w:tcPr>
            <w:tcW w:w="50" w:type="pct"/>
            <w:shd w:val="clear" w:color="auto" w:fill="CCEEFF"/>
            <w:noWrap/>
            <w:vAlign w:val="center"/>
            <w:hideMark/>
          </w:tcPr>
          <w:p w14:paraId="03B5BCD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1972F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5C742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2E0D0EA"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5BB653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25EDE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23ABE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E877F1C"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F24311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7CD42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E3422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66E4457"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F40737B" w14:textId="77777777" w:rsidR="00000000" w:rsidRDefault="00EB4933">
            <w:pPr>
              <w:pStyle w:val="NormalWeb"/>
              <w:spacing w:before="0" w:beforeAutospacing="0" w:after="0" w:afterAutospacing="0"/>
              <w:rPr>
                <w:sz w:val="20"/>
                <w:szCs w:val="20"/>
              </w:rPr>
            </w:pPr>
            <w:r>
              <w:rPr>
                <w:sz w:val="20"/>
                <w:szCs w:val="20"/>
              </w:rPr>
              <w:t> </w:t>
            </w:r>
          </w:p>
        </w:tc>
      </w:tr>
      <w:tr w:rsidR="00000000" w14:paraId="4E6AA2F1" w14:textId="77777777">
        <w:trPr>
          <w:divId w:val="98525094"/>
          <w:trHeight w:val="225"/>
          <w:tblCellSpacing w:w="15" w:type="dxa"/>
        </w:trPr>
        <w:tc>
          <w:tcPr>
            <w:tcW w:w="0" w:type="auto"/>
            <w:shd w:val="clear" w:color="auto" w:fill="FFFFFF"/>
            <w:hideMark/>
          </w:tcPr>
          <w:p w14:paraId="036213DE" w14:textId="77777777" w:rsidR="00000000" w:rsidRDefault="00EB4933">
            <w:pPr>
              <w:pStyle w:val="NormalWeb"/>
              <w:spacing w:before="0" w:beforeAutospacing="0" w:after="0" w:afterAutospacing="0"/>
              <w:jc w:val="both"/>
              <w:rPr>
                <w:sz w:val="20"/>
                <w:szCs w:val="20"/>
              </w:rPr>
            </w:pPr>
            <w:r>
              <w:rPr>
                <w:sz w:val="20"/>
                <w:szCs w:val="20"/>
              </w:rPr>
              <w:t>Operating Lease Obligations</w:t>
            </w:r>
          </w:p>
        </w:tc>
        <w:tc>
          <w:tcPr>
            <w:tcW w:w="50" w:type="pct"/>
            <w:shd w:val="clear" w:color="auto" w:fill="FFFFFF"/>
            <w:noWrap/>
            <w:vAlign w:val="center"/>
            <w:hideMark/>
          </w:tcPr>
          <w:p w14:paraId="64A0DF7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AAFFA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D1E6E73"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380283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948CA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E5542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7DA9326"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74BBBA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6A948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D145A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56AEBFD"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1EC499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CEEE8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A0B8D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9E09C47"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8D8124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4295C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788E3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0F3CFA9"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472426A" w14:textId="77777777" w:rsidR="00000000" w:rsidRDefault="00EB4933">
            <w:pPr>
              <w:pStyle w:val="NormalWeb"/>
              <w:spacing w:before="0" w:beforeAutospacing="0" w:after="0" w:afterAutospacing="0"/>
              <w:rPr>
                <w:sz w:val="20"/>
                <w:szCs w:val="20"/>
              </w:rPr>
            </w:pPr>
            <w:r>
              <w:rPr>
                <w:sz w:val="20"/>
                <w:szCs w:val="20"/>
              </w:rPr>
              <w:t> </w:t>
            </w:r>
          </w:p>
        </w:tc>
      </w:tr>
      <w:tr w:rsidR="00000000" w14:paraId="00BEE592" w14:textId="77777777">
        <w:trPr>
          <w:divId w:val="98525094"/>
          <w:trHeight w:val="225"/>
          <w:tblCellSpacing w:w="15" w:type="dxa"/>
        </w:trPr>
        <w:tc>
          <w:tcPr>
            <w:tcW w:w="0" w:type="auto"/>
            <w:shd w:val="clear" w:color="auto" w:fill="CCEEFF"/>
            <w:hideMark/>
          </w:tcPr>
          <w:p w14:paraId="6BF9D300" w14:textId="77777777" w:rsidR="00000000" w:rsidRDefault="00EB4933">
            <w:pPr>
              <w:pStyle w:val="NormalWeb"/>
              <w:spacing w:before="0" w:beforeAutospacing="0" w:after="0" w:afterAutospacing="0"/>
              <w:jc w:val="both"/>
              <w:rPr>
                <w:sz w:val="20"/>
                <w:szCs w:val="20"/>
              </w:rPr>
            </w:pPr>
            <w:r>
              <w:rPr>
                <w:sz w:val="20"/>
                <w:szCs w:val="20"/>
              </w:rPr>
              <w:lastRenderedPageBreak/>
              <w:t>Capital commitment</w:t>
            </w:r>
          </w:p>
        </w:tc>
        <w:tc>
          <w:tcPr>
            <w:tcW w:w="50" w:type="pct"/>
            <w:shd w:val="clear" w:color="auto" w:fill="CCEEFF"/>
            <w:noWrap/>
            <w:vAlign w:val="center"/>
            <w:hideMark/>
          </w:tcPr>
          <w:p w14:paraId="6A20884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181D1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122239A"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5BC8FC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E5A8E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8D824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5CCC2C0"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B58267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C8F14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DD44C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5A4563D"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C8D5B1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EC882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30113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5123F89"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81C0D3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34A5E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CDEA2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B9CECCE"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E35605F" w14:textId="77777777" w:rsidR="00000000" w:rsidRDefault="00EB4933">
            <w:pPr>
              <w:pStyle w:val="NormalWeb"/>
              <w:spacing w:before="0" w:beforeAutospacing="0" w:after="0" w:afterAutospacing="0"/>
              <w:rPr>
                <w:sz w:val="20"/>
                <w:szCs w:val="20"/>
              </w:rPr>
            </w:pPr>
            <w:r>
              <w:rPr>
                <w:sz w:val="20"/>
                <w:szCs w:val="20"/>
              </w:rPr>
              <w:t> </w:t>
            </w:r>
          </w:p>
        </w:tc>
      </w:tr>
    </w:tbl>
    <w:p w14:paraId="3679C95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92DC407" w14:textId="77777777" w:rsidR="00000000" w:rsidRDefault="00EB4933">
      <w:pPr>
        <w:pStyle w:val="NormalWeb"/>
        <w:spacing w:before="0" w:beforeAutospacing="0" w:after="0" w:afterAutospacing="0"/>
        <w:ind w:firstLine="675"/>
        <w:jc w:val="both"/>
        <w:divId w:val="98525094"/>
        <w:rPr>
          <w:sz w:val="20"/>
          <w:szCs w:val="20"/>
        </w:rPr>
      </w:pPr>
      <w:r>
        <w:rPr>
          <w:sz w:val="20"/>
          <w:szCs w:val="20"/>
        </w:rPr>
        <w:t>Debt o</w:t>
      </w:r>
      <w:r>
        <w:rPr>
          <w:sz w:val="20"/>
          <w:szCs w:val="20"/>
        </w:rPr>
        <w:t>bligations represent loans payable to various individuals and companies that are generally due within one (1) year. Loans payable are all overdue and have the weighted average annual interest rate of 10.5% on loans payable.</w:t>
      </w:r>
    </w:p>
    <w:p w14:paraId="6BC6396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E94FDCF" w14:textId="77777777" w:rsidR="00000000" w:rsidRDefault="00EB4933">
      <w:pPr>
        <w:pStyle w:val="NormalWeb"/>
        <w:spacing w:before="0" w:beforeAutospacing="0" w:after="0" w:afterAutospacing="0"/>
        <w:jc w:val="both"/>
        <w:divId w:val="98525094"/>
        <w:rPr>
          <w:sz w:val="20"/>
          <w:szCs w:val="20"/>
        </w:rPr>
      </w:pPr>
      <w:r>
        <w:rPr>
          <w:rStyle w:val="Strong"/>
          <w:sz w:val="20"/>
          <w:szCs w:val="20"/>
        </w:rPr>
        <w:t>G. Safe Harbor</w:t>
      </w:r>
    </w:p>
    <w:p w14:paraId="24D9BC8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0214D38" w14:textId="77777777" w:rsidR="00000000" w:rsidRDefault="00EB4933">
      <w:pPr>
        <w:pStyle w:val="NormalWeb"/>
        <w:spacing w:before="0" w:beforeAutospacing="0" w:after="0" w:afterAutospacing="0"/>
        <w:ind w:firstLine="675"/>
        <w:jc w:val="both"/>
        <w:divId w:val="98525094"/>
        <w:rPr>
          <w:sz w:val="20"/>
          <w:szCs w:val="20"/>
        </w:rPr>
      </w:pPr>
      <w:r>
        <w:rPr>
          <w:sz w:val="20"/>
          <w:szCs w:val="20"/>
        </w:rPr>
        <w:t>See “</w:t>
      </w:r>
      <w:r>
        <w:rPr>
          <w:sz w:val="20"/>
          <w:szCs w:val="20"/>
        </w:rPr>
        <w:t>Forward-Looking Statements.”</w:t>
      </w:r>
    </w:p>
    <w:p w14:paraId="289C4B91"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F1B1609" w14:textId="77777777">
        <w:trPr>
          <w:divId w:val="98525094"/>
          <w:trHeight w:val="225"/>
          <w:tblCellSpacing w:w="15" w:type="dxa"/>
        </w:trPr>
        <w:tc>
          <w:tcPr>
            <w:tcW w:w="0" w:type="auto"/>
            <w:vAlign w:val="center"/>
            <w:hideMark/>
          </w:tcPr>
          <w:p w14:paraId="0F0BB493" w14:textId="77777777" w:rsidR="00000000" w:rsidRDefault="00EB4933">
            <w:pPr>
              <w:rPr>
                <w:rFonts w:eastAsia="Times New Roman"/>
                <w:sz w:val="20"/>
                <w:szCs w:val="20"/>
              </w:rPr>
            </w:pPr>
            <w:r>
              <w:rPr>
                <w:rFonts w:eastAsia="Times New Roman"/>
                <w:sz w:val="20"/>
                <w:szCs w:val="20"/>
              </w:rPr>
              <w:t> </w:t>
            </w:r>
          </w:p>
        </w:tc>
      </w:tr>
      <w:tr w:rsidR="00000000" w14:paraId="12561970" w14:textId="77777777">
        <w:trPr>
          <w:divId w:val="98525094"/>
          <w:trHeight w:val="225"/>
          <w:tblCellSpacing w:w="15" w:type="dxa"/>
        </w:trPr>
        <w:tc>
          <w:tcPr>
            <w:tcW w:w="0" w:type="auto"/>
            <w:tcBorders>
              <w:bottom w:val="single" w:sz="6" w:space="0" w:color="000000"/>
            </w:tcBorders>
            <w:vAlign w:val="center"/>
            <w:hideMark/>
          </w:tcPr>
          <w:p w14:paraId="5D293EAB" w14:textId="77777777" w:rsidR="00000000" w:rsidRDefault="00EB4933">
            <w:pPr>
              <w:jc w:val="center"/>
              <w:rPr>
                <w:rFonts w:eastAsia="Times New Roman"/>
                <w:sz w:val="20"/>
                <w:szCs w:val="20"/>
              </w:rPr>
            </w:pPr>
            <w:r>
              <w:rPr>
                <w:rFonts w:eastAsia="Times New Roman"/>
                <w:sz w:val="20"/>
                <w:szCs w:val="20"/>
              </w:rPr>
              <w:t>71</w:t>
            </w:r>
          </w:p>
        </w:tc>
      </w:tr>
      <w:tr w:rsidR="00000000" w14:paraId="7561C5D8" w14:textId="77777777">
        <w:trPr>
          <w:divId w:val="98525094"/>
          <w:trHeight w:val="225"/>
          <w:tblCellSpacing w:w="15" w:type="dxa"/>
        </w:trPr>
        <w:tc>
          <w:tcPr>
            <w:tcW w:w="0" w:type="auto"/>
            <w:vAlign w:val="center"/>
            <w:hideMark/>
          </w:tcPr>
          <w:p w14:paraId="0C1AA612" w14:textId="77777777" w:rsidR="00000000" w:rsidRDefault="00EB4933">
            <w:pPr>
              <w:rPr>
                <w:rFonts w:eastAsia="Times New Roman"/>
                <w:sz w:val="20"/>
                <w:szCs w:val="20"/>
              </w:rPr>
            </w:pPr>
          </w:p>
        </w:tc>
      </w:tr>
      <w:tr w:rsidR="00000000" w14:paraId="09E449FF" w14:textId="77777777">
        <w:trPr>
          <w:divId w:val="98525094"/>
          <w:trHeight w:val="225"/>
          <w:tblCellSpacing w:w="15" w:type="dxa"/>
        </w:trPr>
        <w:tc>
          <w:tcPr>
            <w:tcW w:w="0" w:type="auto"/>
            <w:vAlign w:val="center"/>
            <w:hideMark/>
          </w:tcPr>
          <w:p w14:paraId="42EFF058" w14:textId="77777777" w:rsidR="00000000" w:rsidRDefault="00EB4933">
            <w:pPr>
              <w:rPr>
                <w:rFonts w:eastAsia="Times New Roman"/>
                <w:sz w:val="20"/>
                <w:szCs w:val="20"/>
              </w:rPr>
            </w:pPr>
            <w:hyperlink r:id="rId131" w:anchor="toc" w:history="1">
              <w:r>
                <w:rPr>
                  <w:rStyle w:val="Hyperlink"/>
                  <w:rFonts w:eastAsia="Times New Roman"/>
                  <w:i/>
                  <w:iCs/>
                  <w:sz w:val="20"/>
                  <w:szCs w:val="20"/>
                </w:rPr>
                <w:t>Table of Contents</w:t>
              </w:r>
            </w:hyperlink>
          </w:p>
        </w:tc>
      </w:tr>
    </w:tbl>
    <w:p w14:paraId="15F76FF1"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508E1BC9" w14:textId="77777777" w:rsidR="00000000" w:rsidRDefault="00EB4933">
      <w:pPr>
        <w:pStyle w:val="NormalWeb"/>
        <w:spacing w:before="0" w:beforeAutospacing="0" w:after="0" w:afterAutospacing="0"/>
        <w:jc w:val="both"/>
        <w:divId w:val="98525094"/>
        <w:rPr>
          <w:sz w:val="20"/>
          <w:szCs w:val="20"/>
        </w:rPr>
      </w:pPr>
      <w:bookmarkStart w:id="10" w:name="i6"/>
      <w:r>
        <w:rPr>
          <w:rStyle w:val="Strong"/>
          <w:sz w:val="20"/>
          <w:szCs w:val="20"/>
        </w:rPr>
        <w:t>ITEM 6. DIRECTORS, SENIOR MANAGEMENT AND EMPLOYEES</w:t>
      </w:r>
      <w:bookmarkEnd w:id="10"/>
    </w:p>
    <w:p w14:paraId="76CCC07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7FF8166" w14:textId="77777777" w:rsidR="00000000" w:rsidRDefault="00EB4933">
      <w:pPr>
        <w:pStyle w:val="NormalWeb"/>
        <w:spacing w:before="0" w:beforeAutospacing="0" w:after="0" w:afterAutospacing="0"/>
        <w:jc w:val="both"/>
        <w:divId w:val="98525094"/>
        <w:rPr>
          <w:sz w:val="20"/>
          <w:szCs w:val="20"/>
        </w:rPr>
      </w:pPr>
      <w:r>
        <w:rPr>
          <w:rStyle w:val="Strong"/>
          <w:sz w:val="20"/>
          <w:szCs w:val="20"/>
        </w:rPr>
        <w:t>A. Directors and Senior Management</w:t>
      </w:r>
      <w:r>
        <w:rPr>
          <w:sz w:val="20"/>
          <w:szCs w:val="20"/>
        </w:rPr>
        <w:t xml:space="preserve"> </w:t>
      </w:r>
    </w:p>
    <w:p w14:paraId="1013F18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824DEB1"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following table sets forth information regarding our directors and executive officers as of the date of this annual report. The business address of each of our directors and executive officers is c/o Dunxin Financial Holdings Limited, 23rd Floor, LianF</w:t>
      </w:r>
      <w:r>
        <w:rPr>
          <w:sz w:val="20"/>
          <w:szCs w:val="20"/>
        </w:rPr>
        <w:t>a International Building, 128 Xu Dong Street, Wuchang District, Wuhan City, Hubei Province, the People’s Republic of China.</w:t>
      </w:r>
    </w:p>
    <w:p w14:paraId="69801DAA"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2798"/>
        <w:gridCol w:w="214"/>
        <w:gridCol w:w="948"/>
        <w:gridCol w:w="214"/>
        <w:gridCol w:w="5186"/>
      </w:tblGrid>
      <w:tr w:rsidR="00000000" w14:paraId="59C4E276" w14:textId="77777777">
        <w:trPr>
          <w:divId w:val="98525094"/>
          <w:trHeight w:val="225"/>
          <w:tblCellSpacing w:w="15" w:type="dxa"/>
        </w:trPr>
        <w:tc>
          <w:tcPr>
            <w:tcW w:w="1500" w:type="pct"/>
            <w:tcBorders>
              <w:bottom w:val="single" w:sz="6" w:space="0" w:color="000000"/>
            </w:tcBorders>
            <w:hideMark/>
          </w:tcPr>
          <w:p w14:paraId="72FEFC24" w14:textId="77777777" w:rsidR="00000000" w:rsidRDefault="00EB4933">
            <w:pPr>
              <w:pStyle w:val="NormalWeb"/>
              <w:spacing w:before="0" w:beforeAutospacing="0" w:after="0" w:afterAutospacing="0"/>
              <w:rPr>
                <w:sz w:val="20"/>
                <w:szCs w:val="20"/>
              </w:rPr>
            </w:pPr>
            <w:r>
              <w:rPr>
                <w:rStyle w:val="Strong"/>
                <w:sz w:val="20"/>
                <w:szCs w:val="20"/>
              </w:rPr>
              <w:t>Name</w:t>
            </w:r>
          </w:p>
        </w:tc>
        <w:tc>
          <w:tcPr>
            <w:tcW w:w="100" w:type="pct"/>
            <w:vAlign w:val="center"/>
            <w:hideMark/>
          </w:tcPr>
          <w:p w14:paraId="3B1BD4CF" w14:textId="77777777" w:rsidR="00000000" w:rsidRDefault="00EB4933">
            <w:pPr>
              <w:pStyle w:val="NormalWeb"/>
              <w:spacing w:before="0" w:beforeAutospacing="0" w:after="0" w:afterAutospacing="0"/>
              <w:rPr>
                <w:sz w:val="20"/>
                <w:szCs w:val="20"/>
              </w:rPr>
            </w:pPr>
            <w:r>
              <w:rPr>
                <w:sz w:val="20"/>
                <w:szCs w:val="20"/>
              </w:rPr>
              <w:t> </w:t>
            </w:r>
          </w:p>
        </w:tc>
        <w:tc>
          <w:tcPr>
            <w:tcW w:w="500" w:type="pct"/>
            <w:tcBorders>
              <w:bottom w:val="single" w:sz="6" w:space="0" w:color="000000"/>
            </w:tcBorders>
            <w:hideMark/>
          </w:tcPr>
          <w:p w14:paraId="35BFDA0C" w14:textId="77777777" w:rsidR="00000000" w:rsidRDefault="00EB4933">
            <w:pPr>
              <w:pStyle w:val="NormalWeb"/>
              <w:spacing w:before="0" w:beforeAutospacing="0" w:after="0" w:afterAutospacing="0"/>
              <w:rPr>
                <w:sz w:val="20"/>
                <w:szCs w:val="20"/>
              </w:rPr>
            </w:pPr>
            <w:r>
              <w:rPr>
                <w:rStyle w:val="Strong"/>
                <w:sz w:val="20"/>
                <w:szCs w:val="20"/>
              </w:rPr>
              <w:t>Age</w:t>
            </w:r>
          </w:p>
        </w:tc>
        <w:tc>
          <w:tcPr>
            <w:tcW w:w="100" w:type="pct"/>
            <w:vAlign w:val="center"/>
            <w:hideMark/>
          </w:tcPr>
          <w:p w14:paraId="1C1CD7D4" w14:textId="77777777" w:rsidR="00000000" w:rsidRDefault="00EB4933">
            <w:pPr>
              <w:pStyle w:val="NormalWeb"/>
              <w:spacing w:before="0" w:beforeAutospacing="0" w:after="0" w:afterAutospacing="0"/>
              <w:rPr>
                <w:sz w:val="20"/>
                <w:szCs w:val="20"/>
              </w:rPr>
            </w:pPr>
            <w:r>
              <w:rPr>
                <w:sz w:val="20"/>
                <w:szCs w:val="20"/>
              </w:rPr>
              <w:t> </w:t>
            </w:r>
          </w:p>
        </w:tc>
        <w:tc>
          <w:tcPr>
            <w:tcW w:w="2800" w:type="pct"/>
            <w:tcBorders>
              <w:bottom w:val="single" w:sz="6" w:space="0" w:color="000000"/>
            </w:tcBorders>
            <w:hideMark/>
          </w:tcPr>
          <w:p w14:paraId="19908ED9" w14:textId="77777777" w:rsidR="00000000" w:rsidRDefault="00EB4933">
            <w:pPr>
              <w:pStyle w:val="NormalWeb"/>
              <w:spacing w:before="0" w:beforeAutospacing="0" w:after="0" w:afterAutospacing="0"/>
              <w:rPr>
                <w:sz w:val="20"/>
                <w:szCs w:val="20"/>
              </w:rPr>
            </w:pPr>
            <w:r>
              <w:rPr>
                <w:rStyle w:val="Strong"/>
                <w:sz w:val="20"/>
                <w:szCs w:val="20"/>
              </w:rPr>
              <w:t>Position</w:t>
            </w:r>
          </w:p>
        </w:tc>
      </w:tr>
      <w:tr w:rsidR="00000000" w14:paraId="446351CE" w14:textId="77777777">
        <w:trPr>
          <w:divId w:val="98525094"/>
          <w:trHeight w:val="225"/>
          <w:tblCellSpacing w:w="15" w:type="dxa"/>
        </w:trPr>
        <w:tc>
          <w:tcPr>
            <w:tcW w:w="0" w:type="auto"/>
            <w:shd w:val="clear" w:color="auto" w:fill="CCEEFF"/>
            <w:hideMark/>
          </w:tcPr>
          <w:p w14:paraId="7130BB94" w14:textId="77777777" w:rsidR="00000000" w:rsidRDefault="00EB4933">
            <w:pPr>
              <w:pStyle w:val="NormalWeb"/>
              <w:spacing w:before="0" w:beforeAutospacing="0" w:after="0" w:afterAutospacing="0"/>
              <w:rPr>
                <w:sz w:val="20"/>
                <w:szCs w:val="20"/>
              </w:rPr>
            </w:pPr>
            <w:r>
              <w:rPr>
                <w:sz w:val="20"/>
                <w:szCs w:val="20"/>
              </w:rPr>
              <w:t>Qizhi Wei</w:t>
            </w:r>
          </w:p>
        </w:tc>
        <w:tc>
          <w:tcPr>
            <w:tcW w:w="0" w:type="auto"/>
            <w:shd w:val="clear" w:color="auto" w:fill="CCEEFF"/>
            <w:vAlign w:val="center"/>
            <w:hideMark/>
          </w:tcPr>
          <w:p w14:paraId="7599207D"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0E8041D7" w14:textId="77777777" w:rsidR="00000000" w:rsidRDefault="00EB4933">
            <w:pPr>
              <w:pStyle w:val="NormalWeb"/>
              <w:spacing w:before="0" w:beforeAutospacing="0" w:after="0" w:afterAutospacing="0"/>
              <w:rPr>
                <w:sz w:val="20"/>
                <w:szCs w:val="20"/>
              </w:rPr>
            </w:pPr>
            <w:r>
              <w:rPr>
                <w:sz w:val="20"/>
                <w:szCs w:val="20"/>
              </w:rPr>
              <w:t>52</w:t>
            </w:r>
          </w:p>
        </w:tc>
        <w:tc>
          <w:tcPr>
            <w:tcW w:w="0" w:type="auto"/>
            <w:shd w:val="clear" w:color="auto" w:fill="CCEEFF"/>
            <w:vAlign w:val="center"/>
            <w:hideMark/>
          </w:tcPr>
          <w:p w14:paraId="696A9445"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38C6F9A0" w14:textId="77777777" w:rsidR="00000000" w:rsidRDefault="00EB4933">
            <w:pPr>
              <w:pStyle w:val="NormalWeb"/>
              <w:spacing w:before="0" w:beforeAutospacing="0" w:after="0" w:afterAutospacing="0"/>
              <w:rPr>
                <w:sz w:val="20"/>
                <w:szCs w:val="20"/>
              </w:rPr>
            </w:pPr>
            <w:r>
              <w:rPr>
                <w:sz w:val="20"/>
                <w:szCs w:val="20"/>
              </w:rPr>
              <w:t>Director (Chairman); Chief Executive Officer</w:t>
            </w:r>
          </w:p>
        </w:tc>
      </w:tr>
      <w:tr w:rsidR="00000000" w14:paraId="59411E3E" w14:textId="77777777">
        <w:trPr>
          <w:divId w:val="98525094"/>
          <w:trHeight w:val="225"/>
          <w:tblCellSpacing w:w="15" w:type="dxa"/>
        </w:trPr>
        <w:tc>
          <w:tcPr>
            <w:tcW w:w="0" w:type="auto"/>
            <w:shd w:val="clear" w:color="auto" w:fill="FFFFFF"/>
            <w:hideMark/>
          </w:tcPr>
          <w:p w14:paraId="31462E25" w14:textId="77777777" w:rsidR="00000000" w:rsidRDefault="00EB4933">
            <w:pPr>
              <w:pStyle w:val="NormalWeb"/>
              <w:spacing w:before="0" w:beforeAutospacing="0" w:after="0" w:afterAutospacing="0"/>
              <w:rPr>
                <w:sz w:val="20"/>
                <w:szCs w:val="20"/>
              </w:rPr>
            </w:pPr>
            <w:r>
              <w:rPr>
                <w:sz w:val="20"/>
                <w:szCs w:val="20"/>
              </w:rPr>
              <w:t>Chee Jiong Ng</w:t>
            </w:r>
          </w:p>
        </w:tc>
        <w:tc>
          <w:tcPr>
            <w:tcW w:w="0" w:type="auto"/>
            <w:shd w:val="clear" w:color="auto" w:fill="FFFFFF"/>
            <w:vAlign w:val="center"/>
            <w:hideMark/>
          </w:tcPr>
          <w:p w14:paraId="6C6500E7"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79E09859" w14:textId="77777777" w:rsidR="00000000" w:rsidRDefault="00EB4933">
            <w:pPr>
              <w:pStyle w:val="NormalWeb"/>
              <w:spacing w:before="0" w:beforeAutospacing="0" w:after="0" w:afterAutospacing="0"/>
              <w:rPr>
                <w:sz w:val="20"/>
                <w:szCs w:val="20"/>
              </w:rPr>
            </w:pPr>
            <w:r>
              <w:rPr>
                <w:sz w:val="20"/>
                <w:szCs w:val="20"/>
              </w:rPr>
              <w:t>49</w:t>
            </w:r>
          </w:p>
        </w:tc>
        <w:tc>
          <w:tcPr>
            <w:tcW w:w="0" w:type="auto"/>
            <w:shd w:val="clear" w:color="auto" w:fill="FFFFFF"/>
            <w:vAlign w:val="center"/>
            <w:hideMark/>
          </w:tcPr>
          <w:p w14:paraId="3841870B"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44E67C73" w14:textId="77777777" w:rsidR="00000000" w:rsidRDefault="00EB4933">
            <w:pPr>
              <w:pStyle w:val="NormalWeb"/>
              <w:spacing w:before="0" w:beforeAutospacing="0" w:after="0" w:afterAutospacing="0"/>
              <w:rPr>
                <w:sz w:val="20"/>
                <w:szCs w:val="20"/>
              </w:rPr>
            </w:pPr>
            <w:r>
              <w:rPr>
                <w:sz w:val="20"/>
                <w:szCs w:val="20"/>
              </w:rPr>
              <w:t>Chief Financial Officer</w:t>
            </w:r>
          </w:p>
        </w:tc>
      </w:tr>
      <w:tr w:rsidR="00000000" w14:paraId="0AF5A978" w14:textId="77777777">
        <w:trPr>
          <w:divId w:val="98525094"/>
          <w:trHeight w:val="225"/>
          <w:tblCellSpacing w:w="15" w:type="dxa"/>
        </w:trPr>
        <w:tc>
          <w:tcPr>
            <w:tcW w:w="0" w:type="auto"/>
            <w:shd w:val="clear" w:color="auto" w:fill="CCEEFF"/>
            <w:hideMark/>
          </w:tcPr>
          <w:p w14:paraId="323221E4" w14:textId="77777777" w:rsidR="00000000" w:rsidRDefault="00EB4933">
            <w:pPr>
              <w:pStyle w:val="NormalWeb"/>
              <w:spacing w:before="0" w:beforeAutospacing="0" w:after="0" w:afterAutospacing="0"/>
              <w:rPr>
                <w:sz w:val="20"/>
                <w:szCs w:val="20"/>
              </w:rPr>
            </w:pPr>
            <w:r>
              <w:rPr>
                <w:sz w:val="20"/>
                <w:szCs w:val="20"/>
              </w:rPr>
              <w:t>Weidong Xu</w:t>
            </w:r>
          </w:p>
        </w:tc>
        <w:tc>
          <w:tcPr>
            <w:tcW w:w="0" w:type="auto"/>
            <w:shd w:val="clear" w:color="auto" w:fill="CCEEFF"/>
            <w:vAlign w:val="center"/>
            <w:hideMark/>
          </w:tcPr>
          <w:p w14:paraId="484AFAD9"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7F863A8F" w14:textId="77777777" w:rsidR="00000000" w:rsidRDefault="00EB4933">
            <w:pPr>
              <w:pStyle w:val="NormalWeb"/>
              <w:spacing w:before="0" w:beforeAutospacing="0" w:after="0" w:afterAutospacing="0"/>
              <w:rPr>
                <w:sz w:val="20"/>
                <w:szCs w:val="20"/>
              </w:rPr>
            </w:pPr>
            <w:r>
              <w:rPr>
                <w:sz w:val="20"/>
                <w:szCs w:val="20"/>
              </w:rPr>
              <w:t>51</w:t>
            </w:r>
          </w:p>
        </w:tc>
        <w:tc>
          <w:tcPr>
            <w:tcW w:w="0" w:type="auto"/>
            <w:shd w:val="clear" w:color="auto" w:fill="CCEEFF"/>
            <w:vAlign w:val="center"/>
            <w:hideMark/>
          </w:tcPr>
          <w:p w14:paraId="5B817715"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10C259A4" w14:textId="77777777" w:rsidR="00000000" w:rsidRDefault="00EB4933">
            <w:pPr>
              <w:pStyle w:val="NormalWeb"/>
              <w:spacing w:before="0" w:beforeAutospacing="0" w:after="0" w:afterAutospacing="0"/>
              <w:rPr>
                <w:sz w:val="20"/>
                <w:szCs w:val="20"/>
              </w:rPr>
            </w:pPr>
            <w:r>
              <w:rPr>
                <w:sz w:val="20"/>
                <w:szCs w:val="20"/>
              </w:rPr>
              <w:t>Director, Chief Operating Officer</w:t>
            </w:r>
          </w:p>
        </w:tc>
      </w:tr>
      <w:tr w:rsidR="00000000" w14:paraId="17630143" w14:textId="77777777">
        <w:trPr>
          <w:divId w:val="98525094"/>
          <w:trHeight w:val="225"/>
          <w:tblCellSpacing w:w="15" w:type="dxa"/>
        </w:trPr>
        <w:tc>
          <w:tcPr>
            <w:tcW w:w="0" w:type="auto"/>
            <w:shd w:val="clear" w:color="auto" w:fill="FFFFFF"/>
            <w:hideMark/>
          </w:tcPr>
          <w:p w14:paraId="0D731F9D" w14:textId="77777777" w:rsidR="00000000" w:rsidRDefault="00EB4933">
            <w:pPr>
              <w:pStyle w:val="NormalWeb"/>
              <w:spacing w:before="0" w:beforeAutospacing="0" w:after="0" w:afterAutospacing="0"/>
              <w:rPr>
                <w:sz w:val="20"/>
                <w:szCs w:val="20"/>
              </w:rPr>
            </w:pPr>
            <w:r>
              <w:rPr>
                <w:sz w:val="20"/>
                <w:szCs w:val="20"/>
              </w:rPr>
              <w:t>Duoguang Bei</w:t>
            </w:r>
          </w:p>
        </w:tc>
        <w:tc>
          <w:tcPr>
            <w:tcW w:w="0" w:type="auto"/>
            <w:shd w:val="clear" w:color="auto" w:fill="FFFFFF"/>
            <w:vAlign w:val="center"/>
            <w:hideMark/>
          </w:tcPr>
          <w:p w14:paraId="1490744C"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04CA4C2C" w14:textId="77777777" w:rsidR="00000000" w:rsidRDefault="00EB4933">
            <w:pPr>
              <w:pStyle w:val="NormalWeb"/>
              <w:spacing w:before="0" w:beforeAutospacing="0" w:after="0" w:afterAutospacing="0"/>
              <w:rPr>
                <w:sz w:val="20"/>
                <w:szCs w:val="20"/>
              </w:rPr>
            </w:pPr>
            <w:r>
              <w:rPr>
                <w:sz w:val="20"/>
                <w:szCs w:val="20"/>
              </w:rPr>
              <w:t>62</w:t>
            </w:r>
          </w:p>
        </w:tc>
        <w:tc>
          <w:tcPr>
            <w:tcW w:w="0" w:type="auto"/>
            <w:shd w:val="clear" w:color="auto" w:fill="FFFFFF"/>
            <w:vAlign w:val="center"/>
            <w:hideMark/>
          </w:tcPr>
          <w:p w14:paraId="5FD8EF2D"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205C7E39" w14:textId="77777777" w:rsidR="00000000" w:rsidRDefault="00EB4933">
            <w:pPr>
              <w:pStyle w:val="NormalWeb"/>
              <w:spacing w:before="0" w:beforeAutospacing="0" w:after="0" w:afterAutospacing="0"/>
              <w:rPr>
                <w:sz w:val="20"/>
                <w:szCs w:val="20"/>
              </w:rPr>
            </w:pPr>
            <w:r>
              <w:rPr>
                <w:sz w:val="20"/>
                <w:szCs w:val="20"/>
              </w:rPr>
              <w:t>Independent Director</w:t>
            </w:r>
          </w:p>
        </w:tc>
      </w:tr>
      <w:tr w:rsidR="00000000" w14:paraId="48265AD0" w14:textId="77777777">
        <w:trPr>
          <w:divId w:val="98525094"/>
          <w:trHeight w:val="225"/>
          <w:tblCellSpacing w:w="15" w:type="dxa"/>
        </w:trPr>
        <w:tc>
          <w:tcPr>
            <w:tcW w:w="0" w:type="auto"/>
            <w:shd w:val="clear" w:color="auto" w:fill="CCEEFF"/>
            <w:hideMark/>
          </w:tcPr>
          <w:p w14:paraId="4C3435CA" w14:textId="77777777" w:rsidR="00000000" w:rsidRDefault="00EB4933">
            <w:pPr>
              <w:pStyle w:val="NormalWeb"/>
              <w:spacing w:before="0" w:beforeAutospacing="0" w:after="0" w:afterAutospacing="0"/>
              <w:rPr>
                <w:sz w:val="20"/>
                <w:szCs w:val="20"/>
              </w:rPr>
            </w:pPr>
            <w:r>
              <w:rPr>
                <w:sz w:val="20"/>
                <w:szCs w:val="20"/>
              </w:rPr>
              <w:t>Michael J. Viotto</w:t>
            </w:r>
          </w:p>
        </w:tc>
        <w:tc>
          <w:tcPr>
            <w:tcW w:w="0" w:type="auto"/>
            <w:shd w:val="clear" w:color="auto" w:fill="CCEEFF"/>
            <w:vAlign w:val="center"/>
            <w:hideMark/>
          </w:tcPr>
          <w:p w14:paraId="0A00670B"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4C7DD09C" w14:textId="77777777" w:rsidR="00000000" w:rsidRDefault="00EB4933">
            <w:pPr>
              <w:pStyle w:val="NormalWeb"/>
              <w:spacing w:before="0" w:beforeAutospacing="0" w:after="0" w:afterAutospacing="0"/>
              <w:rPr>
                <w:sz w:val="20"/>
                <w:szCs w:val="20"/>
              </w:rPr>
            </w:pPr>
            <w:r>
              <w:rPr>
                <w:sz w:val="20"/>
                <w:szCs w:val="20"/>
              </w:rPr>
              <w:t>68</w:t>
            </w:r>
          </w:p>
        </w:tc>
        <w:tc>
          <w:tcPr>
            <w:tcW w:w="0" w:type="auto"/>
            <w:shd w:val="clear" w:color="auto" w:fill="CCEEFF"/>
            <w:vAlign w:val="center"/>
            <w:hideMark/>
          </w:tcPr>
          <w:p w14:paraId="11B8D2AE"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7A772729" w14:textId="77777777" w:rsidR="00000000" w:rsidRDefault="00EB4933">
            <w:pPr>
              <w:pStyle w:val="NormalWeb"/>
              <w:spacing w:before="0" w:beforeAutospacing="0" w:after="0" w:afterAutospacing="0"/>
              <w:rPr>
                <w:sz w:val="20"/>
                <w:szCs w:val="20"/>
              </w:rPr>
            </w:pPr>
            <w:r>
              <w:rPr>
                <w:sz w:val="20"/>
                <w:szCs w:val="20"/>
              </w:rPr>
              <w:t>Independent Director</w:t>
            </w:r>
          </w:p>
        </w:tc>
      </w:tr>
    </w:tbl>
    <w:p w14:paraId="0276AE6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E0DCB9C" w14:textId="77777777" w:rsidR="00000000" w:rsidRDefault="00EB4933">
      <w:pPr>
        <w:pStyle w:val="NormalWeb"/>
        <w:spacing w:before="0" w:beforeAutospacing="0" w:after="0" w:afterAutospacing="0"/>
        <w:ind w:firstLine="675"/>
        <w:jc w:val="both"/>
        <w:divId w:val="98525094"/>
        <w:rPr>
          <w:sz w:val="20"/>
          <w:szCs w:val="20"/>
        </w:rPr>
      </w:pPr>
      <w:r>
        <w:rPr>
          <w:rStyle w:val="Strong"/>
          <w:sz w:val="20"/>
          <w:szCs w:val="20"/>
        </w:rPr>
        <w:t xml:space="preserve">Qizhi Wei, Director (Chairman of the Board) and Chief Executive Officer. </w:t>
      </w:r>
      <w:r>
        <w:rPr>
          <w:sz w:val="20"/>
          <w:szCs w:val="20"/>
        </w:rPr>
        <w:t>Mr. Wei became our chairman and chief executive office in December 2017. Mr. Wei, graduating from Wuhan University with an MBA degree, was engaged in savings, credit, project evaluati</w:t>
      </w:r>
      <w:r>
        <w:rPr>
          <w:sz w:val="20"/>
          <w:szCs w:val="20"/>
        </w:rPr>
        <w:t>on and other credit management in the Hubei Branch and Huanggang Branch of China Construction Bank in 1991-1992. He entered the Chinese capital market in 2001 through the creation of Hubei New Nature Investment Co., Ltd. and serving as Chairman and General</w:t>
      </w:r>
      <w:r>
        <w:rPr>
          <w:sz w:val="20"/>
          <w:szCs w:val="20"/>
        </w:rPr>
        <w:t xml:space="preserve"> Manager. As one of the pioneers in China’s first securities consulting business, he has been focusing on the middle and long-term equity investment of high-quality enterprises. Having built rich experience in the primary and secondary markets and achieved</w:t>
      </w:r>
      <w:r>
        <w:rPr>
          <w:sz w:val="20"/>
          <w:szCs w:val="20"/>
        </w:rPr>
        <w:t xml:space="preserve"> remarkable investment results, he has a comprehensive and deep understanding of the macro and micro-economic environment.</w:t>
      </w:r>
    </w:p>
    <w:p w14:paraId="1248F4D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3E6C74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In March 2013, he led the creation of Hubei Chutian Microfinance Co., Ltd. and has served as Managing Director till now. By consistently upholding the philosophy of “building a customer-friendly microfinance institution and growing together with corporate </w:t>
      </w:r>
      <w:r>
        <w:rPr>
          <w:sz w:val="20"/>
          <w:szCs w:val="20"/>
        </w:rPr>
        <w:t>clients,” the Company was awarded as one of the “Top 100 Most Competitive Micro-credit Companies in China” for three consecutive years. It always focuses on the development of China’s micro-credit industry, providing clients with the comprehensive and cust</w:t>
      </w:r>
      <w:r>
        <w:rPr>
          <w:sz w:val="20"/>
          <w:szCs w:val="20"/>
        </w:rPr>
        <w:t>omized credit management services.</w:t>
      </w:r>
    </w:p>
    <w:p w14:paraId="1777FEC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1770305" w14:textId="77777777" w:rsidR="00000000" w:rsidRDefault="00EB4933">
      <w:pPr>
        <w:pStyle w:val="NormalWeb"/>
        <w:spacing w:before="0" w:beforeAutospacing="0" w:after="0" w:afterAutospacing="0"/>
        <w:ind w:firstLine="675"/>
        <w:jc w:val="both"/>
        <w:divId w:val="98525094"/>
        <w:rPr>
          <w:sz w:val="20"/>
          <w:szCs w:val="20"/>
        </w:rPr>
      </w:pPr>
      <w:r>
        <w:rPr>
          <w:sz w:val="20"/>
          <w:szCs w:val="20"/>
        </w:rPr>
        <w:t>Key social honor: “2013 Top 10 Business Leaders of the Year in Huber”, “2015 Outstanding Hubei Merchants Award” and “2016 Outstanding Hubei Merchants Award.”</w:t>
      </w:r>
    </w:p>
    <w:p w14:paraId="7DBBBD0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64F395E"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Key social positions: Vice President of China Micro-credit </w:t>
      </w:r>
      <w:r>
        <w:rPr>
          <w:sz w:val="20"/>
          <w:szCs w:val="20"/>
        </w:rPr>
        <w:t>Companies Association, member of the NPC Standing Committee in Wuchang District of Wuhan, executive vice president of Hubei Merchants Association, founding president of EMBA Alumni Association of Wuhan University, founding member of Anhui Project Center of</w:t>
      </w:r>
      <w:r>
        <w:rPr>
          <w:sz w:val="20"/>
          <w:szCs w:val="20"/>
        </w:rPr>
        <w:t xml:space="preserve"> SEE Foundation (China’s famous nonprofit organization), executive president of Zhisland Hubei Branch and visiting professor of School of Economics and Management of South-Central University for Nationalities.</w:t>
      </w:r>
    </w:p>
    <w:p w14:paraId="485888D0"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79459A1" w14:textId="77777777">
        <w:trPr>
          <w:divId w:val="98525094"/>
          <w:trHeight w:val="225"/>
          <w:tblCellSpacing w:w="15" w:type="dxa"/>
        </w:trPr>
        <w:tc>
          <w:tcPr>
            <w:tcW w:w="0" w:type="auto"/>
            <w:vAlign w:val="center"/>
            <w:hideMark/>
          </w:tcPr>
          <w:p w14:paraId="07858036" w14:textId="77777777" w:rsidR="00000000" w:rsidRDefault="00EB4933">
            <w:pPr>
              <w:rPr>
                <w:rFonts w:eastAsia="Times New Roman"/>
                <w:sz w:val="20"/>
                <w:szCs w:val="20"/>
              </w:rPr>
            </w:pPr>
            <w:r>
              <w:rPr>
                <w:rFonts w:eastAsia="Times New Roman"/>
                <w:sz w:val="20"/>
                <w:szCs w:val="20"/>
              </w:rPr>
              <w:t> </w:t>
            </w:r>
          </w:p>
        </w:tc>
      </w:tr>
      <w:tr w:rsidR="00000000" w14:paraId="74F87981" w14:textId="77777777">
        <w:trPr>
          <w:divId w:val="98525094"/>
          <w:trHeight w:val="225"/>
          <w:tblCellSpacing w:w="15" w:type="dxa"/>
        </w:trPr>
        <w:tc>
          <w:tcPr>
            <w:tcW w:w="0" w:type="auto"/>
            <w:tcBorders>
              <w:bottom w:val="single" w:sz="6" w:space="0" w:color="000000"/>
            </w:tcBorders>
            <w:vAlign w:val="center"/>
            <w:hideMark/>
          </w:tcPr>
          <w:p w14:paraId="013F504E" w14:textId="77777777" w:rsidR="00000000" w:rsidRDefault="00EB4933">
            <w:pPr>
              <w:jc w:val="center"/>
              <w:rPr>
                <w:rFonts w:eastAsia="Times New Roman"/>
                <w:sz w:val="20"/>
                <w:szCs w:val="20"/>
              </w:rPr>
            </w:pPr>
            <w:r>
              <w:rPr>
                <w:rFonts w:eastAsia="Times New Roman"/>
                <w:sz w:val="20"/>
                <w:szCs w:val="20"/>
              </w:rPr>
              <w:t>72</w:t>
            </w:r>
          </w:p>
        </w:tc>
      </w:tr>
      <w:tr w:rsidR="00000000" w14:paraId="4F7F866A" w14:textId="77777777">
        <w:trPr>
          <w:divId w:val="98525094"/>
          <w:trHeight w:val="225"/>
          <w:tblCellSpacing w:w="15" w:type="dxa"/>
        </w:trPr>
        <w:tc>
          <w:tcPr>
            <w:tcW w:w="0" w:type="auto"/>
            <w:vAlign w:val="center"/>
            <w:hideMark/>
          </w:tcPr>
          <w:p w14:paraId="7B5A3A67" w14:textId="77777777" w:rsidR="00000000" w:rsidRDefault="00EB4933">
            <w:pPr>
              <w:rPr>
                <w:rFonts w:eastAsia="Times New Roman"/>
                <w:sz w:val="20"/>
                <w:szCs w:val="20"/>
              </w:rPr>
            </w:pPr>
          </w:p>
        </w:tc>
      </w:tr>
      <w:tr w:rsidR="00000000" w14:paraId="45E20E96" w14:textId="77777777">
        <w:trPr>
          <w:divId w:val="98525094"/>
          <w:trHeight w:val="225"/>
          <w:tblCellSpacing w:w="15" w:type="dxa"/>
        </w:trPr>
        <w:tc>
          <w:tcPr>
            <w:tcW w:w="0" w:type="auto"/>
            <w:vAlign w:val="center"/>
            <w:hideMark/>
          </w:tcPr>
          <w:p w14:paraId="6A547A3B" w14:textId="77777777" w:rsidR="00000000" w:rsidRDefault="00EB4933">
            <w:pPr>
              <w:rPr>
                <w:rFonts w:eastAsia="Times New Roman"/>
                <w:sz w:val="20"/>
                <w:szCs w:val="20"/>
              </w:rPr>
            </w:pPr>
            <w:hyperlink r:id="rId132" w:anchor="toc" w:history="1">
              <w:r>
                <w:rPr>
                  <w:rStyle w:val="Hyperlink"/>
                  <w:rFonts w:eastAsia="Times New Roman"/>
                  <w:i/>
                  <w:iCs/>
                  <w:sz w:val="20"/>
                  <w:szCs w:val="20"/>
                </w:rPr>
                <w:t>Table of Contents</w:t>
              </w:r>
            </w:hyperlink>
          </w:p>
        </w:tc>
      </w:tr>
    </w:tbl>
    <w:p w14:paraId="0C567294"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6B764253" w14:textId="77777777" w:rsidR="00000000" w:rsidRDefault="00EB4933">
      <w:pPr>
        <w:pStyle w:val="NormalWeb"/>
        <w:spacing w:before="0" w:beforeAutospacing="0" w:after="0" w:afterAutospacing="0"/>
        <w:ind w:firstLine="675"/>
        <w:jc w:val="both"/>
        <w:divId w:val="98525094"/>
        <w:rPr>
          <w:sz w:val="20"/>
          <w:szCs w:val="20"/>
        </w:rPr>
      </w:pPr>
      <w:r>
        <w:rPr>
          <w:rStyle w:val="Strong"/>
          <w:sz w:val="20"/>
          <w:szCs w:val="20"/>
        </w:rPr>
        <w:t>Chee Jiong Ng</w:t>
      </w:r>
      <w:r>
        <w:rPr>
          <w:sz w:val="20"/>
          <w:szCs w:val="20"/>
        </w:rPr>
        <w:t>,</w:t>
      </w:r>
      <w:r>
        <w:rPr>
          <w:rStyle w:val="Strong"/>
          <w:sz w:val="20"/>
          <w:szCs w:val="20"/>
        </w:rPr>
        <w:t xml:space="preserve"> Chief Financial Officer. </w:t>
      </w:r>
      <w:r>
        <w:rPr>
          <w:sz w:val="20"/>
          <w:szCs w:val="20"/>
        </w:rPr>
        <w:t>Mr. Ng joined the Company as chief financial officer in June 2010. Mr. Ng has more than 20 years of experience in the finance sector and has served in various management roles at several comp</w:t>
      </w:r>
      <w:r>
        <w:rPr>
          <w:sz w:val="20"/>
          <w:szCs w:val="20"/>
        </w:rPr>
        <w:t>anies before joining our company. He is primarily responsible for overall financial management of our company. Before joining our company, Mr. Ng was a financial consultant in Beijing UGO Ltd. From June 2006 to August 2009, Mr. Ng served as a senior manage</w:t>
      </w:r>
      <w:r>
        <w:rPr>
          <w:sz w:val="20"/>
          <w:szCs w:val="20"/>
        </w:rPr>
        <w:t>r in PricewaterhouseCoopers Beijing. From July 2005 to May 2006, Mr. Ng worked at AIR-SYS Refrigeration Engineering Technology (Beijing) Co., Ltd. as financial controller. From November 1995 to June 2005, Mr. Ng worked at PricewaterhouseCoopers Singapore a</w:t>
      </w:r>
      <w:r>
        <w:rPr>
          <w:sz w:val="20"/>
          <w:szCs w:val="20"/>
        </w:rPr>
        <w:t xml:space="preserve">nd held several positions, including senior manager. Mr. Ng has been qualified as a Certified Public Accountant of the Australian Society of Certified Public Accountants since 1999. Mr. Ng received his bachelor’s degree in Economics from the University of </w:t>
      </w:r>
      <w:r>
        <w:rPr>
          <w:sz w:val="20"/>
          <w:szCs w:val="20"/>
        </w:rPr>
        <w:t xml:space="preserve">Sydney, Australia and his master’s degree in Commerce from the University of New South Wales, Australia. </w:t>
      </w:r>
    </w:p>
    <w:p w14:paraId="32DB4A96"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1C92DA4" w14:textId="77777777" w:rsidR="00000000" w:rsidRDefault="00EB4933">
      <w:pPr>
        <w:pStyle w:val="NormalWeb"/>
        <w:spacing w:before="0" w:beforeAutospacing="0" w:after="0" w:afterAutospacing="0"/>
        <w:ind w:firstLine="675"/>
        <w:jc w:val="both"/>
        <w:divId w:val="98525094"/>
        <w:rPr>
          <w:sz w:val="20"/>
          <w:szCs w:val="20"/>
        </w:rPr>
      </w:pPr>
      <w:r>
        <w:rPr>
          <w:rStyle w:val="Strong"/>
          <w:sz w:val="20"/>
          <w:szCs w:val="20"/>
        </w:rPr>
        <w:t xml:space="preserve">Weidong Xu, Director, Chief Operating Officer. </w:t>
      </w:r>
      <w:r>
        <w:rPr>
          <w:sz w:val="20"/>
          <w:szCs w:val="20"/>
        </w:rPr>
        <w:t>Mr Xu became a director in July 2020. Mr. Xu became our chief operating officer on December 28, 2017 and joined Chutian in 2015. He is currently responsible for the overall operation strategy and business planning, and is also a member of the Chutian’s Ris</w:t>
      </w:r>
      <w:r>
        <w:rPr>
          <w:sz w:val="20"/>
          <w:szCs w:val="20"/>
        </w:rPr>
        <w:t>k Management Committee and Innovation Credit Products Team. Mr. Xu graduated from Zhongnan University of Economics and Law with a major in finance and has more than 20 years of financial experience in credit risk management. He is familiar with corporate g</w:t>
      </w:r>
      <w:r>
        <w:rPr>
          <w:sz w:val="20"/>
          <w:szCs w:val="20"/>
        </w:rPr>
        <w:t xml:space="preserve">uarantee, pawn broking, micro-credit and other debt business review management, and has a strong knowhow and practical experience in the due diligence, risk review and post-loan management. </w:t>
      </w:r>
    </w:p>
    <w:p w14:paraId="3DE8BB8E"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46FFB4C" w14:textId="77777777" w:rsidR="00000000" w:rsidRDefault="00EB4933">
      <w:pPr>
        <w:pStyle w:val="NormalWeb"/>
        <w:spacing w:before="0" w:beforeAutospacing="0" w:after="0" w:afterAutospacing="0"/>
        <w:ind w:firstLine="675"/>
        <w:jc w:val="both"/>
        <w:divId w:val="98525094"/>
        <w:rPr>
          <w:sz w:val="20"/>
          <w:szCs w:val="20"/>
        </w:rPr>
      </w:pPr>
      <w:r>
        <w:rPr>
          <w:rStyle w:val="Strong"/>
          <w:sz w:val="20"/>
          <w:szCs w:val="20"/>
        </w:rPr>
        <w:t xml:space="preserve">Duoguang Bei, Director. </w:t>
      </w:r>
      <w:r>
        <w:rPr>
          <w:sz w:val="20"/>
          <w:szCs w:val="20"/>
        </w:rPr>
        <w:t>Mr. Bei is an independent director of o</w:t>
      </w:r>
      <w:r>
        <w:rPr>
          <w:sz w:val="20"/>
          <w:szCs w:val="20"/>
        </w:rPr>
        <w:t>ur company. He served as an independent director of the Company since December 28, 2017. Mr. Bei serves as Chairman of the Board of Directors of National Micro-finance Investment Co., Ltd. Mr. Bei received a bachelor’s degree and a master’s degree in econo</w:t>
      </w:r>
      <w:r>
        <w:rPr>
          <w:sz w:val="20"/>
          <w:szCs w:val="20"/>
        </w:rPr>
        <w:t>mics from Shanghai University of Finance and Economics in 1982 and 1985, respectively. He earned a doctoral degree in economics from Renmin University of China in 1988, and worked as visiting scholar at University of California, Berkeley and Federal Reserv</w:t>
      </w:r>
      <w:r>
        <w:rPr>
          <w:sz w:val="20"/>
          <w:szCs w:val="20"/>
        </w:rPr>
        <w:t>e Bank of New York in the United States from 1991 to 1993. With over 25 years of experience in the financial industry, he has participated in many major reforms and development events in China’s financial markets, and also led a number of major deals in Ch</w:t>
      </w:r>
      <w:r>
        <w:rPr>
          <w:sz w:val="20"/>
          <w:szCs w:val="20"/>
        </w:rPr>
        <w:t>ina’s capital market, such as those with ICBC, Pacific Insurance, Baosteel and China Unicom. He previously served as Deputy Director of National Debt Department of the Ministry of Finance, Deputy Director of International Department of the SFC, Chief Repre</w:t>
      </w:r>
      <w:r>
        <w:rPr>
          <w:sz w:val="20"/>
          <w:szCs w:val="20"/>
        </w:rPr>
        <w:t>sentative of J.P. Morgan Beijing, Managing Director of China International Capital Corporation, CEO of Shanghai Financial Development Fund, CEO of J.P. Morgan First Capital Securities, and etc. In addition to his outstanding performance in the political an</w:t>
      </w:r>
      <w:r>
        <w:rPr>
          <w:sz w:val="20"/>
          <w:szCs w:val="20"/>
        </w:rPr>
        <w:t>d business areas, he is also a well-known scholar in China. Mr. Bei is a part-time professor and doctoral supervisor of Renmin University of China and Shanghai University of Finance and Economics, as well as Co-Chair of the committee of Center for Microfin</w:t>
      </w:r>
      <w:r>
        <w:rPr>
          <w:sz w:val="20"/>
          <w:szCs w:val="20"/>
        </w:rPr>
        <w:t>ance Initiatives &amp; Networks of Renmin University of China.</w:t>
      </w:r>
    </w:p>
    <w:p w14:paraId="77085BB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6B4464B" w14:textId="77777777" w:rsidR="00000000" w:rsidRDefault="00EB4933">
      <w:pPr>
        <w:pStyle w:val="NormalWeb"/>
        <w:spacing w:before="0" w:beforeAutospacing="0" w:after="0" w:afterAutospacing="0"/>
        <w:ind w:firstLine="675"/>
        <w:jc w:val="both"/>
        <w:divId w:val="98525094"/>
        <w:rPr>
          <w:sz w:val="20"/>
          <w:szCs w:val="20"/>
        </w:rPr>
      </w:pPr>
      <w:r>
        <w:rPr>
          <w:rStyle w:val="Strong"/>
          <w:sz w:val="20"/>
          <w:szCs w:val="20"/>
        </w:rPr>
        <w:t xml:space="preserve">Michael J. Viotto. </w:t>
      </w:r>
      <w:r>
        <w:rPr>
          <w:sz w:val="20"/>
          <w:szCs w:val="20"/>
        </w:rPr>
        <w:t>Mr. Viotto is an independent director of our company. He served as an independent director of the Company since December 28, 2017. Mr. Viotto was appointed to the Board of Dire</w:t>
      </w:r>
      <w:r>
        <w:rPr>
          <w:sz w:val="20"/>
          <w:szCs w:val="20"/>
        </w:rPr>
        <w:t>ctors of Nova Lifestyles, Inc. (Nasdaq: NVFY) on May 28, 2013 and served as Chairman of the Nominating and Corporate Governance Committee between 2013 and 2017. From 2009 to 2014 Mr. Viotto was President of MJV Financial Inc. and was appointed as exclusive</w:t>
      </w:r>
      <w:r>
        <w:rPr>
          <w:sz w:val="20"/>
          <w:szCs w:val="20"/>
        </w:rPr>
        <w:t xml:space="preserve"> agent for Coface North America, an internationally recognized leader in the Trade Finance Industry. During 2008 and 2009, Mr. Viotto served as Senior Wholesale Account Executive at Bank of America, promoting commercial and residential lending programs. Fr</w:t>
      </w:r>
      <w:r>
        <w:rPr>
          <w:sz w:val="20"/>
          <w:szCs w:val="20"/>
        </w:rPr>
        <w:t>om 2002 to 2008, he was a Senior Wholesale Account Executive for Washington Mutual, Inc as its leading mortgage banker. Mr. Viotto received his Bachelor of Science Degree in Business Administration from California Polytechnic University in Pomona, Californ</w:t>
      </w:r>
      <w:r>
        <w:rPr>
          <w:sz w:val="20"/>
          <w:szCs w:val="20"/>
        </w:rPr>
        <w:t>ia. Mr. Viotto has been selected as a nominee for director because he has extensive business experience in finance industry, including with respect to business development and risk assessment.</w:t>
      </w:r>
    </w:p>
    <w:p w14:paraId="1CF95CA0"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9E1EC30" w14:textId="77777777">
        <w:trPr>
          <w:divId w:val="98525094"/>
          <w:trHeight w:val="225"/>
          <w:tblCellSpacing w:w="15" w:type="dxa"/>
        </w:trPr>
        <w:tc>
          <w:tcPr>
            <w:tcW w:w="0" w:type="auto"/>
            <w:vAlign w:val="center"/>
            <w:hideMark/>
          </w:tcPr>
          <w:p w14:paraId="25633480" w14:textId="77777777" w:rsidR="00000000" w:rsidRDefault="00EB4933">
            <w:pPr>
              <w:rPr>
                <w:rFonts w:eastAsia="Times New Roman"/>
                <w:sz w:val="20"/>
                <w:szCs w:val="20"/>
              </w:rPr>
            </w:pPr>
            <w:r>
              <w:rPr>
                <w:rFonts w:eastAsia="Times New Roman"/>
                <w:sz w:val="20"/>
                <w:szCs w:val="20"/>
              </w:rPr>
              <w:t> </w:t>
            </w:r>
          </w:p>
        </w:tc>
      </w:tr>
      <w:tr w:rsidR="00000000" w14:paraId="6F0F8466" w14:textId="77777777">
        <w:trPr>
          <w:divId w:val="98525094"/>
          <w:trHeight w:val="225"/>
          <w:tblCellSpacing w:w="15" w:type="dxa"/>
        </w:trPr>
        <w:tc>
          <w:tcPr>
            <w:tcW w:w="0" w:type="auto"/>
            <w:tcBorders>
              <w:bottom w:val="single" w:sz="6" w:space="0" w:color="000000"/>
            </w:tcBorders>
            <w:vAlign w:val="center"/>
            <w:hideMark/>
          </w:tcPr>
          <w:p w14:paraId="1B2ED78A" w14:textId="77777777" w:rsidR="00000000" w:rsidRDefault="00EB4933">
            <w:pPr>
              <w:jc w:val="center"/>
              <w:rPr>
                <w:rFonts w:eastAsia="Times New Roman"/>
                <w:sz w:val="20"/>
                <w:szCs w:val="20"/>
              </w:rPr>
            </w:pPr>
            <w:r>
              <w:rPr>
                <w:rFonts w:eastAsia="Times New Roman"/>
                <w:sz w:val="20"/>
                <w:szCs w:val="20"/>
              </w:rPr>
              <w:t>73</w:t>
            </w:r>
          </w:p>
        </w:tc>
      </w:tr>
      <w:tr w:rsidR="00000000" w14:paraId="48FB9423" w14:textId="77777777">
        <w:trPr>
          <w:divId w:val="98525094"/>
          <w:trHeight w:val="225"/>
          <w:tblCellSpacing w:w="15" w:type="dxa"/>
        </w:trPr>
        <w:tc>
          <w:tcPr>
            <w:tcW w:w="0" w:type="auto"/>
            <w:vAlign w:val="center"/>
            <w:hideMark/>
          </w:tcPr>
          <w:p w14:paraId="415730E5" w14:textId="77777777" w:rsidR="00000000" w:rsidRDefault="00EB4933">
            <w:pPr>
              <w:rPr>
                <w:rFonts w:eastAsia="Times New Roman"/>
                <w:sz w:val="20"/>
                <w:szCs w:val="20"/>
              </w:rPr>
            </w:pPr>
          </w:p>
        </w:tc>
      </w:tr>
      <w:tr w:rsidR="00000000" w14:paraId="16802038" w14:textId="77777777">
        <w:trPr>
          <w:divId w:val="98525094"/>
          <w:trHeight w:val="225"/>
          <w:tblCellSpacing w:w="15" w:type="dxa"/>
        </w:trPr>
        <w:tc>
          <w:tcPr>
            <w:tcW w:w="0" w:type="auto"/>
            <w:vAlign w:val="center"/>
            <w:hideMark/>
          </w:tcPr>
          <w:p w14:paraId="766EDF79" w14:textId="77777777" w:rsidR="00000000" w:rsidRDefault="00EB4933">
            <w:pPr>
              <w:rPr>
                <w:rFonts w:eastAsia="Times New Roman"/>
                <w:sz w:val="20"/>
                <w:szCs w:val="20"/>
              </w:rPr>
            </w:pPr>
            <w:hyperlink r:id="rId133" w:anchor="toc" w:history="1">
              <w:r>
                <w:rPr>
                  <w:rStyle w:val="Hyperlink"/>
                  <w:rFonts w:eastAsia="Times New Roman"/>
                  <w:i/>
                  <w:iCs/>
                  <w:sz w:val="20"/>
                  <w:szCs w:val="20"/>
                </w:rPr>
                <w:t>Table of Conte</w:t>
              </w:r>
              <w:r>
                <w:rPr>
                  <w:rStyle w:val="Hyperlink"/>
                  <w:rFonts w:eastAsia="Times New Roman"/>
                  <w:i/>
                  <w:iCs/>
                  <w:sz w:val="20"/>
                  <w:szCs w:val="20"/>
                </w:rPr>
                <w:t>nts</w:t>
              </w:r>
            </w:hyperlink>
          </w:p>
        </w:tc>
      </w:tr>
    </w:tbl>
    <w:p w14:paraId="4C60B02D"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34539227" w14:textId="77777777" w:rsidR="00000000" w:rsidRDefault="00EB4933">
      <w:pPr>
        <w:pStyle w:val="NormalWeb"/>
        <w:spacing w:before="0" w:beforeAutospacing="0" w:after="0" w:afterAutospacing="0"/>
        <w:jc w:val="both"/>
        <w:divId w:val="98525094"/>
        <w:rPr>
          <w:sz w:val="20"/>
          <w:szCs w:val="20"/>
        </w:rPr>
      </w:pPr>
      <w:r>
        <w:rPr>
          <w:rStyle w:val="Strong"/>
          <w:sz w:val="20"/>
          <w:szCs w:val="20"/>
        </w:rPr>
        <w:t>B. Compensation</w:t>
      </w:r>
      <w:r>
        <w:rPr>
          <w:sz w:val="20"/>
          <w:szCs w:val="20"/>
        </w:rPr>
        <w:t xml:space="preserve"> </w:t>
      </w:r>
    </w:p>
    <w:p w14:paraId="051AB9E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D5AEE04" w14:textId="77777777" w:rsidR="00000000" w:rsidRDefault="00EB4933">
      <w:pPr>
        <w:pStyle w:val="NormalWeb"/>
        <w:spacing w:before="0" w:beforeAutospacing="0" w:after="0" w:afterAutospacing="0"/>
        <w:jc w:val="both"/>
        <w:divId w:val="98525094"/>
        <w:rPr>
          <w:sz w:val="20"/>
          <w:szCs w:val="20"/>
        </w:rPr>
      </w:pPr>
      <w:r>
        <w:rPr>
          <w:rStyle w:val="Strong"/>
          <w:sz w:val="20"/>
          <w:szCs w:val="20"/>
        </w:rPr>
        <w:t>Compensation of Directors and Executive Officers</w:t>
      </w:r>
    </w:p>
    <w:p w14:paraId="546A0F8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3E1B20A"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For the fiscal year ended December 31, 2019, we incurred an aggregate of approximately RMB3.8 million ($546,000) in compensation to our executive officers and our non-executive directors. For share incentive grants to our directors and executive officers, </w:t>
      </w:r>
      <w:r>
        <w:rPr>
          <w:sz w:val="20"/>
          <w:szCs w:val="20"/>
        </w:rPr>
        <w:t>see “—Share Incentive Plan.”</w:t>
      </w:r>
    </w:p>
    <w:p w14:paraId="0477EBE0"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7A0935F"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required by PRC regulations, we participate in various government statutory social security plans, including a pension contribution plan, a medical insurance plan, an unemployment insurance plan, a work-related injury insu</w:t>
      </w:r>
      <w:r>
        <w:rPr>
          <w:sz w:val="20"/>
          <w:szCs w:val="20"/>
        </w:rPr>
        <w:t>rance plan, a maternity insurance plan and a housing provident fund. We are required under PRC law to contribute to social security plans at specified percentages of the salaries, bonuses and certain allowances of our employees up to a maximum amount speci</w:t>
      </w:r>
      <w:r>
        <w:rPr>
          <w:sz w:val="20"/>
          <w:szCs w:val="20"/>
        </w:rPr>
        <w:t>fied by the local government from time to time. Other than the above-mentioned statutory contributions mandated by applicable PRC law, we have not set aside or accrued any amount to provide pension, retirement or other similar benefits to our executive off</w:t>
      </w:r>
      <w:r>
        <w:rPr>
          <w:sz w:val="20"/>
          <w:szCs w:val="20"/>
        </w:rPr>
        <w:t>icers and directors.</w:t>
      </w:r>
    </w:p>
    <w:p w14:paraId="3642505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9102518" w14:textId="77777777" w:rsidR="00000000" w:rsidRDefault="00EB4933">
      <w:pPr>
        <w:pStyle w:val="NormalWeb"/>
        <w:spacing w:before="0" w:beforeAutospacing="0" w:after="0" w:afterAutospacing="0"/>
        <w:jc w:val="both"/>
        <w:divId w:val="98525094"/>
        <w:rPr>
          <w:sz w:val="20"/>
          <w:szCs w:val="20"/>
        </w:rPr>
      </w:pPr>
      <w:r>
        <w:rPr>
          <w:rStyle w:val="Strong"/>
          <w:sz w:val="20"/>
          <w:szCs w:val="20"/>
        </w:rPr>
        <w:t>2010 Equity Incentive Plan</w:t>
      </w:r>
    </w:p>
    <w:p w14:paraId="6B6BD23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26DB47F"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adopted an equity incentive plan effective upon the completion of our initial public offering. Our 2010 Equity Incentive Plan (“2010 Plan”) provides for the grant of options, share appreciation rights,</w:t>
      </w:r>
      <w:r>
        <w:rPr>
          <w:sz w:val="20"/>
          <w:szCs w:val="20"/>
        </w:rPr>
        <w:t xml:space="preserve"> restricted shares, restricted share units, and other share-based awards. The maximum aggregate number of our ordinary shares that may be issued under the 2010 Plan is 23,200,000. The purpose of the plan is to attract and retain the best available personne</w:t>
      </w:r>
      <w:r>
        <w:rPr>
          <w:sz w:val="20"/>
          <w:szCs w:val="20"/>
        </w:rPr>
        <w:t xml:space="preserve">l for positions of substantial responsibility, provide additional incentive to employees, directors and consultants and promote the success of our business. Our board of directors believes that our company’s long-term success is dependent upon our ability </w:t>
      </w:r>
      <w:r>
        <w:rPr>
          <w:sz w:val="20"/>
          <w:szCs w:val="20"/>
        </w:rPr>
        <w:t>to attract and retain superior individuals who, by virtue of their ability, experience and qualifications, make important contributions to our business.</w:t>
      </w:r>
    </w:p>
    <w:p w14:paraId="65B23E7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213E66E"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Options</w:t>
      </w:r>
      <w:r>
        <w:rPr>
          <w:sz w:val="20"/>
          <w:szCs w:val="20"/>
        </w:rPr>
        <w:t>. The exercise price of incentive stock options must be at least equal to the fair market valu</w:t>
      </w:r>
      <w:r>
        <w:rPr>
          <w:sz w:val="20"/>
          <w:szCs w:val="20"/>
        </w:rPr>
        <w:t>e of our ordinary shares on the date of grant except pursuant to a transaction under Section 424(a) of the Internal Revenue Code. However, the exercise price of all other options may be as determined by the administrator. The term of an incentive stock opt</w:t>
      </w:r>
      <w:r>
        <w:rPr>
          <w:sz w:val="20"/>
          <w:szCs w:val="20"/>
        </w:rPr>
        <w:t>ion may not exceed ten years, except that with respect to any participant who owns 10% of the voting power of all classes of our outstanding shares as of the grant date, the term must not exceed five years and the exercise price must equal at least 110% of</w:t>
      </w:r>
      <w:r>
        <w:rPr>
          <w:sz w:val="20"/>
          <w:szCs w:val="20"/>
        </w:rPr>
        <w:t xml:space="preserve"> the fair market value on the grant date. The administrator of our 2010 Plan determines the term of all other options. After termination of an employee, director or consultant, he or she may exercise his or her options for the period of time stated in the </w:t>
      </w:r>
      <w:r>
        <w:rPr>
          <w:sz w:val="20"/>
          <w:szCs w:val="20"/>
        </w:rPr>
        <w:t>option agreement. Generally, if termination is due to death or disability, the option will remain exercisable for twelve (12) months. In all other cases, the option will generally remain exercisable for three months.</w:t>
      </w:r>
    </w:p>
    <w:p w14:paraId="507BB31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4929536"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Restricted shares</w:t>
      </w:r>
      <w:r>
        <w:rPr>
          <w:sz w:val="20"/>
          <w:szCs w:val="20"/>
        </w:rPr>
        <w:t>. Restricted share a</w:t>
      </w:r>
      <w:r>
        <w:rPr>
          <w:sz w:val="20"/>
          <w:szCs w:val="20"/>
        </w:rPr>
        <w:t>wards are ordinary shares that vest in accordance with terms and conditions established by the administrator and set forth in an award agreement. The administrator will determine the number of restricted shares granted to any employee and may impose whatev</w:t>
      </w:r>
      <w:r>
        <w:rPr>
          <w:sz w:val="20"/>
          <w:szCs w:val="20"/>
        </w:rPr>
        <w:t>er conditions to vesting it determines to be appropriate.</w:t>
      </w:r>
    </w:p>
    <w:p w14:paraId="7672FBE6"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04EEAB9" w14:textId="77777777">
        <w:trPr>
          <w:divId w:val="98525094"/>
          <w:trHeight w:val="225"/>
          <w:tblCellSpacing w:w="15" w:type="dxa"/>
        </w:trPr>
        <w:tc>
          <w:tcPr>
            <w:tcW w:w="0" w:type="auto"/>
            <w:vAlign w:val="center"/>
            <w:hideMark/>
          </w:tcPr>
          <w:p w14:paraId="3436AB1B" w14:textId="77777777" w:rsidR="00000000" w:rsidRDefault="00EB4933">
            <w:pPr>
              <w:rPr>
                <w:rFonts w:eastAsia="Times New Roman"/>
                <w:sz w:val="20"/>
                <w:szCs w:val="20"/>
              </w:rPr>
            </w:pPr>
            <w:r>
              <w:rPr>
                <w:rFonts w:eastAsia="Times New Roman"/>
                <w:sz w:val="20"/>
                <w:szCs w:val="20"/>
              </w:rPr>
              <w:t> </w:t>
            </w:r>
          </w:p>
        </w:tc>
      </w:tr>
      <w:tr w:rsidR="00000000" w14:paraId="44FCA30A" w14:textId="77777777">
        <w:trPr>
          <w:divId w:val="98525094"/>
          <w:trHeight w:val="225"/>
          <w:tblCellSpacing w:w="15" w:type="dxa"/>
        </w:trPr>
        <w:tc>
          <w:tcPr>
            <w:tcW w:w="0" w:type="auto"/>
            <w:tcBorders>
              <w:bottom w:val="single" w:sz="6" w:space="0" w:color="000000"/>
            </w:tcBorders>
            <w:vAlign w:val="center"/>
            <w:hideMark/>
          </w:tcPr>
          <w:p w14:paraId="5E8F92B9" w14:textId="77777777" w:rsidR="00000000" w:rsidRDefault="00EB4933">
            <w:pPr>
              <w:jc w:val="center"/>
              <w:rPr>
                <w:rFonts w:eastAsia="Times New Roman"/>
                <w:sz w:val="20"/>
                <w:szCs w:val="20"/>
              </w:rPr>
            </w:pPr>
            <w:r>
              <w:rPr>
                <w:rFonts w:eastAsia="Times New Roman"/>
                <w:sz w:val="20"/>
                <w:szCs w:val="20"/>
              </w:rPr>
              <w:t>74</w:t>
            </w:r>
          </w:p>
        </w:tc>
      </w:tr>
      <w:tr w:rsidR="00000000" w14:paraId="5E12CE8C" w14:textId="77777777">
        <w:trPr>
          <w:divId w:val="98525094"/>
          <w:trHeight w:val="225"/>
          <w:tblCellSpacing w:w="15" w:type="dxa"/>
        </w:trPr>
        <w:tc>
          <w:tcPr>
            <w:tcW w:w="0" w:type="auto"/>
            <w:vAlign w:val="center"/>
            <w:hideMark/>
          </w:tcPr>
          <w:p w14:paraId="2B079CB0" w14:textId="77777777" w:rsidR="00000000" w:rsidRDefault="00EB4933">
            <w:pPr>
              <w:rPr>
                <w:rFonts w:eastAsia="Times New Roman"/>
                <w:sz w:val="20"/>
                <w:szCs w:val="20"/>
              </w:rPr>
            </w:pPr>
          </w:p>
        </w:tc>
      </w:tr>
      <w:tr w:rsidR="00000000" w14:paraId="6F83A703" w14:textId="77777777">
        <w:trPr>
          <w:divId w:val="98525094"/>
          <w:trHeight w:val="225"/>
          <w:tblCellSpacing w:w="15" w:type="dxa"/>
        </w:trPr>
        <w:tc>
          <w:tcPr>
            <w:tcW w:w="0" w:type="auto"/>
            <w:vAlign w:val="center"/>
            <w:hideMark/>
          </w:tcPr>
          <w:p w14:paraId="128ABD0F" w14:textId="77777777" w:rsidR="00000000" w:rsidRDefault="00EB4933">
            <w:pPr>
              <w:rPr>
                <w:rFonts w:eastAsia="Times New Roman"/>
                <w:sz w:val="20"/>
                <w:szCs w:val="20"/>
              </w:rPr>
            </w:pPr>
            <w:hyperlink r:id="rId134" w:anchor="toc" w:history="1">
              <w:r>
                <w:rPr>
                  <w:rStyle w:val="Hyperlink"/>
                  <w:rFonts w:eastAsia="Times New Roman"/>
                  <w:i/>
                  <w:iCs/>
                  <w:sz w:val="20"/>
                  <w:szCs w:val="20"/>
                </w:rPr>
                <w:t>Table of Contents</w:t>
              </w:r>
            </w:hyperlink>
          </w:p>
        </w:tc>
      </w:tr>
    </w:tbl>
    <w:p w14:paraId="28AB11A2"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45D02AED"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Share appreciation rights</w:t>
      </w:r>
      <w:r>
        <w:rPr>
          <w:sz w:val="20"/>
          <w:szCs w:val="20"/>
        </w:rPr>
        <w:t>. Share appreciation rights allow the recipient to receive the appreciation in the fair market value of our ordinary shares between the date of grant and the exercise date. The exercise price of share appreciation rights granted under our plan may be as de</w:t>
      </w:r>
      <w:r>
        <w:rPr>
          <w:sz w:val="20"/>
          <w:szCs w:val="20"/>
        </w:rPr>
        <w:t>termined by the administrator. Share appreciation rights expire under the same rules that apply to options on the date as determined by the administrator.</w:t>
      </w:r>
    </w:p>
    <w:p w14:paraId="5E0B8CFA"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 </w:t>
      </w:r>
    </w:p>
    <w:p w14:paraId="7C2C4C93"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Performance units and performance shares</w:t>
      </w:r>
      <w:r>
        <w:rPr>
          <w:sz w:val="20"/>
          <w:szCs w:val="20"/>
        </w:rPr>
        <w:t>. Performance units and performance shares are awards that will result in a payment to a participant only if performance goals established by the administrator are achieved or the awards otherwise vest. The administrator will establish organizational or in</w:t>
      </w:r>
      <w:r>
        <w:rPr>
          <w:sz w:val="20"/>
          <w:szCs w:val="20"/>
        </w:rPr>
        <w:t>dividual performance goals in its discretion, which, depending on the extent to which they are met, will determine the number and the value of performance units and performance shares to be paid out to participants.</w:t>
      </w:r>
    </w:p>
    <w:p w14:paraId="4A82A9F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1BF97FE"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Restricted share units</w:t>
      </w:r>
      <w:r>
        <w:rPr>
          <w:sz w:val="20"/>
          <w:szCs w:val="20"/>
        </w:rPr>
        <w:t>. Restricted sha</w:t>
      </w:r>
      <w:r>
        <w:rPr>
          <w:sz w:val="20"/>
          <w:szCs w:val="20"/>
        </w:rPr>
        <w:t>re units are similar to awards of restricted shares, and are typically settled when the award vests or at some later date if the date of settlement is deferred. Restricted share units may consist of restricted shares, performance shares or performance unit</w:t>
      </w:r>
      <w:r>
        <w:rPr>
          <w:sz w:val="20"/>
          <w:szCs w:val="20"/>
        </w:rPr>
        <w:t xml:space="preserve"> awards, and the administrator may set forth restrictions based on the achievement of specific performance goals.</w:t>
      </w:r>
    </w:p>
    <w:p w14:paraId="7E369947"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FA326DE" w14:textId="77777777" w:rsidR="00000000" w:rsidRDefault="00EB4933">
      <w:pPr>
        <w:pStyle w:val="NormalWeb"/>
        <w:spacing w:before="0" w:beforeAutospacing="0" w:after="0" w:afterAutospacing="0"/>
        <w:ind w:firstLine="675"/>
        <w:jc w:val="both"/>
        <w:divId w:val="98525094"/>
        <w:rPr>
          <w:sz w:val="20"/>
          <w:szCs w:val="20"/>
        </w:rPr>
      </w:pPr>
      <w:r>
        <w:rPr>
          <w:rStyle w:val="Emphasis"/>
          <w:b/>
          <w:bCs/>
          <w:sz w:val="20"/>
          <w:szCs w:val="20"/>
        </w:rPr>
        <w:t>Amendment and termination</w:t>
      </w:r>
      <w:r>
        <w:rPr>
          <w:sz w:val="20"/>
          <w:szCs w:val="20"/>
        </w:rPr>
        <w:t>. Our 2010 Plan will automatically terminate in 2020, unless we terminate it sooner. Our board of directors has the</w:t>
      </w:r>
      <w:r>
        <w:rPr>
          <w:sz w:val="20"/>
          <w:szCs w:val="20"/>
        </w:rPr>
        <w:t xml:space="preserve"> authority to amend, alter, suspend or terminate the plan provided such action does not impair the rights of any participant with respect to any outstanding awards.</w:t>
      </w:r>
    </w:p>
    <w:p w14:paraId="0116BFA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0C4566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As of December 31, 2019, we have granted 1,131,400 restricted stock units to independent </w:t>
      </w:r>
      <w:r>
        <w:rPr>
          <w:sz w:val="20"/>
          <w:szCs w:val="20"/>
        </w:rPr>
        <w:t>directors and Chief Financial Officer under the 2010 Plan.</w:t>
      </w:r>
    </w:p>
    <w:p w14:paraId="67342967"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952614D" w14:textId="77777777">
        <w:trPr>
          <w:divId w:val="98525094"/>
          <w:trHeight w:val="225"/>
          <w:tblCellSpacing w:w="15" w:type="dxa"/>
        </w:trPr>
        <w:tc>
          <w:tcPr>
            <w:tcW w:w="0" w:type="auto"/>
            <w:vAlign w:val="center"/>
            <w:hideMark/>
          </w:tcPr>
          <w:p w14:paraId="57253440" w14:textId="77777777" w:rsidR="00000000" w:rsidRDefault="00EB4933">
            <w:pPr>
              <w:rPr>
                <w:rFonts w:eastAsia="Times New Roman"/>
                <w:sz w:val="20"/>
                <w:szCs w:val="20"/>
              </w:rPr>
            </w:pPr>
            <w:r>
              <w:rPr>
                <w:rFonts w:eastAsia="Times New Roman"/>
                <w:sz w:val="20"/>
                <w:szCs w:val="20"/>
              </w:rPr>
              <w:t> </w:t>
            </w:r>
          </w:p>
        </w:tc>
      </w:tr>
      <w:tr w:rsidR="00000000" w14:paraId="5649C31C" w14:textId="77777777">
        <w:trPr>
          <w:divId w:val="98525094"/>
          <w:trHeight w:val="225"/>
          <w:tblCellSpacing w:w="15" w:type="dxa"/>
        </w:trPr>
        <w:tc>
          <w:tcPr>
            <w:tcW w:w="0" w:type="auto"/>
            <w:tcBorders>
              <w:bottom w:val="single" w:sz="6" w:space="0" w:color="000000"/>
            </w:tcBorders>
            <w:vAlign w:val="center"/>
            <w:hideMark/>
          </w:tcPr>
          <w:p w14:paraId="786BAFF2" w14:textId="77777777" w:rsidR="00000000" w:rsidRDefault="00EB4933">
            <w:pPr>
              <w:jc w:val="center"/>
              <w:rPr>
                <w:rFonts w:eastAsia="Times New Roman"/>
                <w:sz w:val="20"/>
                <w:szCs w:val="20"/>
              </w:rPr>
            </w:pPr>
            <w:r>
              <w:rPr>
                <w:rFonts w:eastAsia="Times New Roman"/>
                <w:sz w:val="20"/>
                <w:szCs w:val="20"/>
              </w:rPr>
              <w:t>75</w:t>
            </w:r>
          </w:p>
        </w:tc>
      </w:tr>
      <w:tr w:rsidR="00000000" w14:paraId="2B91289F" w14:textId="77777777">
        <w:trPr>
          <w:divId w:val="98525094"/>
          <w:trHeight w:val="225"/>
          <w:tblCellSpacing w:w="15" w:type="dxa"/>
        </w:trPr>
        <w:tc>
          <w:tcPr>
            <w:tcW w:w="0" w:type="auto"/>
            <w:vAlign w:val="center"/>
            <w:hideMark/>
          </w:tcPr>
          <w:p w14:paraId="66CEEE19" w14:textId="77777777" w:rsidR="00000000" w:rsidRDefault="00EB4933">
            <w:pPr>
              <w:rPr>
                <w:rFonts w:eastAsia="Times New Roman"/>
                <w:sz w:val="20"/>
                <w:szCs w:val="20"/>
              </w:rPr>
            </w:pPr>
          </w:p>
        </w:tc>
      </w:tr>
      <w:tr w:rsidR="00000000" w14:paraId="212960AC" w14:textId="77777777">
        <w:trPr>
          <w:divId w:val="98525094"/>
          <w:trHeight w:val="225"/>
          <w:tblCellSpacing w:w="15" w:type="dxa"/>
        </w:trPr>
        <w:tc>
          <w:tcPr>
            <w:tcW w:w="0" w:type="auto"/>
            <w:vAlign w:val="center"/>
            <w:hideMark/>
          </w:tcPr>
          <w:p w14:paraId="7AD0390B" w14:textId="77777777" w:rsidR="00000000" w:rsidRDefault="00EB4933">
            <w:pPr>
              <w:rPr>
                <w:rFonts w:eastAsia="Times New Roman"/>
                <w:sz w:val="20"/>
                <w:szCs w:val="20"/>
              </w:rPr>
            </w:pPr>
            <w:hyperlink r:id="rId135" w:anchor="toc" w:history="1">
              <w:r>
                <w:rPr>
                  <w:rStyle w:val="Hyperlink"/>
                  <w:rFonts w:eastAsia="Times New Roman"/>
                  <w:i/>
                  <w:iCs/>
                  <w:sz w:val="20"/>
                  <w:szCs w:val="20"/>
                </w:rPr>
                <w:t>Table of Contents</w:t>
              </w:r>
            </w:hyperlink>
          </w:p>
        </w:tc>
      </w:tr>
    </w:tbl>
    <w:p w14:paraId="4B6E5BC2"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63C300EF" w14:textId="77777777" w:rsidR="00000000" w:rsidRDefault="00EB4933">
      <w:pPr>
        <w:pStyle w:val="NormalWeb"/>
        <w:spacing w:before="0" w:beforeAutospacing="0" w:after="0" w:afterAutospacing="0"/>
        <w:jc w:val="both"/>
        <w:divId w:val="98525094"/>
        <w:rPr>
          <w:sz w:val="20"/>
          <w:szCs w:val="20"/>
        </w:rPr>
      </w:pPr>
      <w:r>
        <w:rPr>
          <w:rStyle w:val="Strong"/>
          <w:sz w:val="20"/>
          <w:szCs w:val="20"/>
        </w:rPr>
        <w:t>C. Board Practices</w:t>
      </w:r>
      <w:r>
        <w:rPr>
          <w:sz w:val="20"/>
          <w:szCs w:val="20"/>
        </w:rPr>
        <w:t xml:space="preserve"> </w:t>
      </w:r>
    </w:p>
    <w:p w14:paraId="4B07BA6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286B246" w14:textId="77777777" w:rsidR="00000000" w:rsidRDefault="00EB4933">
      <w:pPr>
        <w:pStyle w:val="NormalWeb"/>
        <w:spacing w:before="0" w:beforeAutospacing="0" w:after="0" w:afterAutospacing="0"/>
        <w:jc w:val="both"/>
        <w:divId w:val="98525094"/>
        <w:rPr>
          <w:sz w:val="20"/>
          <w:szCs w:val="20"/>
        </w:rPr>
      </w:pPr>
      <w:r>
        <w:rPr>
          <w:rStyle w:val="Strong"/>
          <w:sz w:val="20"/>
          <w:szCs w:val="20"/>
        </w:rPr>
        <w:t>Board of Directors</w:t>
      </w:r>
    </w:p>
    <w:p w14:paraId="0471EB6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1602B82"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We are a “controlled company” </w:t>
      </w:r>
      <w:r>
        <w:rPr>
          <w:sz w:val="20"/>
          <w:szCs w:val="20"/>
        </w:rPr>
        <w:t xml:space="preserve">as defined in Section 801 of the NYSE American Company Guide. As a result, we are exempt from certain of the NYSE American Company Guide corporate governance requirements, including the requirement that a majority of the board of directors be independent, </w:t>
      </w:r>
      <w:r>
        <w:rPr>
          <w:sz w:val="20"/>
          <w:szCs w:val="20"/>
        </w:rPr>
        <w:t>the requirement applicable to the nomination process of directors and the requirements applicable to the determination or recommendation of executive compensation by a committee comprised of independent directors or by a majority of the independent directo</w:t>
      </w:r>
      <w:r>
        <w:rPr>
          <w:sz w:val="20"/>
          <w:szCs w:val="20"/>
        </w:rPr>
        <w:t>rs and the additional requirements concerning compensation committee independence, compensation advisor engagement and independence.</w:t>
      </w:r>
    </w:p>
    <w:p w14:paraId="0171CBF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5AACB11"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board of directors currently consists of four (4) directors. Under the NYSE American Company Guide, or the Company Gu</w:t>
      </w:r>
      <w:r>
        <w:rPr>
          <w:sz w:val="20"/>
          <w:szCs w:val="20"/>
        </w:rPr>
        <w:t xml:space="preserve">ide, U.S. domestic listed companies are required to have a majority independent board, which is not required under the Companies Law of the Cayman Islands, our home country. We currently have two (2) independent directors. </w:t>
      </w:r>
    </w:p>
    <w:p w14:paraId="043CFE7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2FAFA29" w14:textId="77777777" w:rsidR="00000000" w:rsidRDefault="00EB4933">
      <w:pPr>
        <w:pStyle w:val="NormalWeb"/>
        <w:spacing w:before="0" w:beforeAutospacing="0" w:after="0" w:afterAutospacing="0"/>
        <w:jc w:val="both"/>
        <w:divId w:val="98525094"/>
        <w:rPr>
          <w:sz w:val="20"/>
          <w:szCs w:val="20"/>
        </w:rPr>
      </w:pPr>
      <w:r>
        <w:rPr>
          <w:rStyle w:val="Strong"/>
          <w:sz w:val="20"/>
          <w:szCs w:val="20"/>
        </w:rPr>
        <w:t>Terms of Directors and Executi</w:t>
      </w:r>
      <w:r>
        <w:rPr>
          <w:rStyle w:val="Strong"/>
          <w:sz w:val="20"/>
          <w:szCs w:val="20"/>
        </w:rPr>
        <w:t>ve Officers</w:t>
      </w:r>
    </w:p>
    <w:p w14:paraId="615BCE6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A0AFBF6"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directors are not subject to a term of office and hold office until such times as they resign or are removed from office by ordinary resolutions or as otherwise described below. Ms. Xiao and Messrs. Wei, Bei, and Viotto have served as our director sinc</w:t>
      </w:r>
      <w:r>
        <w:rPr>
          <w:sz w:val="20"/>
          <w:szCs w:val="20"/>
        </w:rPr>
        <w:t>e December 28, 2017. Any director can be removed from office by ordinary resolution. A director will be removed from office automatically if, among other things, the director becomes bankrupt or has become of unsound mind. Our officers are appointed by and</w:t>
      </w:r>
      <w:r>
        <w:rPr>
          <w:sz w:val="20"/>
          <w:szCs w:val="20"/>
        </w:rPr>
        <w:t xml:space="preserve"> serve at the discretion of the Board of Directors.</w:t>
      </w:r>
    </w:p>
    <w:p w14:paraId="3270CBC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C459E94" w14:textId="77777777" w:rsidR="00000000" w:rsidRDefault="00EB4933">
      <w:pPr>
        <w:pStyle w:val="NormalWeb"/>
        <w:spacing w:before="0" w:beforeAutospacing="0" w:after="0" w:afterAutospacing="0"/>
        <w:jc w:val="both"/>
        <w:divId w:val="98525094"/>
        <w:rPr>
          <w:sz w:val="20"/>
          <w:szCs w:val="20"/>
        </w:rPr>
      </w:pPr>
      <w:r>
        <w:rPr>
          <w:rStyle w:val="Strong"/>
          <w:sz w:val="20"/>
          <w:szCs w:val="20"/>
        </w:rPr>
        <w:t>Committees of the Board of Directors</w:t>
      </w:r>
    </w:p>
    <w:p w14:paraId="05E16A1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3AF8B0F"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Board of Directors currently has a standing audit committee, a compensation committee and a nominating and corporate governance committee. The Company Guide re</w:t>
      </w:r>
      <w:r>
        <w:rPr>
          <w:sz w:val="20"/>
          <w:szCs w:val="20"/>
        </w:rPr>
        <w:t xml:space="preserve">quires U.S. domestic listed companies to have an audit committee of at least three (3) members. These requirements differ from the Companies Law of the Cayman Islands. </w:t>
      </w:r>
      <w:r>
        <w:rPr>
          <w:sz w:val="20"/>
          <w:szCs w:val="20"/>
        </w:rPr>
        <w:lastRenderedPageBreak/>
        <w:t>As described below, our audit committee, compensation committee and nominating and corpo</w:t>
      </w:r>
      <w:r>
        <w:rPr>
          <w:sz w:val="20"/>
          <w:szCs w:val="20"/>
        </w:rPr>
        <w:t>rate governance committees composed of two (2) members, all of whom are independent directors.</w:t>
      </w:r>
    </w:p>
    <w:p w14:paraId="707699B6"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1D09CF8" w14:textId="77777777">
        <w:trPr>
          <w:divId w:val="98525094"/>
          <w:trHeight w:val="225"/>
          <w:tblCellSpacing w:w="15" w:type="dxa"/>
        </w:trPr>
        <w:tc>
          <w:tcPr>
            <w:tcW w:w="0" w:type="auto"/>
            <w:vAlign w:val="center"/>
            <w:hideMark/>
          </w:tcPr>
          <w:p w14:paraId="10F3BE1A" w14:textId="77777777" w:rsidR="00000000" w:rsidRDefault="00EB4933">
            <w:pPr>
              <w:rPr>
                <w:rFonts w:eastAsia="Times New Roman"/>
                <w:sz w:val="20"/>
                <w:szCs w:val="20"/>
              </w:rPr>
            </w:pPr>
            <w:r>
              <w:rPr>
                <w:rFonts w:eastAsia="Times New Roman"/>
                <w:sz w:val="20"/>
                <w:szCs w:val="20"/>
              </w:rPr>
              <w:t> </w:t>
            </w:r>
          </w:p>
        </w:tc>
      </w:tr>
      <w:tr w:rsidR="00000000" w14:paraId="32E2CF04" w14:textId="77777777">
        <w:trPr>
          <w:divId w:val="98525094"/>
          <w:trHeight w:val="225"/>
          <w:tblCellSpacing w:w="15" w:type="dxa"/>
        </w:trPr>
        <w:tc>
          <w:tcPr>
            <w:tcW w:w="0" w:type="auto"/>
            <w:tcBorders>
              <w:bottom w:val="single" w:sz="6" w:space="0" w:color="000000"/>
            </w:tcBorders>
            <w:vAlign w:val="center"/>
            <w:hideMark/>
          </w:tcPr>
          <w:p w14:paraId="6B22D8C4" w14:textId="77777777" w:rsidR="00000000" w:rsidRDefault="00EB4933">
            <w:pPr>
              <w:jc w:val="center"/>
              <w:rPr>
                <w:rFonts w:eastAsia="Times New Roman"/>
                <w:sz w:val="20"/>
                <w:szCs w:val="20"/>
              </w:rPr>
            </w:pPr>
            <w:r>
              <w:rPr>
                <w:rFonts w:eastAsia="Times New Roman"/>
                <w:sz w:val="20"/>
                <w:szCs w:val="20"/>
              </w:rPr>
              <w:t>76</w:t>
            </w:r>
          </w:p>
        </w:tc>
      </w:tr>
      <w:tr w:rsidR="00000000" w14:paraId="42C401A6" w14:textId="77777777">
        <w:trPr>
          <w:divId w:val="98525094"/>
          <w:trHeight w:val="225"/>
          <w:tblCellSpacing w:w="15" w:type="dxa"/>
        </w:trPr>
        <w:tc>
          <w:tcPr>
            <w:tcW w:w="0" w:type="auto"/>
            <w:vAlign w:val="center"/>
            <w:hideMark/>
          </w:tcPr>
          <w:p w14:paraId="422C9103" w14:textId="77777777" w:rsidR="00000000" w:rsidRDefault="00EB4933">
            <w:pPr>
              <w:rPr>
                <w:rFonts w:eastAsia="Times New Roman"/>
                <w:sz w:val="20"/>
                <w:szCs w:val="20"/>
              </w:rPr>
            </w:pPr>
          </w:p>
        </w:tc>
      </w:tr>
      <w:tr w:rsidR="00000000" w14:paraId="6E1F197A" w14:textId="77777777">
        <w:trPr>
          <w:divId w:val="98525094"/>
          <w:trHeight w:val="225"/>
          <w:tblCellSpacing w:w="15" w:type="dxa"/>
        </w:trPr>
        <w:tc>
          <w:tcPr>
            <w:tcW w:w="0" w:type="auto"/>
            <w:vAlign w:val="center"/>
            <w:hideMark/>
          </w:tcPr>
          <w:p w14:paraId="748003CF" w14:textId="77777777" w:rsidR="00000000" w:rsidRDefault="00EB4933">
            <w:pPr>
              <w:rPr>
                <w:rFonts w:eastAsia="Times New Roman"/>
                <w:sz w:val="20"/>
                <w:szCs w:val="20"/>
              </w:rPr>
            </w:pPr>
            <w:hyperlink r:id="rId136" w:anchor="toc" w:history="1">
              <w:r>
                <w:rPr>
                  <w:rStyle w:val="Hyperlink"/>
                  <w:rFonts w:eastAsia="Times New Roman"/>
                  <w:i/>
                  <w:iCs/>
                  <w:sz w:val="20"/>
                  <w:szCs w:val="20"/>
                </w:rPr>
                <w:t>Table of Contents</w:t>
              </w:r>
            </w:hyperlink>
          </w:p>
        </w:tc>
      </w:tr>
    </w:tbl>
    <w:p w14:paraId="3A215222"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2B58C316"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Audit Committee</w:t>
      </w:r>
    </w:p>
    <w:p w14:paraId="0740E99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04D8A49"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audit committee consists of Messrs. Bei and Viotto. Each of Messrs. Bei and Viotto satisfies the “independence” requirements of Section 803A of the Company Guide and Rule 10A-3 under the Exchange Act. The audit committee oversees our accounting and fin</w:t>
      </w:r>
      <w:r>
        <w:rPr>
          <w:sz w:val="20"/>
          <w:szCs w:val="20"/>
        </w:rPr>
        <w:t>ancial reporting processes and the audits of the financial statements of our company. The audit committee is responsible for, among other things:</w:t>
      </w:r>
    </w:p>
    <w:p w14:paraId="19BF0337"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356CE15A" w14:textId="77777777">
        <w:trPr>
          <w:divId w:val="98525094"/>
          <w:trHeight w:val="225"/>
          <w:tblCellSpacing w:w="15" w:type="dxa"/>
        </w:trPr>
        <w:tc>
          <w:tcPr>
            <w:tcW w:w="200" w:type="pct"/>
            <w:vAlign w:val="center"/>
            <w:hideMark/>
          </w:tcPr>
          <w:p w14:paraId="4FEB0FA6"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07C435C4"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0D4F473F" w14:textId="77777777" w:rsidR="00000000" w:rsidRDefault="00EB4933">
            <w:pPr>
              <w:rPr>
                <w:rFonts w:eastAsia="Times New Roman"/>
                <w:sz w:val="20"/>
                <w:szCs w:val="20"/>
              </w:rPr>
            </w:pPr>
            <w:r>
              <w:rPr>
                <w:rFonts w:eastAsia="Times New Roman"/>
                <w:sz w:val="20"/>
                <w:szCs w:val="20"/>
              </w:rPr>
              <w:t>appointing our independent auditors and pre-approving all auditing and non-auditing services permitted t</w:t>
            </w:r>
            <w:r>
              <w:rPr>
                <w:rFonts w:eastAsia="Times New Roman"/>
                <w:sz w:val="20"/>
                <w:szCs w:val="20"/>
              </w:rPr>
              <w:t>o be performed by our independent auditors;</w:t>
            </w:r>
          </w:p>
        </w:tc>
      </w:tr>
      <w:tr w:rsidR="00000000" w14:paraId="0D34D2A0" w14:textId="77777777">
        <w:trPr>
          <w:divId w:val="98525094"/>
          <w:trHeight w:val="225"/>
          <w:tblCellSpacing w:w="15" w:type="dxa"/>
        </w:trPr>
        <w:tc>
          <w:tcPr>
            <w:tcW w:w="0" w:type="auto"/>
            <w:vAlign w:val="center"/>
            <w:hideMark/>
          </w:tcPr>
          <w:p w14:paraId="2D0E0CA4"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0F07CC58"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3936FA80" w14:textId="77777777" w:rsidR="00000000" w:rsidRDefault="00EB4933">
            <w:pPr>
              <w:pStyle w:val="NormalWeb"/>
              <w:spacing w:before="0" w:beforeAutospacing="0" w:after="0" w:afterAutospacing="0"/>
              <w:rPr>
                <w:sz w:val="20"/>
                <w:szCs w:val="20"/>
              </w:rPr>
            </w:pPr>
            <w:r>
              <w:rPr>
                <w:sz w:val="20"/>
                <w:szCs w:val="20"/>
              </w:rPr>
              <w:t> </w:t>
            </w:r>
          </w:p>
        </w:tc>
      </w:tr>
      <w:tr w:rsidR="00000000" w14:paraId="1FFCE9CC" w14:textId="77777777">
        <w:trPr>
          <w:divId w:val="98525094"/>
          <w:trHeight w:val="225"/>
          <w:tblCellSpacing w:w="15" w:type="dxa"/>
        </w:trPr>
        <w:tc>
          <w:tcPr>
            <w:tcW w:w="0" w:type="auto"/>
            <w:vAlign w:val="center"/>
            <w:hideMark/>
          </w:tcPr>
          <w:p w14:paraId="3E80FA99"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751A9B71"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18CA326B" w14:textId="77777777" w:rsidR="00000000" w:rsidRDefault="00EB4933">
            <w:pPr>
              <w:rPr>
                <w:rFonts w:eastAsia="Times New Roman"/>
                <w:sz w:val="20"/>
                <w:szCs w:val="20"/>
              </w:rPr>
            </w:pPr>
            <w:r>
              <w:rPr>
                <w:rFonts w:eastAsia="Times New Roman"/>
                <w:sz w:val="20"/>
                <w:szCs w:val="20"/>
              </w:rPr>
              <w:t>reviewing with our independent auditors any audit issues and management’s response;</w:t>
            </w:r>
          </w:p>
        </w:tc>
      </w:tr>
      <w:tr w:rsidR="00000000" w14:paraId="7F00DF54" w14:textId="77777777">
        <w:trPr>
          <w:divId w:val="98525094"/>
          <w:trHeight w:val="225"/>
          <w:tblCellSpacing w:w="15" w:type="dxa"/>
        </w:trPr>
        <w:tc>
          <w:tcPr>
            <w:tcW w:w="0" w:type="auto"/>
            <w:vAlign w:val="center"/>
            <w:hideMark/>
          </w:tcPr>
          <w:p w14:paraId="44A1F00E"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138324BA"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2924ACAB" w14:textId="77777777" w:rsidR="00000000" w:rsidRDefault="00EB4933">
            <w:pPr>
              <w:pStyle w:val="NormalWeb"/>
              <w:spacing w:before="0" w:beforeAutospacing="0" w:after="0" w:afterAutospacing="0"/>
              <w:rPr>
                <w:sz w:val="20"/>
                <w:szCs w:val="20"/>
              </w:rPr>
            </w:pPr>
            <w:r>
              <w:rPr>
                <w:sz w:val="20"/>
                <w:szCs w:val="20"/>
              </w:rPr>
              <w:t> </w:t>
            </w:r>
          </w:p>
        </w:tc>
      </w:tr>
      <w:tr w:rsidR="00000000" w14:paraId="2B150540" w14:textId="77777777">
        <w:trPr>
          <w:divId w:val="98525094"/>
          <w:trHeight w:val="225"/>
          <w:tblCellSpacing w:w="15" w:type="dxa"/>
        </w:trPr>
        <w:tc>
          <w:tcPr>
            <w:tcW w:w="0" w:type="auto"/>
            <w:vAlign w:val="center"/>
            <w:hideMark/>
          </w:tcPr>
          <w:p w14:paraId="5F849718"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7CA55E0A"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F159C2B" w14:textId="77777777" w:rsidR="00000000" w:rsidRDefault="00EB4933">
            <w:pPr>
              <w:rPr>
                <w:rFonts w:eastAsia="Times New Roman"/>
                <w:sz w:val="20"/>
                <w:szCs w:val="20"/>
              </w:rPr>
            </w:pPr>
            <w:r>
              <w:rPr>
                <w:rFonts w:eastAsia="Times New Roman"/>
                <w:sz w:val="20"/>
                <w:szCs w:val="20"/>
              </w:rPr>
              <w:t>reviewing and approving all proposed related party transactions;</w:t>
            </w:r>
          </w:p>
        </w:tc>
      </w:tr>
      <w:tr w:rsidR="00000000" w14:paraId="3CA9EC22" w14:textId="77777777">
        <w:trPr>
          <w:divId w:val="98525094"/>
          <w:trHeight w:val="225"/>
          <w:tblCellSpacing w:w="15" w:type="dxa"/>
        </w:trPr>
        <w:tc>
          <w:tcPr>
            <w:tcW w:w="0" w:type="auto"/>
            <w:vAlign w:val="center"/>
            <w:hideMark/>
          </w:tcPr>
          <w:p w14:paraId="607723D1"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55A5F246"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5A4C501A" w14:textId="77777777" w:rsidR="00000000" w:rsidRDefault="00EB4933">
            <w:pPr>
              <w:pStyle w:val="NormalWeb"/>
              <w:spacing w:before="0" w:beforeAutospacing="0" w:after="0" w:afterAutospacing="0"/>
              <w:rPr>
                <w:sz w:val="20"/>
                <w:szCs w:val="20"/>
              </w:rPr>
            </w:pPr>
            <w:r>
              <w:rPr>
                <w:sz w:val="20"/>
                <w:szCs w:val="20"/>
              </w:rPr>
              <w:t> </w:t>
            </w:r>
          </w:p>
        </w:tc>
      </w:tr>
      <w:tr w:rsidR="00000000" w14:paraId="56E0CD5C" w14:textId="77777777">
        <w:trPr>
          <w:divId w:val="98525094"/>
          <w:trHeight w:val="225"/>
          <w:tblCellSpacing w:w="15" w:type="dxa"/>
        </w:trPr>
        <w:tc>
          <w:tcPr>
            <w:tcW w:w="0" w:type="auto"/>
            <w:vAlign w:val="center"/>
            <w:hideMark/>
          </w:tcPr>
          <w:p w14:paraId="5DD4A366"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418D7219"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A5EEE17" w14:textId="77777777" w:rsidR="00000000" w:rsidRDefault="00EB4933">
            <w:pPr>
              <w:rPr>
                <w:rFonts w:eastAsia="Times New Roman"/>
                <w:sz w:val="20"/>
                <w:szCs w:val="20"/>
              </w:rPr>
            </w:pPr>
            <w:r>
              <w:rPr>
                <w:rFonts w:eastAsia="Times New Roman"/>
                <w:sz w:val="20"/>
                <w:szCs w:val="20"/>
              </w:rPr>
              <w:t>discussing the annual audited financial statements with management and our independent auditors;</w:t>
            </w:r>
          </w:p>
        </w:tc>
      </w:tr>
      <w:tr w:rsidR="00000000" w14:paraId="66D2517F" w14:textId="77777777">
        <w:trPr>
          <w:divId w:val="98525094"/>
          <w:trHeight w:val="225"/>
          <w:tblCellSpacing w:w="15" w:type="dxa"/>
        </w:trPr>
        <w:tc>
          <w:tcPr>
            <w:tcW w:w="0" w:type="auto"/>
            <w:vAlign w:val="center"/>
            <w:hideMark/>
          </w:tcPr>
          <w:p w14:paraId="09331692"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07F591D8"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72E8C4C9" w14:textId="77777777" w:rsidR="00000000" w:rsidRDefault="00EB4933">
            <w:pPr>
              <w:pStyle w:val="NormalWeb"/>
              <w:spacing w:before="0" w:beforeAutospacing="0" w:after="0" w:afterAutospacing="0"/>
              <w:rPr>
                <w:sz w:val="20"/>
                <w:szCs w:val="20"/>
              </w:rPr>
            </w:pPr>
            <w:r>
              <w:rPr>
                <w:sz w:val="20"/>
                <w:szCs w:val="20"/>
              </w:rPr>
              <w:t> </w:t>
            </w:r>
          </w:p>
        </w:tc>
      </w:tr>
      <w:tr w:rsidR="00000000" w14:paraId="74B2D5BE" w14:textId="77777777">
        <w:trPr>
          <w:divId w:val="98525094"/>
          <w:trHeight w:val="225"/>
          <w:tblCellSpacing w:w="15" w:type="dxa"/>
        </w:trPr>
        <w:tc>
          <w:tcPr>
            <w:tcW w:w="0" w:type="auto"/>
            <w:vAlign w:val="center"/>
            <w:hideMark/>
          </w:tcPr>
          <w:p w14:paraId="2D8D665B"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249C7625"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216D2F0D" w14:textId="77777777" w:rsidR="00000000" w:rsidRDefault="00EB4933">
            <w:pPr>
              <w:rPr>
                <w:rFonts w:eastAsia="Times New Roman"/>
                <w:sz w:val="20"/>
                <w:szCs w:val="20"/>
              </w:rPr>
            </w:pPr>
            <w:r>
              <w:rPr>
                <w:rFonts w:eastAsia="Times New Roman"/>
                <w:sz w:val="20"/>
                <w:szCs w:val="20"/>
              </w:rPr>
              <w:t>reviewing major issues as to the adequacy of our internal controls and</w:t>
            </w:r>
            <w:r>
              <w:rPr>
                <w:rFonts w:eastAsia="Times New Roman"/>
                <w:sz w:val="20"/>
                <w:szCs w:val="20"/>
              </w:rPr>
              <w:t xml:space="preserve"> any special audit steps adopted in light of our current material weaknesses in internal control;</w:t>
            </w:r>
          </w:p>
        </w:tc>
      </w:tr>
      <w:tr w:rsidR="00000000" w14:paraId="2247F7D1" w14:textId="77777777">
        <w:trPr>
          <w:divId w:val="98525094"/>
          <w:trHeight w:val="225"/>
          <w:tblCellSpacing w:w="15" w:type="dxa"/>
        </w:trPr>
        <w:tc>
          <w:tcPr>
            <w:tcW w:w="0" w:type="auto"/>
            <w:vAlign w:val="center"/>
            <w:hideMark/>
          </w:tcPr>
          <w:p w14:paraId="0BBED9EE"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33BB3556"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2FF9EEB9" w14:textId="77777777" w:rsidR="00000000" w:rsidRDefault="00EB4933">
            <w:pPr>
              <w:pStyle w:val="NormalWeb"/>
              <w:spacing w:before="0" w:beforeAutospacing="0" w:after="0" w:afterAutospacing="0"/>
              <w:rPr>
                <w:sz w:val="20"/>
                <w:szCs w:val="20"/>
              </w:rPr>
            </w:pPr>
            <w:r>
              <w:rPr>
                <w:sz w:val="20"/>
                <w:szCs w:val="20"/>
              </w:rPr>
              <w:t> </w:t>
            </w:r>
          </w:p>
        </w:tc>
      </w:tr>
      <w:tr w:rsidR="00000000" w14:paraId="6BC606A0" w14:textId="77777777">
        <w:trPr>
          <w:divId w:val="98525094"/>
          <w:trHeight w:val="225"/>
          <w:tblCellSpacing w:w="15" w:type="dxa"/>
        </w:trPr>
        <w:tc>
          <w:tcPr>
            <w:tcW w:w="0" w:type="auto"/>
            <w:vAlign w:val="center"/>
            <w:hideMark/>
          </w:tcPr>
          <w:p w14:paraId="3DFAC0C7"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57C26071"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56FABA32" w14:textId="77777777" w:rsidR="00000000" w:rsidRDefault="00EB4933">
            <w:pPr>
              <w:rPr>
                <w:rFonts w:eastAsia="Times New Roman"/>
                <w:sz w:val="20"/>
                <w:szCs w:val="20"/>
              </w:rPr>
            </w:pPr>
            <w:r>
              <w:rPr>
                <w:rFonts w:eastAsia="Times New Roman"/>
                <w:sz w:val="20"/>
                <w:szCs w:val="20"/>
              </w:rPr>
              <w:t>annually reviewing and reassessing the adequacy of our audit committee charter;</w:t>
            </w:r>
          </w:p>
        </w:tc>
      </w:tr>
      <w:tr w:rsidR="00000000" w14:paraId="7AB01F78" w14:textId="77777777">
        <w:trPr>
          <w:divId w:val="98525094"/>
          <w:trHeight w:val="225"/>
          <w:tblCellSpacing w:w="15" w:type="dxa"/>
        </w:trPr>
        <w:tc>
          <w:tcPr>
            <w:tcW w:w="0" w:type="auto"/>
            <w:vAlign w:val="center"/>
            <w:hideMark/>
          </w:tcPr>
          <w:p w14:paraId="26F908A2"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3ACD06E5"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668E4313" w14:textId="77777777" w:rsidR="00000000" w:rsidRDefault="00EB4933">
            <w:pPr>
              <w:pStyle w:val="NormalWeb"/>
              <w:spacing w:before="0" w:beforeAutospacing="0" w:after="0" w:afterAutospacing="0"/>
              <w:rPr>
                <w:sz w:val="20"/>
                <w:szCs w:val="20"/>
              </w:rPr>
            </w:pPr>
            <w:r>
              <w:rPr>
                <w:sz w:val="20"/>
                <w:szCs w:val="20"/>
              </w:rPr>
              <w:t> </w:t>
            </w:r>
          </w:p>
        </w:tc>
      </w:tr>
      <w:tr w:rsidR="00000000" w14:paraId="06EBADD4" w14:textId="77777777">
        <w:trPr>
          <w:divId w:val="98525094"/>
          <w:trHeight w:val="225"/>
          <w:tblCellSpacing w:w="15" w:type="dxa"/>
        </w:trPr>
        <w:tc>
          <w:tcPr>
            <w:tcW w:w="0" w:type="auto"/>
            <w:vAlign w:val="center"/>
            <w:hideMark/>
          </w:tcPr>
          <w:p w14:paraId="51B42A31"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07C36D59"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F46B71C" w14:textId="77777777" w:rsidR="00000000" w:rsidRDefault="00EB4933">
            <w:pPr>
              <w:rPr>
                <w:rFonts w:eastAsia="Times New Roman"/>
                <w:sz w:val="20"/>
                <w:szCs w:val="20"/>
              </w:rPr>
            </w:pPr>
            <w:r>
              <w:rPr>
                <w:rFonts w:eastAsia="Times New Roman"/>
                <w:sz w:val="20"/>
                <w:szCs w:val="20"/>
              </w:rPr>
              <w:t>such other matters that are specifically delegated to our audit committee by our Board of Directors from time to time;</w:t>
            </w:r>
          </w:p>
        </w:tc>
      </w:tr>
      <w:tr w:rsidR="00000000" w14:paraId="208FD67E" w14:textId="77777777">
        <w:trPr>
          <w:divId w:val="98525094"/>
          <w:trHeight w:val="225"/>
          <w:tblCellSpacing w:w="15" w:type="dxa"/>
        </w:trPr>
        <w:tc>
          <w:tcPr>
            <w:tcW w:w="0" w:type="auto"/>
            <w:vAlign w:val="center"/>
            <w:hideMark/>
          </w:tcPr>
          <w:p w14:paraId="1A784CD9"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1428E877"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006AE996" w14:textId="77777777" w:rsidR="00000000" w:rsidRDefault="00EB4933">
            <w:pPr>
              <w:pStyle w:val="NormalWeb"/>
              <w:spacing w:before="0" w:beforeAutospacing="0" w:after="0" w:afterAutospacing="0"/>
              <w:rPr>
                <w:sz w:val="20"/>
                <w:szCs w:val="20"/>
              </w:rPr>
            </w:pPr>
            <w:r>
              <w:rPr>
                <w:sz w:val="20"/>
                <w:szCs w:val="20"/>
              </w:rPr>
              <w:t> </w:t>
            </w:r>
          </w:p>
        </w:tc>
      </w:tr>
      <w:tr w:rsidR="00000000" w14:paraId="055FEBCB" w14:textId="77777777">
        <w:trPr>
          <w:divId w:val="98525094"/>
          <w:trHeight w:val="225"/>
          <w:tblCellSpacing w:w="15" w:type="dxa"/>
        </w:trPr>
        <w:tc>
          <w:tcPr>
            <w:tcW w:w="0" w:type="auto"/>
            <w:vAlign w:val="center"/>
            <w:hideMark/>
          </w:tcPr>
          <w:p w14:paraId="49245FB0"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1377C5F5"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74F21015" w14:textId="77777777" w:rsidR="00000000" w:rsidRDefault="00EB4933">
            <w:pPr>
              <w:rPr>
                <w:rFonts w:eastAsia="Times New Roman"/>
                <w:sz w:val="20"/>
                <w:szCs w:val="20"/>
              </w:rPr>
            </w:pPr>
            <w:r>
              <w:rPr>
                <w:rFonts w:eastAsia="Times New Roman"/>
                <w:sz w:val="20"/>
                <w:szCs w:val="20"/>
              </w:rPr>
              <w:t>meeting separately and periodically with management and our internal and independent auditors; and</w:t>
            </w:r>
          </w:p>
        </w:tc>
      </w:tr>
      <w:tr w:rsidR="00000000" w14:paraId="47D04959" w14:textId="77777777">
        <w:trPr>
          <w:divId w:val="98525094"/>
          <w:trHeight w:val="225"/>
          <w:tblCellSpacing w:w="15" w:type="dxa"/>
        </w:trPr>
        <w:tc>
          <w:tcPr>
            <w:tcW w:w="0" w:type="auto"/>
            <w:vAlign w:val="center"/>
            <w:hideMark/>
          </w:tcPr>
          <w:p w14:paraId="4BE58F74"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40BD44A2"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37FEDF7B" w14:textId="77777777" w:rsidR="00000000" w:rsidRDefault="00EB4933">
            <w:pPr>
              <w:pStyle w:val="NormalWeb"/>
              <w:spacing w:before="0" w:beforeAutospacing="0" w:after="0" w:afterAutospacing="0"/>
              <w:rPr>
                <w:sz w:val="20"/>
                <w:szCs w:val="20"/>
              </w:rPr>
            </w:pPr>
            <w:r>
              <w:rPr>
                <w:sz w:val="20"/>
                <w:szCs w:val="20"/>
              </w:rPr>
              <w:t> </w:t>
            </w:r>
          </w:p>
        </w:tc>
      </w:tr>
      <w:tr w:rsidR="00000000" w14:paraId="134C7B79" w14:textId="77777777">
        <w:trPr>
          <w:divId w:val="98525094"/>
          <w:trHeight w:val="225"/>
          <w:tblCellSpacing w:w="15" w:type="dxa"/>
        </w:trPr>
        <w:tc>
          <w:tcPr>
            <w:tcW w:w="0" w:type="auto"/>
            <w:vAlign w:val="center"/>
            <w:hideMark/>
          </w:tcPr>
          <w:p w14:paraId="1C9AC91B"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7921C841"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200C4F57" w14:textId="77777777" w:rsidR="00000000" w:rsidRDefault="00EB4933">
            <w:pPr>
              <w:rPr>
                <w:rFonts w:eastAsia="Times New Roman"/>
                <w:sz w:val="20"/>
                <w:szCs w:val="20"/>
              </w:rPr>
            </w:pPr>
            <w:r>
              <w:rPr>
                <w:rFonts w:eastAsia="Times New Roman"/>
                <w:sz w:val="20"/>
                <w:szCs w:val="20"/>
              </w:rPr>
              <w:t>reporting regularly to the full Board of Directors.</w:t>
            </w:r>
          </w:p>
        </w:tc>
      </w:tr>
    </w:tbl>
    <w:p w14:paraId="782993A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E11EDBE"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Compensation Committee</w:t>
      </w:r>
    </w:p>
    <w:p w14:paraId="40DA72E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77702E1"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compensation committee consists of Messrs. Viotto and Bei and is chaired by Mr. Viotto. Each of Messrs. Viotto and Bei satisfies the “independence” requirements of the Company Guide. The compensation committee assists the board in reviewing and approvi</w:t>
      </w:r>
      <w:r>
        <w:rPr>
          <w:sz w:val="20"/>
          <w:szCs w:val="20"/>
        </w:rPr>
        <w:t>ng the compensation structure of the directors and executive officers, including all forms of compensation to be provided to our directors and executive officers. Members of the compensation committee are not prohibited from direct involvement in determini</w:t>
      </w:r>
      <w:r>
        <w:rPr>
          <w:sz w:val="20"/>
          <w:szCs w:val="20"/>
        </w:rPr>
        <w:t>ng their own compensation. The Chief Executive Officer may not be present at any committee meeting during which his compensation is deliberated. The compensation committee is responsible for, among other things:</w:t>
      </w:r>
    </w:p>
    <w:p w14:paraId="4BB627FC"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18A0F241" w14:textId="77777777">
        <w:trPr>
          <w:divId w:val="98525094"/>
          <w:trHeight w:val="225"/>
          <w:tblCellSpacing w:w="15" w:type="dxa"/>
        </w:trPr>
        <w:tc>
          <w:tcPr>
            <w:tcW w:w="200" w:type="pct"/>
            <w:vAlign w:val="center"/>
            <w:hideMark/>
          </w:tcPr>
          <w:p w14:paraId="2628DBDF"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0887AE04"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582B852D" w14:textId="77777777" w:rsidR="00000000" w:rsidRDefault="00EB4933">
            <w:pPr>
              <w:jc w:val="both"/>
              <w:rPr>
                <w:rFonts w:eastAsia="Times New Roman"/>
                <w:sz w:val="20"/>
                <w:szCs w:val="20"/>
              </w:rPr>
            </w:pPr>
            <w:r>
              <w:rPr>
                <w:rFonts w:eastAsia="Times New Roman"/>
                <w:sz w:val="20"/>
                <w:szCs w:val="20"/>
              </w:rPr>
              <w:t>approving and overseeing the compensat</w:t>
            </w:r>
            <w:r>
              <w:rPr>
                <w:rFonts w:eastAsia="Times New Roman"/>
                <w:sz w:val="20"/>
                <w:szCs w:val="20"/>
              </w:rPr>
              <w:t>ion package for our executive officers;</w:t>
            </w:r>
          </w:p>
        </w:tc>
      </w:tr>
      <w:tr w:rsidR="00000000" w14:paraId="59908A47" w14:textId="77777777">
        <w:trPr>
          <w:divId w:val="98525094"/>
          <w:trHeight w:val="225"/>
          <w:tblCellSpacing w:w="15" w:type="dxa"/>
        </w:trPr>
        <w:tc>
          <w:tcPr>
            <w:tcW w:w="0" w:type="auto"/>
            <w:vAlign w:val="center"/>
            <w:hideMark/>
          </w:tcPr>
          <w:p w14:paraId="717A7875"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026C2056"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0921323A"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21234BA1" w14:textId="77777777">
        <w:trPr>
          <w:divId w:val="98525094"/>
          <w:trHeight w:val="225"/>
          <w:tblCellSpacing w:w="15" w:type="dxa"/>
        </w:trPr>
        <w:tc>
          <w:tcPr>
            <w:tcW w:w="0" w:type="auto"/>
            <w:vAlign w:val="center"/>
            <w:hideMark/>
          </w:tcPr>
          <w:p w14:paraId="1915A0E6"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6DCA5D4F"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076AA407" w14:textId="77777777" w:rsidR="00000000" w:rsidRDefault="00EB4933">
            <w:pPr>
              <w:jc w:val="both"/>
              <w:rPr>
                <w:rFonts w:eastAsia="Times New Roman"/>
                <w:sz w:val="20"/>
                <w:szCs w:val="20"/>
              </w:rPr>
            </w:pPr>
            <w:r>
              <w:rPr>
                <w:rFonts w:eastAsia="Times New Roman"/>
                <w:sz w:val="20"/>
                <w:szCs w:val="20"/>
              </w:rPr>
              <w:t>reviewing and making recommendations to the board with respect to the compensation of our directors;</w:t>
            </w:r>
          </w:p>
        </w:tc>
      </w:tr>
      <w:tr w:rsidR="00000000" w14:paraId="79BBB073" w14:textId="77777777">
        <w:trPr>
          <w:divId w:val="98525094"/>
          <w:trHeight w:val="225"/>
          <w:tblCellSpacing w:w="15" w:type="dxa"/>
        </w:trPr>
        <w:tc>
          <w:tcPr>
            <w:tcW w:w="0" w:type="auto"/>
            <w:vAlign w:val="center"/>
            <w:hideMark/>
          </w:tcPr>
          <w:p w14:paraId="621923F9"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7985E20B"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203DB0FD"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18CC1DFF" w14:textId="77777777">
        <w:trPr>
          <w:divId w:val="98525094"/>
          <w:trHeight w:val="225"/>
          <w:tblCellSpacing w:w="15" w:type="dxa"/>
        </w:trPr>
        <w:tc>
          <w:tcPr>
            <w:tcW w:w="0" w:type="auto"/>
            <w:vAlign w:val="center"/>
            <w:hideMark/>
          </w:tcPr>
          <w:p w14:paraId="306D241D" w14:textId="77777777" w:rsidR="00000000" w:rsidRDefault="00EB4933">
            <w:pPr>
              <w:pStyle w:val="NormalWeb"/>
              <w:spacing w:before="0" w:beforeAutospacing="0" w:after="0" w:afterAutospacing="0"/>
              <w:jc w:val="both"/>
              <w:rPr>
                <w:sz w:val="20"/>
                <w:szCs w:val="20"/>
              </w:rPr>
            </w:pPr>
            <w:r>
              <w:rPr>
                <w:sz w:val="20"/>
                <w:szCs w:val="20"/>
              </w:rPr>
              <w:lastRenderedPageBreak/>
              <w:t> </w:t>
            </w:r>
          </w:p>
        </w:tc>
        <w:tc>
          <w:tcPr>
            <w:tcW w:w="0" w:type="auto"/>
            <w:hideMark/>
          </w:tcPr>
          <w:p w14:paraId="660F3B95"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716DB52B" w14:textId="77777777" w:rsidR="00000000" w:rsidRDefault="00EB4933">
            <w:pPr>
              <w:jc w:val="both"/>
              <w:rPr>
                <w:rFonts w:eastAsia="Times New Roman"/>
                <w:sz w:val="20"/>
                <w:szCs w:val="20"/>
              </w:rPr>
            </w:pPr>
            <w:r>
              <w:rPr>
                <w:rFonts w:eastAsia="Times New Roman"/>
                <w:sz w:val="20"/>
                <w:szCs w:val="20"/>
              </w:rPr>
              <w:t>reviewing and approving corporate goals and objectives relevant to the compensation of our chief executive officer, evaluating the performance of our chief executive officer in light of those goals and objectives and setting the compensation level of our c</w:t>
            </w:r>
            <w:r>
              <w:rPr>
                <w:rFonts w:eastAsia="Times New Roman"/>
                <w:sz w:val="20"/>
                <w:szCs w:val="20"/>
              </w:rPr>
              <w:t>hief executive officer based on this evaluation; and</w:t>
            </w:r>
          </w:p>
        </w:tc>
      </w:tr>
      <w:tr w:rsidR="00000000" w14:paraId="63FF2194" w14:textId="77777777">
        <w:trPr>
          <w:divId w:val="98525094"/>
          <w:trHeight w:val="225"/>
          <w:tblCellSpacing w:w="15" w:type="dxa"/>
        </w:trPr>
        <w:tc>
          <w:tcPr>
            <w:tcW w:w="0" w:type="auto"/>
            <w:vAlign w:val="center"/>
            <w:hideMark/>
          </w:tcPr>
          <w:p w14:paraId="69A77E59"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59A71DCF"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7B2F633D"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667A84A7" w14:textId="77777777">
        <w:trPr>
          <w:divId w:val="98525094"/>
          <w:trHeight w:val="225"/>
          <w:tblCellSpacing w:w="15" w:type="dxa"/>
        </w:trPr>
        <w:tc>
          <w:tcPr>
            <w:tcW w:w="0" w:type="auto"/>
            <w:vAlign w:val="center"/>
            <w:hideMark/>
          </w:tcPr>
          <w:p w14:paraId="4DB825DF"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2C91C690"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6F7B4106" w14:textId="77777777" w:rsidR="00000000" w:rsidRDefault="00EB4933">
            <w:pPr>
              <w:jc w:val="both"/>
              <w:rPr>
                <w:rFonts w:eastAsia="Times New Roman"/>
                <w:sz w:val="20"/>
                <w:szCs w:val="20"/>
              </w:rPr>
            </w:pPr>
            <w:r>
              <w:rPr>
                <w:rFonts w:eastAsia="Times New Roman"/>
                <w:sz w:val="20"/>
                <w:szCs w:val="20"/>
              </w:rPr>
              <w:t>reviewing periodically and making recommendations to the board regarding any long-term incentive compensation or equity plans, programs or similar arrangements, annual bonuses, employee pension and welfare benefit plans.</w:t>
            </w:r>
          </w:p>
        </w:tc>
      </w:tr>
    </w:tbl>
    <w:p w14:paraId="053FF614"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70DAFF7" w14:textId="77777777">
        <w:trPr>
          <w:divId w:val="98525094"/>
          <w:trHeight w:val="225"/>
          <w:tblCellSpacing w:w="15" w:type="dxa"/>
        </w:trPr>
        <w:tc>
          <w:tcPr>
            <w:tcW w:w="0" w:type="auto"/>
            <w:vAlign w:val="center"/>
            <w:hideMark/>
          </w:tcPr>
          <w:p w14:paraId="01D016F7" w14:textId="77777777" w:rsidR="00000000" w:rsidRDefault="00EB4933">
            <w:pPr>
              <w:rPr>
                <w:rFonts w:eastAsia="Times New Roman"/>
                <w:sz w:val="20"/>
                <w:szCs w:val="20"/>
              </w:rPr>
            </w:pPr>
            <w:r>
              <w:rPr>
                <w:rFonts w:eastAsia="Times New Roman"/>
                <w:sz w:val="20"/>
                <w:szCs w:val="20"/>
              </w:rPr>
              <w:t> </w:t>
            </w:r>
          </w:p>
        </w:tc>
      </w:tr>
      <w:tr w:rsidR="00000000" w14:paraId="32AA1725" w14:textId="77777777">
        <w:trPr>
          <w:divId w:val="98525094"/>
          <w:trHeight w:val="225"/>
          <w:tblCellSpacing w:w="15" w:type="dxa"/>
        </w:trPr>
        <w:tc>
          <w:tcPr>
            <w:tcW w:w="0" w:type="auto"/>
            <w:tcBorders>
              <w:bottom w:val="single" w:sz="6" w:space="0" w:color="000000"/>
            </w:tcBorders>
            <w:vAlign w:val="center"/>
            <w:hideMark/>
          </w:tcPr>
          <w:p w14:paraId="53244CFB" w14:textId="77777777" w:rsidR="00000000" w:rsidRDefault="00EB4933">
            <w:pPr>
              <w:jc w:val="center"/>
              <w:rPr>
                <w:rFonts w:eastAsia="Times New Roman"/>
                <w:sz w:val="20"/>
                <w:szCs w:val="20"/>
              </w:rPr>
            </w:pPr>
            <w:r>
              <w:rPr>
                <w:rFonts w:eastAsia="Times New Roman"/>
                <w:sz w:val="20"/>
                <w:szCs w:val="20"/>
              </w:rPr>
              <w:t>77</w:t>
            </w:r>
          </w:p>
        </w:tc>
      </w:tr>
      <w:tr w:rsidR="00000000" w14:paraId="2E03AA93" w14:textId="77777777">
        <w:trPr>
          <w:divId w:val="98525094"/>
          <w:trHeight w:val="225"/>
          <w:tblCellSpacing w:w="15" w:type="dxa"/>
        </w:trPr>
        <w:tc>
          <w:tcPr>
            <w:tcW w:w="0" w:type="auto"/>
            <w:vAlign w:val="center"/>
            <w:hideMark/>
          </w:tcPr>
          <w:p w14:paraId="4246B7BD" w14:textId="77777777" w:rsidR="00000000" w:rsidRDefault="00EB4933">
            <w:pPr>
              <w:rPr>
                <w:rFonts w:eastAsia="Times New Roman"/>
                <w:sz w:val="20"/>
                <w:szCs w:val="20"/>
              </w:rPr>
            </w:pPr>
          </w:p>
        </w:tc>
      </w:tr>
      <w:tr w:rsidR="00000000" w14:paraId="4B2385E4" w14:textId="77777777">
        <w:trPr>
          <w:divId w:val="98525094"/>
          <w:trHeight w:val="225"/>
          <w:tblCellSpacing w:w="15" w:type="dxa"/>
        </w:trPr>
        <w:tc>
          <w:tcPr>
            <w:tcW w:w="0" w:type="auto"/>
            <w:vAlign w:val="center"/>
            <w:hideMark/>
          </w:tcPr>
          <w:p w14:paraId="5DB385DE" w14:textId="77777777" w:rsidR="00000000" w:rsidRDefault="00EB4933">
            <w:pPr>
              <w:rPr>
                <w:rFonts w:eastAsia="Times New Roman"/>
                <w:sz w:val="20"/>
                <w:szCs w:val="20"/>
              </w:rPr>
            </w:pPr>
            <w:hyperlink r:id="rId137" w:anchor="toc" w:history="1">
              <w:r>
                <w:rPr>
                  <w:rStyle w:val="Hyperlink"/>
                  <w:rFonts w:eastAsia="Times New Roman"/>
                  <w:i/>
                  <w:iCs/>
                  <w:sz w:val="20"/>
                  <w:szCs w:val="20"/>
                </w:rPr>
                <w:t>Table of Contents</w:t>
              </w:r>
            </w:hyperlink>
          </w:p>
        </w:tc>
      </w:tr>
    </w:tbl>
    <w:p w14:paraId="2CD4596A"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69770C53"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Nominating and Corporate Governance Committee</w:t>
      </w:r>
    </w:p>
    <w:p w14:paraId="1720BDA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E192A14"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nominating and corporate governance committee consists of Messrs. Bei and Viotto, and is chaired by Mr. Bei. Each of Messrs. Bei and Viotto satisfies the “independence” requirements of the Company Guide. The nominating and corporate governance committe</w:t>
      </w:r>
      <w:r>
        <w:rPr>
          <w:sz w:val="20"/>
          <w:szCs w:val="20"/>
        </w:rPr>
        <w:t>e assists the Board of Directors in identifying individuals qualified to become our directors and in determining the composition of the board and its committees. The nominating and corporate governance committee is responsible for, among other things:</w:t>
      </w:r>
    </w:p>
    <w:p w14:paraId="06701CC2"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0774CEDD" w14:textId="77777777">
        <w:trPr>
          <w:divId w:val="98525094"/>
          <w:trHeight w:val="225"/>
          <w:tblCellSpacing w:w="15" w:type="dxa"/>
        </w:trPr>
        <w:tc>
          <w:tcPr>
            <w:tcW w:w="200" w:type="pct"/>
            <w:vAlign w:val="center"/>
            <w:hideMark/>
          </w:tcPr>
          <w:p w14:paraId="160BE9A3"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620EDDAA"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6F5ABF96" w14:textId="77777777" w:rsidR="00000000" w:rsidRDefault="00EB4933">
            <w:pPr>
              <w:jc w:val="both"/>
              <w:rPr>
                <w:rFonts w:eastAsia="Times New Roman"/>
                <w:sz w:val="20"/>
                <w:szCs w:val="20"/>
              </w:rPr>
            </w:pPr>
            <w:r>
              <w:rPr>
                <w:rFonts w:eastAsia="Times New Roman"/>
                <w:sz w:val="20"/>
                <w:szCs w:val="20"/>
              </w:rPr>
              <w:t>identifying and recommending to the board nominees for election or re-election to the board, or for appointment to fill any vacancy;</w:t>
            </w:r>
          </w:p>
        </w:tc>
      </w:tr>
      <w:tr w:rsidR="00000000" w14:paraId="5E15A829" w14:textId="77777777">
        <w:trPr>
          <w:divId w:val="98525094"/>
          <w:trHeight w:val="225"/>
          <w:tblCellSpacing w:w="15" w:type="dxa"/>
        </w:trPr>
        <w:tc>
          <w:tcPr>
            <w:tcW w:w="0" w:type="auto"/>
            <w:vAlign w:val="center"/>
            <w:hideMark/>
          </w:tcPr>
          <w:p w14:paraId="2730A105"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0F9E0127"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B9F01D2"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DB05266" w14:textId="77777777">
        <w:trPr>
          <w:divId w:val="98525094"/>
          <w:trHeight w:val="225"/>
          <w:tblCellSpacing w:w="15" w:type="dxa"/>
        </w:trPr>
        <w:tc>
          <w:tcPr>
            <w:tcW w:w="0" w:type="auto"/>
            <w:vAlign w:val="center"/>
            <w:hideMark/>
          </w:tcPr>
          <w:p w14:paraId="7FE102AF"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7630F2F3"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4EE54C63" w14:textId="77777777" w:rsidR="00000000" w:rsidRDefault="00EB4933">
            <w:pPr>
              <w:jc w:val="both"/>
              <w:rPr>
                <w:rFonts w:eastAsia="Times New Roman"/>
                <w:sz w:val="20"/>
                <w:szCs w:val="20"/>
              </w:rPr>
            </w:pPr>
            <w:r>
              <w:rPr>
                <w:rFonts w:eastAsia="Times New Roman"/>
                <w:sz w:val="20"/>
                <w:szCs w:val="20"/>
              </w:rPr>
              <w:t>reviewing annually with the board the current composition of the board in light of the characteristics of independence, age, skills, experience and availability of service to the company;</w:t>
            </w:r>
          </w:p>
        </w:tc>
      </w:tr>
      <w:tr w:rsidR="00000000" w14:paraId="73CC2ABC" w14:textId="77777777">
        <w:trPr>
          <w:divId w:val="98525094"/>
          <w:trHeight w:val="225"/>
          <w:tblCellSpacing w:w="15" w:type="dxa"/>
        </w:trPr>
        <w:tc>
          <w:tcPr>
            <w:tcW w:w="0" w:type="auto"/>
            <w:vAlign w:val="center"/>
            <w:hideMark/>
          </w:tcPr>
          <w:p w14:paraId="0055E422"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7A1D8DFE"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5ADD3878"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B9E79B1" w14:textId="77777777">
        <w:trPr>
          <w:divId w:val="98525094"/>
          <w:trHeight w:val="225"/>
          <w:tblCellSpacing w:w="15" w:type="dxa"/>
        </w:trPr>
        <w:tc>
          <w:tcPr>
            <w:tcW w:w="0" w:type="auto"/>
            <w:vAlign w:val="center"/>
            <w:hideMark/>
          </w:tcPr>
          <w:p w14:paraId="7A9051A6"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0D99481E"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4C704F49" w14:textId="77777777" w:rsidR="00000000" w:rsidRDefault="00EB4933">
            <w:pPr>
              <w:jc w:val="both"/>
              <w:rPr>
                <w:rFonts w:eastAsia="Times New Roman"/>
                <w:sz w:val="20"/>
                <w:szCs w:val="20"/>
              </w:rPr>
            </w:pPr>
            <w:r>
              <w:rPr>
                <w:rFonts w:eastAsia="Times New Roman"/>
                <w:sz w:val="20"/>
                <w:szCs w:val="20"/>
              </w:rPr>
              <w:t xml:space="preserve">identifying and recommending to the board the directors </w:t>
            </w:r>
            <w:r>
              <w:rPr>
                <w:rFonts w:eastAsia="Times New Roman"/>
                <w:sz w:val="20"/>
                <w:szCs w:val="20"/>
              </w:rPr>
              <w:t>to serve as members of the board’s committees;</w:t>
            </w:r>
          </w:p>
        </w:tc>
      </w:tr>
      <w:tr w:rsidR="00000000" w14:paraId="15DF71BB" w14:textId="77777777">
        <w:trPr>
          <w:divId w:val="98525094"/>
          <w:trHeight w:val="225"/>
          <w:tblCellSpacing w:w="15" w:type="dxa"/>
        </w:trPr>
        <w:tc>
          <w:tcPr>
            <w:tcW w:w="0" w:type="auto"/>
            <w:vAlign w:val="center"/>
            <w:hideMark/>
          </w:tcPr>
          <w:p w14:paraId="59AF2A6E"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2FFBA178"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36E3476"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5B13F45" w14:textId="77777777">
        <w:trPr>
          <w:divId w:val="98525094"/>
          <w:trHeight w:val="225"/>
          <w:tblCellSpacing w:w="15" w:type="dxa"/>
        </w:trPr>
        <w:tc>
          <w:tcPr>
            <w:tcW w:w="0" w:type="auto"/>
            <w:vAlign w:val="center"/>
            <w:hideMark/>
          </w:tcPr>
          <w:p w14:paraId="381AC4C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75FB3EA9"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429FC0B9" w14:textId="77777777" w:rsidR="00000000" w:rsidRDefault="00EB4933">
            <w:pPr>
              <w:jc w:val="both"/>
              <w:rPr>
                <w:rFonts w:eastAsia="Times New Roman"/>
                <w:sz w:val="20"/>
                <w:szCs w:val="20"/>
              </w:rPr>
            </w:pPr>
            <w:r>
              <w:rPr>
                <w:rFonts w:eastAsia="Times New Roman"/>
                <w:sz w:val="20"/>
                <w:szCs w:val="20"/>
              </w:rPr>
              <w:t>advising the board periodically with respect to significant developments in the law and practice of corporate governance as well as our compliance with applicable laws and regulations and making re</w:t>
            </w:r>
            <w:r>
              <w:rPr>
                <w:rFonts w:eastAsia="Times New Roman"/>
                <w:sz w:val="20"/>
                <w:szCs w:val="20"/>
              </w:rPr>
              <w:t>commendations to the board on all matters of corporate governance and on any corrective action to be taken; and</w:t>
            </w:r>
          </w:p>
        </w:tc>
      </w:tr>
      <w:tr w:rsidR="00000000" w14:paraId="5027B5F3" w14:textId="77777777">
        <w:trPr>
          <w:divId w:val="98525094"/>
          <w:trHeight w:val="225"/>
          <w:tblCellSpacing w:w="15" w:type="dxa"/>
        </w:trPr>
        <w:tc>
          <w:tcPr>
            <w:tcW w:w="0" w:type="auto"/>
            <w:vAlign w:val="center"/>
            <w:hideMark/>
          </w:tcPr>
          <w:p w14:paraId="7BD4E72B"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31B56A29"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17B68562"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1C676741" w14:textId="77777777">
        <w:trPr>
          <w:divId w:val="98525094"/>
          <w:trHeight w:val="225"/>
          <w:tblCellSpacing w:w="15" w:type="dxa"/>
        </w:trPr>
        <w:tc>
          <w:tcPr>
            <w:tcW w:w="0" w:type="auto"/>
            <w:vAlign w:val="center"/>
            <w:hideMark/>
          </w:tcPr>
          <w:p w14:paraId="1E7C11B5"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18C00BD9"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vAlign w:val="center"/>
            <w:hideMark/>
          </w:tcPr>
          <w:p w14:paraId="1A933510" w14:textId="77777777" w:rsidR="00000000" w:rsidRDefault="00EB4933">
            <w:pPr>
              <w:pStyle w:val="NormalWeb"/>
              <w:spacing w:before="0" w:beforeAutospacing="0" w:after="0" w:afterAutospacing="0"/>
              <w:jc w:val="both"/>
              <w:rPr>
                <w:sz w:val="20"/>
                <w:szCs w:val="20"/>
              </w:rPr>
            </w:pPr>
            <w:r>
              <w:rPr>
                <w:sz w:val="16"/>
                <w:szCs w:val="16"/>
              </w:rPr>
              <w:t> </w:t>
            </w:r>
            <w:r>
              <w:rPr>
                <w:sz w:val="20"/>
                <w:szCs w:val="20"/>
              </w:rPr>
              <w:t>monitoring compliance with our code of business conduct and ethics, including reviewing the adequacy and effectiveness of our procedures to ensure proper compliance.</w:t>
            </w:r>
          </w:p>
        </w:tc>
      </w:tr>
    </w:tbl>
    <w:p w14:paraId="45F0E42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56EA20F" w14:textId="77777777" w:rsidR="00000000" w:rsidRDefault="00EB4933">
      <w:pPr>
        <w:pStyle w:val="NormalWeb"/>
        <w:spacing w:before="0" w:beforeAutospacing="0" w:after="0" w:afterAutospacing="0"/>
        <w:jc w:val="both"/>
        <w:divId w:val="98525094"/>
        <w:rPr>
          <w:sz w:val="20"/>
          <w:szCs w:val="20"/>
        </w:rPr>
      </w:pPr>
      <w:r>
        <w:rPr>
          <w:rStyle w:val="Strong"/>
          <w:sz w:val="20"/>
          <w:szCs w:val="20"/>
        </w:rPr>
        <w:t>Interested Transactions</w:t>
      </w:r>
    </w:p>
    <w:p w14:paraId="404C022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EFA55F3" w14:textId="77777777" w:rsidR="00000000" w:rsidRDefault="00EB4933">
      <w:pPr>
        <w:pStyle w:val="NormalWeb"/>
        <w:spacing w:before="0" w:beforeAutospacing="0" w:after="0" w:afterAutospacing="0"/>
        <w:ind w:firstLine="675"/>
        <w:jc w:val="both"/>
        <w:divId w:val="98525094"/>
        <w:rPr>
          <w:sz w:val="20"/>
          <w:szCs w:val="20"/>
        </w:rPr>
      </w:pPr>
      <w:r>
        <w:rPr>
          <w:sz w:val="20"/>
          <w:szCs w:val="20"/>
        </w:rPr>
        <w:t>A director may vote in respect of any contract or transaction in which he or she is interested, provided that the nature of the interest of any directors in such contract or transaction is disclosed by him or her at or prior to its consideration and any vo</w:t>
      </w:r>
      <w:r>
        <w:rPr>
          <w:sz w:val="20"/>
          <w:szCs w:val="20"/>
        </w:rPr>
        <w:t>te in that matter, unless he or she is disqualified to vote by the chairman of the relevant board meeting.</w:t>
      </w:r>
    </w:p>
    <w:p w14:paraId="24C01A5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8BED431" w14:textId="77777777" w:rsidR="00000000" w:rsidRDefault="00EB4933">
      <w:pPr>
        <w:pStyle w:val="NormalWeb"/>
        <w:spacing w:before="0" w:beforeAutospacing="0" w:after="0" w:afterAutospacing="0"/>
        <w:jc w:val="both"/>
        <w:divId w:val="98525094"/>
        <w:rPr>
          <w:sz w:val="20"/>
          <w:szCs w:val="20"/>
        </w:rPr>
      </w:pPr>
      <w:r>
        <w:rPr>
          <w:rStyle w:val="Strong"/>
          <w:sz w:val="20"/>
          <w:szCs w:val="20"/>
        </w:rPr>
        <w:t>Remuneration and Borrowing</w:t>
      </w:r>
    </w:p>
    <w:p w14:paraId="4BDF472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FBA4810"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directors may determine remuneration to be paid to the directors. The compensation committee assists the directors</w:t>
      </w:r>
      <w:r>
        <w:rPr>
          <w:sz w:val="20"/>
          <w:szCs w:val="20"/>
        </w:rPr>
        <w:t xml:space="preserve"> in reviewing and approving the compensation structure for the directors. The directors may exercise all the powers of our company to borrow money and to mortgage or charge its undertaking, property and uncalled capital, and to issue debentures or other se</w:t>
      </w:r>
      <w:r>
        <w:rPr>
          <w:sz w:val="20"/>
          <w:szCs w:val="20"/>
        </w:rPr>
        <w:t>curities whether outright or as security for any debt obligations of our company or of any third party.</w:t>
      </w:r>
    </w:p>
    <w:p w14:paraId="386B68E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BA52125" w14:textId="77777777" w:rsidR="00000000" w:rsidRDefault="00EB4933">
      <w:pPr>
        <w:pStyle w:val="NormalWeb"/>
        <w:spacing w:before="0" w:beforeAutospacing="0" w:after="0" w:afterAutospacing="0"/>
        <w:jc w:val="both"/>
        <w:divId w:val="98525094"/>
        <w:rPr>
          <w:sz w:val="20"/>
          <w:szCs w:val="20"/>
        </w:rPr>
      </w:pPr>
      <w:r>
        <w:rPr>
          <w:rStyle w:val="Strong"/>
          <w:sz w:val="20"/>
          <w:szCs w:val="20"/>
        </w:rPr>
        <w:t>Qualification</w:t>
      </w:r>
    </w:p>
    <w:p w14:paraId="58F54223"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p w14:paraId="53F70D4F"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There is no shareholding qualification for directors.</w:t>
      </w:r>
    </w:p>
    <w:p w14:paraId="47C66C4F"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CAB9A2F" w14:textId="77777777">
        <w:trPr>
          <w:divId w:val="98525094"/>
          <w:trHeight w:val="225"/>
          <w:tblCellSpacing w:w="15" w:type="dxa"/>
        </w:trPr>
        <w:tc>
          <w:tcPr>
            <w:tcW w:w="0" w:type="auto"/>
            <w:vAlign w:val="center"/>
            <w:hideMark/>
          </w:tcPr>
          <w:p w14:paraId="22360006" w14:textId="77777777" w:rsidR="00000000" w:rsidRDefault="00EB4933">
            <w:pPr>
              <w:rPr>
                <w:rFonts w:eastAsia="Times New Roman"/>
                <w:sz w:val="20"/>
                <w:szCs w:val="20"/>
              </w:rPr>
            </w:pPr>
            <w:r>
              <w:rPr>
                <w:rFonts w:eastAsia="Times New Roman"/>
                <w:sz w:val="20"/>
                <w:szCs w:val="20"/>
              </w:rPr>
              <w:t> </w:t>
            </w:r>
          </w:p>
        </w:tc>
      </w:tr>
      <w:tr w:rsidR="00000000" w14:paraId="69461F03" w14:textId="77777777">
        <w:trPr>
          <w:divId w:val="98525094"/>
          <w:trHeight w:val="225"/>
          <w:tblCellSpacing w:w="15" w:type="dxa"/>
        </w:trPr>
        <w:tc>
          <w:tcPr>
            <w:tcW w:w="0" w:type="auto"/>
            <w:tcBorders>
              <w:bottom w:val="single" w:sz="6" w:space="0" w:color="000000"/>
            </w:tcBorders>
            <w:vAlign w:val="center"/>
            <w:hideMark/>
          </w:tcPr>
          <w:p w14:paraId="2E46B2CD" w14:textId="77777777" w:rsidR="00000000" w:rsidRDefault="00EB4933">
            <w:pPr>
              <w:jc w:val="center"/>
              <w:rPr>
                <w:rFonts w:eastAsia="Times New Roman"/>
                <w:sz w:val="20"/>
                <w:szCs w:val="20"/>
              </w:rPr>
            </w:pPr>
            <w:r>
              <w:rPr>
                <w:rFonts w:eastAsia="Times New Roman"/>
                <w:sz w:val="20"/>
                <w:szCs w:val="20"/>
              </w:rPr>
              <w:t>78</w:t>
            </w:r>
          </w:p>
        </w:tc>
      </w:tr>
      <w:tr w:rsidR="00000000" w14:paraId="7AA53C6F" w14:textId="77777777">
        <w:trPr>
          <w:divId w:val="98525094"/>
          <w:trHeight w:val="225"/>
          <w:tblCellSpacing w:w="15" w:type="dxa"/>
        </w:trPr>
        <w:tc>
          <w:tcPr>
            <w:tcW w:w="0" w:type="auto"/>
            <w:vAlign w:val="center"/>
            <w:hideMark/>
          </w:tcPr>
          <w:p w14:paraId="4220AD4D" w14:textId="77777777" w:rsidR="00000000" w:rsidRDefault="00EB4933">
            <w:pPr>
              <w:rPr>
                <w:rFonts w:eastAsia="Times New Roman"/>
                <w:sz w:val="20"/>
                <w:szCs w:val="20"/>
              </w:rPr>
            </w:pPr>
          </w:p>
        </w:tc>
      </w:tr>
      <w:tr w:rsidR="00000000" w14:paraId="6746CACE" w14:textId="77777777">
        <w:trPr>
          <w:divId w:val="98525094"/>
          <w:trHeight w:val="225"/>
          <w:tblCellSpacing w:w="15" w:type="dxa"/>
        </w:trPr>
        <w:tc>
          <w:tcPr>
            <w:tcW w:w="0" w:type="auto"/>
            <w:vAlign w:val="center"/>
            <w:hideMark/>
          </w:tcPr>
          <w:p w14:paraId="300C69E2" w14:textId="77777777" w:rsidR="00000000" w:rsidRDefault="00EB4933">
            <w:pPr>
              <w:rPr>
                <w:rFonts w:eastAsia="Times New Roman"/>
                <w:sz w:val="20"/>
                <w:szCs w:val="20"/>
              </w:rPr>
            </w:pPr>
            <w:hyperlink r:id="rId138" w:anchor="toc" w:history="1">
              <w:r>
                <w:rPr>
                  <w:rStyle w:val="Hyperlink"/>
                  <w:rFonts w:eastAsia="Times New Roman"/>
                  <w:i/>
                  <w:iCs/>
                  <w:sz w:val="20"/>
                  <w:szCs w:val="20"/>
                </w:rPr>
                <w:t>Table of Contents</w:t>
              </w:r>
            </w:hyperlink>
          </w:p>
        </w:tc>
      </w:tr>
    </w:tbl>
    <w:p w14:paraId="21DF3A86"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0BD4D98F" w14:textId="77777777" w:rsidR="00000000" w:rsidRDefault="00EB4933">
      <w:pPr>
        <w:pStyle w:val="NormalWeb"/>
        <w:spacing w:before="0" w:beforeAutospacing="0" w:after="0" w:afterAutospacing="0"/>
        <w:jc w:val="both"/>
        <w:divId w:val="98525094"/>
        <w:rPr>
          <w:sz w:val="20"/>
          <w:szCs w:val="20"/>
        </w:rPr>
      </w:pPr>
      <w:r>
        <w:rPr>
          <w:rStyle w:val="Strong"/>
          <w:sz w:val="20"/>
          <w:szCs w:val="20"/>
        </w:rPr>
        <w:t>Indemnification Matters</w:t>
      </w:r>
    </w:p>
    <w:p w14:paraId="7FAB033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EA80F27" w14:textId="77777777" w:rsidR="00000000" w:rsidRDefault="00EB4933">
      <w:pPr>
        <w:pStyle w:val="NormalWeb"/>
        <w:spacing w:before="0" w:beforeAutospacing="0" w:after="0" w:afterAutospacing="0"/>
        <w:ind w:firstLine="675"/>
        <w:jc w:val="both"/>
        <w:divId w:val="98525094"/>
        <w:rPr>
          <w:sz w:val="20"/>
          <w:szCs w:val="20"/>
        </w:rPr>
      </w:pPr>
      <w:r>
        <w:rPr>
          <w:sz w:val="20"/>
          <w:szCs w:val="20"/>
        </w:rPr>
        <w:t>Cayman Islands law does not limit the extent to which a company’s memorandum and articles of association may provide for indemnification of officers and directors, except to the extent any such provision may</w:t>
      </w:r>
      <w:r>
        <w:rPr>
          <w:sz w:val="20"/>
          <w:szCs w:val="20"/>
        </w:rPr>
        <w:t xml:space="preserve"> be held by the Cayman Islands courts to be contrary to public policy, such as to provide indemnification against civil fraud or the consequences or committing a crime. Our memorandum and articles of association provide for indemnification of directors and</w:t>
      </w:r>
      <w:r>
        <w:rPr>
          <w:sz w:val="20"/>
          <w:szCs w:val="20"/>
        </w:rPr>
        <w:t xml:space="preserve"> officers for losses, damages, costs and expenses incurred in their capacities as such, except by reasons of their own dishonesty, gross negligence, willful misconduct, or fraud.</w:t>
      </w:r>
    </w:p>
    <w:p w14:paraId="705A3CD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0DCA646" w14:textId="77777777" w:rsidR="00000000" w:rsidRDefault="00EB4933">
      <w:pPr>
        <w:pStyle w:val="NormalWeb"/>
        <w:spacing w:before="0" w:beforeAutospacing="0" w:after="0" w:afterAutospacing="0"/>
        <w:jc w:val="both"/>
        <w:divId w:val="98525094"/>
        <w:rPr>
          <w:sz w:val="20"/>
          <w:szCs w:val="20"/>
        </w:rPr>
      </w:pPr>
      <w:r>
        <w:rPr>
          <w:rStyle w:val="Strong"/>
          <w:sz w:val="20"/>
          <w:szCs w:val="20"/>
        </w:rPr>
        <w:t>Employment Agreements</w:t>
      </w:r>
    </w:p>
    <w:p w14:paraId="3BE39EA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64B251F"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have entered into employment agreements with all</w:t>
      </w:r>
      <w:r>
        <w:rPr>
          <w:sz w:val="20"/>
          <w:szCs w:val="20"/>
        </w:rPr>
        <w:t xml:space="preserve"> of our executive officers. Under these agreements, each of our executive officers is employed for a specified time period. We may terminate his or her employment for cause at any time for certain acts of such executive officer, including but not limited t</w:t>
      </w:r>
      <w:r>
        <w:rPr>
          <w:sz w:val="20"/>
          <w:szCs w:val="20"/>
        </w:rPr>
        <w:t xml:space="preserve">o a conviction of a felony, or any gross negligence by the executive officer in connection with the performance of his or her duties that have resulted in material and demonstrable financial harm to us. Upon termination for cause, the executive officer is </w:t>
      </w:r>
      <w:r>
        <w:rPr>
          <w:sz w:val="20"/>
          <w:szCs w:val="20"/>
        </w:rPr>
        <w:t xml:space="preserve">entitled to the base salary only. We may terminate the employment agreement at any time without cause and upon termination without cause, the employee is generally entitled to a severance payment. An executive officer may resign from our company, in which </w:t>
      </w:r>
      <w:r>
        <w:rPr>
          <w:sz w:val="20"/>
          <w:szCs w:val="20"/>
        </w:rPr>
        <w:t>case such executive officer is generally entitled to his or her base salary only.</w:t>
      </w:r>
    </w:p>
    <w:p w14:paraId="2BDBDAA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C60CC1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Each executive officer has agreed to hold, both during and subsequent to the terms of his or her agreement, in confidence and not to use, except in pursuance of his or her </w:t>
      </w:r>
      <w:r>
        <w:rPr>
          <w:sz w:val="20"/>
          <w:szCs w:val="20"/>
        </w:rPr>
        <w:t>duties in connection with the employment, any of our confidential information, technological secrets, commercial secrets and know-how. Our executive officers have also agreed to disclose to us all inventions, designs and techniques resulted from work perfo</w:t>
      </w:r>
      <w:r>
        <w:rPr>
          <w:sz w:val="20"/>
          <w:szCs w:val="20"/>
        </w:rPr>
        <w:t>rmed by them, and to assign us all right, title and interest of such inventions, designs and techniques.</w:t>
      </w:r>
    </w:p>
    <w:p w14:paraId="1882F69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339A21D" w14:textId="77777777" w:rsidR="00000000" w:rsidRDefault="00EB4933">
      <w:pPr>
        <w:pStyle w:val="NormalWeb"/>
        <w:spacing w:before="0" w:beforeAutospacing="0" w:after="0" w:afterAutospacing="0"/>
        <w:jc w:val="both"/>
        <w:divId w:val="98525094"/>
        <w:rPr>
          <w:sz w:val="20"/>
          <w:szCs w:val="20"/>
        </w:rPr>
      </w:pPr>
      <w:r>
        <w:rPr>
          <w:rStyle w:val="Strong"/>
          <w:sz w:val="20"/>
          <w:szCs w:val="20"/>
        </w:rPr>
        <w:t>D. Employees</w:t>
      </w:r>
      <w:r>
        <w:rPr>
          <w:sz w:val="20"/>
          <w:szCs w:val="20"/>
        </w:rPr>
        <w:t xml:space="preserve"> </w:t>
      </w:r>
    </w:p>
    <w:p w14:paraId="050D2E6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5B995E8"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As of December 31, 2019, we have 16 full-time employees. We have entered into written employment contracts with all of the employees in accordance with PRC Labor Law and Contract Law. None of our employees is covered by collective bargaining contracts. We </w:t>
      </w:r>
      <w:r>
        <w:rPr>
          <w:sz w:val="20"/>
          <w:szCs w:val="20"/>
        </w:rPr>
        <w:t xml:space="preserve">enter into standard labor, confidentiality and non-compete agreements with our employees. We believe that we maintain a good working relationship with our employees and we have not experienced any significant labor disputes or any difficulty in recruiting </w:t>
      </w:r>
      <w:r>
        <w:rPr>
          <w:sz w:val="20"/>
          <w:szCs w:val="20"/>
        </w:rPr>
        <w:t>staff for our operations.</w:t>
      </w:r>
    </w:p>
    <w:p w14:paraId="1BB8CE7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BD61F6D"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required by PRC regulations, we participate in various government statutory social security plans, including a pension contribution plan, a medical insurance plan, an unemployment insurance plan, a work-related injury insuran</w:t>
      </w:r>
      <w:r>
        <w:rPr>
          <w:sz w:val="20"/>
          <w:szCs w:val="20"/>
        </w:rPr>
        <w:t>ce plan, a maternity insurance plan and a housing provident fund. We are required under PRC law to contribute to social security plans at specified percentages of the salaries, bonuses and certain allowances of our employees up to a maximum amount specifie</w:t>
      </w:r>
      <w:r>
        <w:rPr>
          <w:sz w:val="20"/>
          <w:szCs w:val="20"/>
        </w:rPr>
        <w:t xml:space="preserve">d by the local government from time to time. </w:t>
      </w:r>
    </w:p>
    <w:p w14:paraId="00804ACE"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54C268C6"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had 38, 34, and 16 employees as of December 31, 2017, 2018, and 2019, respectively. The following table sets forth by function the number of our employees as of December 31, 2019:</w:t>
      </w:r>
    </w:p>
    <w:p w14:paraId="413A46A7"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tbl>
      <w:tblPr>
        <w:tblW w:w="4250" w:type="pct"/>
        <w:tblCellSpacing w:w="15" w:type="dxa"/>
        <w:tblCellMar>
          <w:left w:w="0" w:type="dxa"/>
          <w:right w:w="0" w:type="dxa"/>
        </w:tblCellMar>
        <w:tblLook w:val="04A0" w:firstRow="1" w:lastRow="0" w:firstColumn="1" w:lastColumn="0" w:noHBand="0" w:noVBand="1"/>
      </w:tblPr>
      <w:tblGrid>
        <w:gridCol w:w="6865"/>
        <w:gridCol w:w="89"/>
        <w:gridCol w:w="114"/>
        <w:gridCol w:w="783"/>
        <w:gridCol w:w="105"/>
      </w:tblGrid>
      <w:tr w:rsidR="00000000" w14:paraId="68C4AEC5" w14:textId="77777777">
        <w:trPr>
          <w:divId w:val="98525094"/>
          <w:trHeight w:val="225"/>
          <w:tblCellSpacing w:w="15" w:type="dxa"/>
        </w:trPr>
        <w:tc>
          <w:tcPr>
            <w:tcW w:w="0" w:type="auto"/>
            <w:tcBorders>
              <w:bottom w:val="single" w:sz="6" w:space="0" w:color="000000"/>
            </w:tcBorders>
            <w:vAlign w:val="bottom"/>
            <w:hideMark/>
          </w:tcPr>
          <w:p w14:paraId="73B547FC" w14:textId="77777777" w:rsidR="00000000" w:rsidRDefault="00EB4933">
            <w:pPr>
              <w:pStyle w:val="NormalWeb"/>
              <w:spacing w:before="0" w:beforeAutospacing="0" w:after="0" w:afterAutospacing="0"/>
              <w:jc w:val="both"/>
              <w:rPr>
                <w:sz w:val="20"/>
                <w:szCs w:val="20"/>
              </w:rPr>
            </w:pPr>
            <w:r>
              <w:rPr>
                <w:rStyle w:val="Strong"/>
                <w:sz w:val="20"/>
                <w:szCs w:val="20"/>
              </w:rPr>
              <w:t>Function</w:t>
            </w:r>
          </w:p>
        </w:tc>
        <w:tc>
          <w:tcPr>
            <w:tcW w:w="0" w:type="auto"/>
            <w:noWrap/>
            <w:vAlign w:val="center"/>
            <w:hideMark/>
          </w:tcPr>
          <w:p w14:paraId="0C978E2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2D352E88" w14:textId="77777777" w:rsidR="00000000" w:rsidRDefault="00EB4933">
            <w:pPr>
              <w:pStyle w:val="NormalWeb"/>
              <w:spacing w:before="0" w:beforeAutospacing="0" w:after="0" w:afterAutospacing="0"/>
              <w:jc w:val="center"/>
              <w:rPr>
                <w:sz w:val="20"/>
                <w:szCs w:val="20"/>
              </w:rPr>
            </w:pPr>
            <w:r>
              <w:rPr>
                <w:rStyle w:val="Strong"/>
                <w:sz w:val="20"/>
                <w:szCs w:val="20"/>
              </w:rPr>
              <w:t xml:space="preserve">As of </w:t>
            </w:r>
            <w:r>
              <w:rPr>
                <w:b/>
                <w:bCs/>
                <w:sz w:val="20"/>
                <w:szCs w:val="20"/>
              </w:rPr>
              <w:br/>
            </w:r>
            <w:r>
              <w:rPr>
                <w:rStyle w:val="Strong"/>
                <w:sz w:val="20"/>
                <w:szCs w:val="20"/>
              </w:rPr>
              <w:t>Decem</w:t>
            </w:r>
            <w:r>
              <w:rPr>
                <w:rStyle w:val="Strong"/>
                <w:sz w:val="20"/>
                <w:szCs w:val="20"/>
              </w:rPr>
              <w:t>ber 31,</w:t>
            </w:r>
          </w:p>
          <w:p w14:paraId="6C46F25E"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tcMar>
              <w:top w:w="0" w:type="dxa"/>
              <w:left w:w="0" w:type="dxa"/>
              <w:bottom w:w="15" w:type="dxa"/>
              <w:right w:w="0" w:type="dxa"/>
            </w:tcMar>
            <w:vAlign w:val="center"/>
            <w:hideMark/>
          </w:tcPr>
          <w:p w14:paraId="78CCED9E" w14:textId="77777777" w:rsidR="00000000" w:rsidRDefault="00EB4933">
            <w:pPr>
              <w:pStyle w:val="NormalWeb"/>
              <w:spacing w:before="0" w:beforeAutospacing="0" w:after="0" w:afterAutospacing="0"/>
              <w:rPr>
                <w:sz w:val="20"/>
                <w:szCs w:val="20"/>
              </w:rPr>
            </w:pPr>
            <w:r>
              <w:rPr>
                <w:sz w:val="20"/>
                <w:szCs w:val="20"/>
              </w:rPr>
              <w:t> </w:t>
            </w:r>
          </w:p>
        </w:tc>
      </w:tr>
      <w:tr w:rsidR="00000000" w14:paraId="13091F14" w14:textId="77777777">
        <w:trPr>
          <w:divId w:val="98525094"/>
          <w:trHeight w:val="225"/>
          <w:tblCellSpacing w:w="15" w:type="dxa"/>
        </w:trPr>
        <w:tc>
          <w:tcPr>
            <w:tcW w:w="0" w:type="auto"/>
            <w:shd w:val="clear" w:color="auto" w:fill="CCEEFF"/>
            <w:hideMark/>
          </w:tcPr>
          <w:p w14:paraId="5C71BCD1" w14:textId="77777777" w:rsidR="00000000" w:rsidRDefault="00EB4933">
            <w:pPr>
              <w:pStyle w:val="NormalWeb"/>
              <w:spacing w:before="0" w:beforeAutospacing="0" w:after="0" w:afterAutospacing="0"/>
              <w:jc w:val="both"/>
              <w:rPr>
                <w:sz w:val="20"/>
                <w:szCs w:val="20"/>
              </w:rPr>
            </w:pPr>
            <w:r>
              <w:rPr>
                <w:sz w:val="20"/>
                <w:szCs w:val="20"/>
              </w:rPr>
              <w:lastRenderedPageBreak/>
              <w:t>Operations</w:t>
            </w:r>
          </w:p>
        </w:tc>
        <w:tc>
          <w:tcPr>
            <w:tcW w:w="50" w:type="pct"/>
            <w:shd w:val="clear" w:color="auto" w:fill="CCEEFF"/>
            <w:noWrap/>
            <w:vAlign w:val="center"/>
            <w:hideMark/>
          </w:tcPr>
          <w:p w14:paraId="1265846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96360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CA3314A" w14:textId="77777777" w:rsidR="00000000" w:rsidRDefault="00EB4933">
            <w:pPr>
              <w:jc w:val="right"/>
              <w:rPr>
                <w:rFonts w:eastAsia="Times New Roman"/>
                <w:sz w:val="20"/>
                <w:szCs w:val="20"/>
              </w:rPr>
            </w:pPr>
            <w:r>
              <w:rPr>
                <w:rFonts w:eastAsia="Times New Roman"/>
                <w:sz w:val="20"/>
                <w:szCs w:val="20"/>
              </w:rPr>
              <w:t>3</w:t>
            </w:r>
          </w:p>
        </w:tc>
        <w:tc>
          <w:tcPr>
            <w:tcW w:w="50" w:type="pct"/>
            <w:shd w:val="clear" w:color="auto" w:fill="CCEEFF"/>
            <w:noWrap/>
            <w:vAlign w:val="center"/>
            <w:hideMark/>
          </w:tcPr>
          <w:p w14:paraId="0BA6A4B3" w14:textId="77777777" w:rsidR="00000000" w:rsidRDefault="00EB4933">
            <w:pPr>
              <w:pStyle w:val="NormalWeb"/>
              <w:spacing w:before="0" w:beforeAutospacing="0" w:after="0" w:afterAutospacing="0"/>
              <w:rPr>
                <w:sz w:val="20"/>
                <w:szCs w:val="20"/>
              </w:rPr>
            </w:pPr>
            <w:r>
              <w:rPr>
                <w:sz w:val="20"/>
                <w:szCs w:val="20"/>
              </w:rPr>
              <w:t> </w:t>
            </w:r>
          </w:p>
        </w:tc>
      </w:tr>
      <w:tr w:rsidR="00000000" w14:paraId="52363844" w14:textId="77777777">
        <w:trPr>
          <w:divId w:val="98525094"/>
          <w:trHeight w:val="225"/>
          <w:tblCellSpacing w:w="15" w:type="dxa"/>
        </w:trPr>
        <w:tc>
          <w:tcPr>
            <w:tcW w:w="0" w:type="auto"/>
            <w:shd w:val="clear" w:color="auto" w:fill="FFFFFF"/>
            <w:hideMark/>
          </w:tcPr>
          <w:p w14:paraId="5FF9F0A5" w14:textId="77777777" w:rsidR="00000000" w:rsidRDefault="00EB4933">
            <w:pPr>
              <w:pStyle w:val="NormalWeb"/>
              <w:spacing w:before="0" w:beforeAutospacing="0" w:after="0" w:afterAutospacing="0"/>
              <w:jc w:val="both"/>
              <w:rPr>
                <w:sz w:val="20"/>
                <w:szCs w:val="20"/>
              </w:rPr>
            </w:pPr>
            <w:r>
              <w:rPr>
                <w:sz w:val="20"/>
                <w:szCs w:val="20"/>
              </w:rPr>
              <w:t>Loan Department</w:t>
            </w:r>
          </w:p>
        </w:tc>
        <w:tc>
          <w:tcPr>
            <w:tcW w:w="50" w:type="pct"/>
            <w:shd w:val="clear" w:color="auto" w:fill="FFFFFF"/>
            <w:noWrap/>
            <w:vAlign w:val="center"/>
            <w:hideMark/>
          </w:tcPr>
          <w:p w14:paraId="1291D47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91A47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1602A87" w14:textId="77777777" w:rsidR="00000000" w:rsidRDefault="00EB4933">
            <w:pPr>
              <w:jc w:val="right"/>
              <w:rPr>
                <w:rFonts w:eastAsia="Times New Roman"/>
                <w:sz w:val="20"/>
                <w:szCs w:val="20"/>
              </w:rPr>
            </w:pPr>
            <w:r>
              <w:rPr>
                <w:rFonts w:eastAsia="Times New Roman"/>
                <w:sz w:val="20"/>
                <w:szCs w:val="20"/>
              </w:rPr>
              <w:t>5</w:t>
            </w:r>
          </w:p>
        </w:tc>
        <w:tc>
          <w:tcPr>
            <w:tcW w:w="50" w:type="pct"/>
            <w:shd w:val="clear" w:color="auto" w:fill="FFFFFF"/>
            <w:noWrap/>
            <w:vAlign w:val="center"/>
            <w:hideMark/>
          </w:tcPr>
          <w:p w14:paraId="314C2BB9" w14:textId="77777777" w:rsidR="00000000" w:rsidRDefault="00EB4933">
            <w:pPr>
              <w:pStyle w:val="NormalWeb"/>
              <w:spacing w:before="0" w:beforeAutospacing="0" w:after="0" w:afterAutospacing="0"/>
              <w:rPr>
                <w:sz w:val="20"/>
                <w:szCs w:val="20"/>
              </w:rPr>
            </w:pPr>
            <w:r>
              <w:rPr>
                <w:sz w:val="20"/>
                <w:szCs w:val="20"/>
              </w:rPr>
              <w:t> </w:t>
            </w:r>
          </w:p>
        </w:tc>
      </w:tr>
      <w:tr w:rsidR="00000000" w14:paraId="33BDF83D" w14:textId="77777777">
        <w:trPr>
          <w:divId w:val="98525094"/>
          <w:trHeight w:val="225"/>
          <w:tblCellSpacing w:w="15" w:type="dxa"/>
        </w:trPr>
        <w:tc>
          <w:tcPr>
            <w:tcW w:w="0" w:type="auto"/>
            <w:shd w:val="clear" w:color="auto" w:fill="CCEEFF"/>
            <w:hideMark/>
          </w:tcPr>
          <w:p w14:paraId="05195D4D" w14:textId="77777777" w:rsidR="00000000" w:rsidRDefault="00EB4933">
            <w:pPr>
              <w:pStyle w:val="NormalWeb"/>
              <w:spacing w:before="0" w:beforeAutospacing="0" w:after="0" w:afterAutospacing="0"/>
              <w:jc w:val="both"/>
              <w:rPr>
                <w:sz w:val="20"/>
                <w:szCs w:val="20"/>
              </w:rPr>
            </w:pPr>
            <w:r>
              <w:rPr>
                <w:sz w:val="20"/>
                <w:szCs w:val="20"/>
              </w:rPr>
              <w:t>Risk Management</w:t>
            </w:r>
          </w:p>
        </w:tc>
        <w:tc>
          <w:tcPr>
            <w:tcW w:w="50" w:type="pct"/>
            <w:shd w:val="clear" w:color="auto" w:fill="CCEEFF"/>
            <w:noWrap/>
            <w:vAlign w:val="center"/>
            <w:hideMark/>
          </w:tcPr>
          <w:p w14:paraId="391D093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F796A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A5BD220" w14:textId="77777777" w:rsidR="00000000" w:rsidRDefault="00EB4933">
            <w:pPr>
              <w:jc w:val="right"/>
              <w:rPr>
                <w:rFonts w:eastAsia="Times New Roman"/>
                <w:sz w:val="20"/>
                <w:szCs w:val="20"/>
              </w:rPr>
            </w:pPr>
            <w:r>
              <w:rPr>
                <w:rFonts w:eastAsia="Times New Roman"/>
                <w:sz w:val="20"/>
                <w:szCs w:val="20"/>
              </w:rPr>
              <w:t>2</w:t>
            </w:r>
          </w:p>
        </w:tc>
        <w:tc>
          <w:tcPr>
            <w:tcW w:w="50" w:type="pct"/>
            <w:shd w:val="clear" w:color="auto" w:fill="CCEEFF"/>
            <w:noWrap/>
            <w:vAlign w:val="center"/>
            <w:hideMark/>
          </w:tcPr>
          <w:p w14:paraId="4F98CB59" w14:textId="77777777" w:rsidR="00000000" w:rsidRDefault="00EB4933">
            <w:pPr>
              <w:pStyle w:val="NormalWeb"/>
              <w:spacing w:before="0" w:beforeAutospacing="0" w:after="0" w:afterAutospacing="0"/>
              <w:rPr>
                <w:sz w:val="20"/>
                <w:szCs w:val="20"/>
              </w:rPr>
            </w:pPr>
            <w:r>
              <w:rPr>
                <w:sz w:val="20"/>
                <w:szCs w:val="20"/>
              </w:rPr>
              <w:t> </w:t>
            </w:r>
          </w:p>
        </w:tc>
      </w:tr>
      <w:tr w:rsidR="00000000" w14:paraId="0A5DF63C" w14:textId="77777777">
        <w:trPr>
          <w:divId w:val="98525094"/>
          <w:trHeight w:val="225"/>
          <w:tblCellSpacing w:w="15" w:type="dxa"/>
        </w:trPr>
        <w:tc>
          <w:tcPr>
            <w:tcW w:w="0" w:type="auto"/>
            <w:shd w:val="clear" w:color="auto" w:fill="FFFFFF"/>
            <w:hideMark/>
          </w:tcPr>
          <w:p w14:paraId="19E90D03" w14:textId="77777777" w:rsidR="00000000" w:rsidRDefault="00EB4933">
            <w:pPr>
              <w:pStyle w:val="NormalWeb"/>
              <w:spacing w:before="0" w:beforeAutospacing="0" w:after="0" w:afterAutospacing="0"/>
              <w:jc w:val="both"/>
              <w:rPr>
                <w:sz w:val="20"/>
                <w:szCs w:val="20"/>
              </w:rPr>
            </w:pPr>
            <w:r>
              <w:rPr>
                <w:sz w:val="20"/>
                <w:szCs w:val="20"/>
              </w:rPr>
              <w:t>Finance and Administration</w:t>
            </w:r>
          </w:p>
        </w:tc>
        <w:tc>
          <w:tcPr>
            <w:tcW w:w="50" w:type="pct"/>
            <w:shd w:val="clear" w:color="auto" w:fill="FFFFFF"/>
            <w:noWrap/>
            <w:vAlign w:val="center"/>
            <w:hideMark/>
          </w:tcPr>
          <w:p w14:paraId="1CA4DF3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C132FF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7251146" w14:textId="77777777" w:rsidR="00000000" w:rsidRDefault="00EB4933">
            <w:pPr>
              <w:jc w:val="right"/>
              <w:rPr>
                <w:rFonts w:eastAsia="Times New Roman"/>
                <w:sz w:val="20"/>
                <w:szCs w:val="20"/>
              </w:rPr>
            </w:pPr>
            <w:r>
              <w:rPr>
                <w:rFonts w:eastAsia="Times New Roman"/>
                <w:sz w:val="20"/>
                <w:szCs w:val="20"/>
              </w:rPr>
              <w:t>6</w:t>
            </w:r>
          </w:p>
        </w:tc>
        <w:tc>
          <w:tcPr>
            <w:tcW w:w="50" w:type="pct"/>
            <w:shd w:val="clear" w:color="auto" w:fill="FFFFFF"/>
            <w:noWrap/>
            <w:tcMar>
              <w:top w:w="0" w:type="dxa"/>
              <w:left w:w="0" w:type="dxa"/>
              <w:bottom w:w="15" w:type="dxa"/>
              <w:right w:w="0" w:type="dxa"/>
            </w:tcMar>
            <w:vAlign w:val="center"/>
            <w:hideMark/>
          </w:tcPr>
          <w:p w14:paraId="3414506B" w14:textId="77777777" w:rsidR="00000000" w:rsidRDefault="00EB4933">
            <w:pPr>
              <w:pStyle w:val="NormalWeb"/>
              <w:spacing w:before="0" w:beforeAutospacing="0" w:after="0" w:afterAutospacing="0"/>
              <w:rPr>
                <w:sz w:val="20"/>
                <w:szCs w:val="20"/>
              </w:rPr>
            </w:pPr>
            <w:r>
              <w:rPr>
                <w:sz w:val="20"/>
                <w:szCs w:val="20"/>
              </w:rPr>
              <w:t> </w:t>
            </w:r>
          </w:p>
        </w:tc>
      </w:tr>
      <w:tr w:rsidR="00000000" w14:paraId="3D90E347" w14:textId="77777777">
        <w:trPr>
          <w:divId w:val="98525094"/>
          <w:trHeight w:val="225"/>
          <w:tblCellSpacing w:w="15" w:type="dxa"/>
        </w:trPr>
        <w:tc>
          <w:tcPr>
            <w:tcW w:w="0" w:type="auto"/>
            <w:shd w:val="clear" w:color="auto" w:fill="CCEEFF"/>
            <w:hideMark/>
          </w:tcPr>
          <w:p w14:paraId="51BC1BB6" w14:textId="77777777" w:rsidR="00000000" w:rsidRDefault="00EB4933">
            <w:pPr>
              <w:pStyle w:val="NormalWeb"/>
              <w:spacing w:before="0" w:beforeAutospacing="0" w:after="0" w:afterAutospacing="0"/>
              <w:jc w:val="both"/>
              <w:rPr>
                <w:sz w:val="20"/>
                <w:szCs w:val="20"/>
              </w:rPr>
            </w:pPr>
            <w:r>
              <w:rPr>
                <w:sz w:val="20"/>
                <w:szCs w:val="20"/>
              </w:rPr>
              <w:t>Total</w:t>
            </w:r>
          </w:p>
        </w:tc>
        <w:tc>
          <w:tcPr>
            <w:tcW w:w="50" w:type="pct"/>
            <w:shd w:val="clear" w:color="auto" w:fill="CCEEFF"/>
            <w:noWrap/>
            <w:vAlign w:val="center"/>
            <w:hideMark/>
          </w:tcPr>
          <w:p w14:paraId="387FECA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EA5E2B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5CF639A0" w14:textId="77777777" w:rsidR="00000000" w:rsidRDefault="00EB4933">
            <w:pPr>
              <w:jc w:val="right"/>
              <w:rPr>
                <w:rFonts w:eastAsia="Times New Roman"/>
                <w:sz w:val="20"/>
                <w:szCs w:val="20"/>
              </w:rPr>
            </w:pPr>
            <w:r>
              <w:rPr>
                <w:rFonts w:eastAsia="Times New Roman"/>
                <w:sz w:val="20"/>
                <w:szCs w:val="20"/>
              </w:rPr>
              <w:t>16</w:t>
            </w:r>
          </w:p>
        </w:tc>
        <w:tc>
          <w:tcPr>
            <w:tcW w:w="50" w:type="pct"/>
            <w:shd w:val="clear" w:color="auto" w:fill="CCEEFF"/>
            <w:noWrap/>
            <w:tcMar>
              <w:top w:w="0" w:type="dxa"/>
              <w:left w:w="0" w:type="dxa"/>
              <w:bottom w:w="45" w:type="dxa"/>
              <w:right w:w="0" w:type="dxa"/>
            </w:tcMar>
            <w:vAlign w:val="center"/>
            <w:hideMark/>
          </w:tcPr>
          <w:p w14:paraId="6D0D9819" w14:textId="77777777" w:rsidR="00000000" w:rsidRDefault="00EB4933">
            <w:pPr>
              <w:pStyle w:val="NormalWeb"/>
              <w:spacing w:before="0" w:beforeAutospacing="0" w:after="0" w:afterAutospacing="0"/>
              <w:rPr>
                <w:sz w:val="20"/>
                <w:szCs w:val="20"/>
              </w:rPr>
            </w:pPr>
            <w:r>
              <w:rPr>
                <w:sz w:val="20"/>
                <w:szCs w:val="20"/>
              </w:rPr>
              <w:t> </w:t>
            </w:r>
          </w:p>
        </w:tc>
      </w:tr>
    </w:tbl>
    <w:p w14:paraId="7A6BFFB8"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7C6720A" w14:textId="77777777">
        <w:trPr>
          <w:divId w:val="98525094"/>
          <w:trHeight w:val="225"/>
          <w:tblCellSpacing w:w="15" w:type="dxa"/>
        </w:trPr>
        <w:tc>
          <w:tcPr>
            <w:tcW w:w="0" w:type="auto"/>
            <w:vAlign w:val="center"/>
            <w:hideMark/>
          </w:tcPr>
          <w:p w14:paraId="1C3E2963" w14:textId="77777777" w:rsidR="00000000" w:rsidRDefault="00EB4933">
            <w:pPr>
              <w:rPr>
                <w:rFonts w:eastAsia="Times New Roman"/>
                <w:sz w:val="20"/>
                <w:szCs w:val="20"/>
              </w:rPr>
            </w:pPr>
            <w:r>
              <w:rPr>
                <w:rFonts w:eastAsia="Times New Roman"/>
                <w:sz w:val="20"/>
                <w:szCs w:val="20"/>
              </w:rPr>
              <w:t> </w:t>
            </w:r>
          </w:p>
        </w:tc>
      </w:tr>
      <w:tr w:rsidR="00000000" w14:paraId="48AD8B59" w14:textId="77777777">
        <w:trPr>
          <w:divId w:val="98525094"/>
          <w:trHeight w:val="225"/>
          <w:tblCellSpacing w:w="15" w:type="dxa"/>
        </w:trPr>
        <w:tc>
          <w:tcPr>
            <w:tcW w:w="0" w:type="auto"/>
            <w:tcBorders>
              <w:bottom w:val="single" w:sz="6" w:space="0" w:color="000000"/>
            </w:tcBorders>
            <w:vAlign w:val="center"/>
            <w:hideMark/>
          </w:tcPr>
          <w:p w14:paraId="3311B084" w14:textId="77777777" w:rsidR="00000000" w:rsidRDefault="00EB4933">
            <w:pPr>
              <w:jc w:val="center"/>
              <w:rPr>
                <w:rFonts w:eastAsia="Times New Roman"/>
                <w:sz w:val="20"/>
                <w:szCs w:val="20"/>
              </w:rPr>
            </w:pPr>
            <w:r>
              <w:rPr>
                <w:rFonts w:eastAsia="Times New Roman"/>
                <w:sz w:val="20"/>
                <w:szCs w:val="20"/>
              </w:rPr>
              <w:t>79</w:t>
            </w:r>
          </w:p>
        </w:tc>
      </w:tr>
      <w:tr w:rsidR="00000000" w14:paraId="3C8C51AA" w14:textId="77777777">
        <w:trPr>
          <w:divId w:val="98525094"/>
          <w:trHeight w:val="225"/>
          <w:tblCellSpacing w:w="15" w:type="dxa"/>
        </w:trPr>
        <w:tc>
          <w:tcPr>
            <w:tcW w:w="0" w:type="auto"/>
            <w:vAlign w:val="center"/>
            <w:hideMark/>
          </w:tcPr>
          <w:p w14:paraId="44C7B58A" w14:textId="77777777" w:rsidR="00000000" w:rsidRDefault="00EB4933">
            <w:pPr>
              <w:rPr>
                <w:rFonts w:eastAsia="Times New Roman"/>
                <w:sz w:val="20"/>
                <w:szCs w:val="20"/>
              </w:rPr>
            </w:pPr>
          </w:p>
        </w:tc>
      </w:tr>
      <w:tr w:rsidR="00000000" w14:paraId="3888A8B2" w14:textId="77777777">
        <w:trPr>
          <w:divId w:val="98525094"/>
          <w:trHeight w:val="225"/>
          <w:tblCellSpacing w:w="15" w:type="dxa"/>
        </w:trPr>
        <w:tc>
          <w:tcPr>
            <w:tcW w:w="0" w:type="auto"/>
            <w:vAlign w:val="center"/>
            <w:hideMark/>
          </w:tcPr>
          <w:p w14:paraId="6E25BB20" w14:textId="77777777" w:rsidR="00000000" w:rsidRDefault="00EB4933">
            <w:pPr>
              <w:rPr>
                <w:rFonts w:eastAsia="Times New Roman"/>
                <w:sz w:val="20"/>
                <w:szCs w:val="20"/>
              </w:rPr>
            </w:pPr>
            <w:hyperlink r:id="rId139" w:anchor="toc" w:history="1">
              <w:r>
                <w:rPr>
                  <w:rStyle w:val="Hyperlink"/>
                  <w:rFonts w:eastAsia="Times New Roman"/>
                  <w:i/>
                  <w:iCs/>
                  <w:sz w:val="20"/>
                  <w:szCs w:val="20"/>
                </w:rPr>
                <w:t>Table of Contents</w:t>
              </w:r>
            </w:hyperlink>
          </w:p>
        </w:tc>
      </w:tr>
    </w:tbl>
    <w:p w14:paraId="6DBC880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4BC87A7" w14:textId="77777777" w:rsidR="00000000" w:rsidRDefault="00EB4933">
      <w:pPr>
        <w:pStyle w:val="NormalWeb"/>
        <w:spacing w:before="0" w:beforeAutospacing="0" w:after="0" w:afterAutospacing="0"/>
        <w:jc w:val="both"/>
        <w:divId w:val="98525094"/>
        <w:rPr>
          <w:sz w:val="20"/>
          <w:szCs w:val="20"/>
        </w:rPr>
      </w:pPr>
      <w:r>
        <w:rPr>
          <w:rStyle w:val="Strong"/>
          <w:sz w:val="20"/>
          <w:szCs w:val="20"/>
        </w:rPr>
        <w:t>E. Share Ownership</w:t>
      </w:r>
      <w:r>
        <w:rPr>
          <w:sz w:val="20"/>
          <w:szCs w:val="20"/>
        </w:rPr>
        <w:t xml:space="preserve"> </w:t>
      </w:r>
    </w:p>
    <w:p w14:paraId="7FAD1A8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EE0DAC2"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The following table sets forth information with respect to the beneficial ownership, within the meaning of Rule 13(d)(3) of the Exchange Act, based on 1,001,993,730 of our ordinary shares outstanding as of August 14, 2020, by: </w:t>
      </w:r>
    </w:p>
    <w:p w14:paraId="0335133B"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56FA9B83" w14:textId="77777777">
        <w:trPr>
          <w:divId w:val="98525094"/>
          <w:trHeight w:val="225"/>
          <w:tblCellSpacing w:w="15" w:type="dxa"/>
        </w:trPr>
        <w:tc>
          <w:tcPr>
            <w:tcW w:w="200" w:type="pct"/>
            <w:vAlign w:val="center"/>
            <w:hideMark/>
          </w:tcPr>
          <w:p w14:paraId="262F6E3D"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04A4EFA9"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68AD42D" w14:textId="77777777" w:rsidR="00000000" w:rsidRDefault="00EB4933">
            <w:pPr>
              <w:rPr>
                <w:rFonts w:eastAsia="Times New Roman"/>
                <w:sz w:val="20"/>
                <w:szCs w:val="20"/>
              </w:rPr>
            </w:pPr>
            <w:r>
              <w:rPr>
                <w:rFonts w:eastAsia="Times New Roman"/>
                <w:sz w:val="20"/>
                <w:szCs w:val="20"/>
              </w:rPr>
              <w:t xml:space="preserve">each of our directors </w:t>
            </w:r>
            <w:r>
              <w:rPr>
                <w:rFonts w:eastAsia="Times New Roman"/>
                <w:sz w:val="20"/>
                <w:szCs w:val="20"/>
              </w:rPr>
              <w:t>and executive officers; and</w:t>
            </w:r>
          </w:p>
        </w:tc>
      </w:tr>
      <w:tr w:rsidR="00000000" w14:paraId="5A1D8F90" w14:textId="77777777">
        <w:trPr>
          <w:divId w:val="98525094"/>
          <w:trHeight w:val="225"/>
          <w:tblCellSpacing w:w="15" w:type="dxa"/>
        </w:trPr>
        <w:tc>
          <w:tcPr>
            <w:tcW w:w="0" w:type="auto"/>
            <w:vAlign w:val="center"/>
            <w:hideMark/>
          </w:tcPr>
          <w:p w14:paraId="672CD045"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3D3EE58C"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30F8F6B7" w14:textId="77777777" w:rsidR="00000000" w:rsidRDefault="00EB4933">
            <w:pPr>
              <w:pStyle w:val="NormalWeb"/>
              <w:spacing w:before="0" w:beforeAutospacing="0" w:after="0" w:afterAutospacing="0"/>
              <w:rPr>
                <w:sz w:val="20"/>
                <w:szCs w:val="20"/>
              </w:rPr>
            </w:pPr>
            <w:r>
              <w:rPr>
                <w:sz w:val="20"/>
                <w:szCs w:val="20"/>
              </w:rPr>
              <w:t> </w:t>
            </w:r>
          </w:p>
        </w:tc>
      </w:tr>
      <w:tr w:rsidR="00000000" w14:paraId="56DB6A6E" w14:textId="77777777">
        <w:trPr>
          <w:divId w:val="98525094"/>
          <w:trHeight w:val="225"/>
          <w:tblCellSpacing w:w="15" w:type="dxa"/>
        </w:trPr>
        <w:tc>
          <w:tcPr>
            <w:tcW w:w="0" w:type="auto"/>
            <w:vAlign w:val="center"/>
            <w:hideMark/>
          </w:tcPr>
          <w:p w14:paraId="3B197349"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5A68878B"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7724B908" w14:textId="77777777" w:rsidR="00000000" w:rsidRDefault="00EB4933">
            <w:pPr>
              <w:rPr>
                <w:rFonts w:eastAsia="Times New Roman"/>
                <w:sz w:val="20"/>
                <w:szCs w:val="20"/>
              </w:rPr>
            </w:pPr>
            <w:r>
              <w:rPr>
                <w:rFonts w:eastAsia="Times New Roman"/>
                <w:sz w:val="20"/>
                <w:szCs w:val="20"/>
              </w:rPr>
              <w:t>each person known to us to own beneficially more than 5% of our ordinary shares.</w:t>
            </w:r>
          </w:p>
        </w:tc>
      </w:tr>
    </w:tbl>
    <w:p w14:paraId="3A8EE7FC"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6682"/>
        <w:gridCol w:w="91"/>
        <w:gridCol w:w="92"/>
        <w:gridCol w:w="1030"/>
        <w:gridCol w:w="182"/>
        <w:gridCol w:w="92"/>
        <w:gridCol w:w="122"/>
        <w:gridCol w:w="857"/>
        <w:gridCol w:w="212"/>
      </w:tblGrid>
      <w:tr w:rsidR="00000000" w14:paraId="2F9C58AF" w14:textId="77777777">
        <w:trPr>
          <w:divId w:val="98525094"/>
          <w:trHeight w:val="225"/>
          <w:tblCellSpacing w:w="15" w:type="dxa"/>
        </w:trPr>
        <w:tc>
          <w:tcPr>
            <w:tcW w:w="0" w:type="auto"/>
            <w:vAlign w:val="bottom"/>
            <w:hideMark/>
          </w:tcPr>
          <w:p w14:paraId="17668937" w14:textId="77777777" w:rsidR="00000000" w:rsidRDefault="00EB4933">
            <w:pPr>
              <w:pStyle w:val="NormalWeb"/>
              <w:spacing w:before="0" w:beforeAutospacing="0" w:after="0" w:afterAutospacing="0"/>
              <w:jc w:val="both"/>
              <w:rPr>
                <w:sz w:val="20"/>
                <w:szCs w:val="20"/>
              </w:rPr>
            </w:pPr>
            <w:r>
              <w:rPr>
                <w:rStyle w:val="Strong"/>
                <w:sz w:val="20"/>
                <w:szCs w:val="20"/>
              </w:rPr>
              <w:t xml:space="preserve">Name and Address of Beneficial Owner </w:t>
            </w:r>
          </w:p>
        </w:tc>
        <w:tc>
          <w:tcPr>
            <w:tcW w:w="0" w:type="auto"/>
            <w:noWrap/>
            <w:vAlign w:val="center"/>
            <w:hideMark/>
          </w:tcPr>
          <w:p w14:paraId="53AAAE3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55EA4667" w14:textId="77777777" w:rsidR="00000000" w:rsidRDefault="00EB4933">
            <w:pPr>
              <w:pStyle w:val="NormalWeb"/>
              <w:spacing w:before="0" w:beforeAutospacing="0" w:after="0" w:afterAutospacing="0"/>
              <w:jc w:val="center"/>
              <w:rPr>
                <w:sz w:val="20"/>
                <w:szCs w:val="20"/>
              </w:rPr>
            </w:pPr>
            <w:r>
              <w:rPr>
                <w:rStyle w:val="Strong"/>
                <w:sz w:val="20"/>
                <w:szCs w:val="20"/>
              </w:rPr>
              <w:t>Nature of</w:t>
            </w:r>
            <w:r>
              <w:rPr>
                <w:b/>
                <w:bCs/>
                <w:sz w:val="20"/>
                <w:szCs w:val="20"/>
              </w:rPr>
              <w:br/>
            </w:r>
            <w:r>
              <w:rPr>
                <w:rStyle w:val="Strong"/>
                <w:sz w:val="20"/>
                <w:szCs w:val="20"/>
              </w:rPr>
              <w:t>Shares</w:t>
            </w:r>
          </w:p>
        </w:tc>
        <w:tc>
          <w:tcPr>
            <w:tcW w:w="0" w:type="auto"/>
            <w:noWrap/>
            <w:tcMar>
              <w:top w:w="0" w:type="dxa"/>
              <w:left w:w="0" w:type="dxa"/>
              <w:bottom w:w="15" w:type="dxa"/>
              <w:right w:w="0" w:type="dxa"/>
            </w:tcMar>
            <w:vAlign w:val="center"/>
            <w:hideMark/>
          </w:tcPr>
          <w:p w14:paraId="179BAFC4" w14:textId="77777777" w:rsidR="00000000" w:rsidRDefault="00EB4933">
            <w:pPr>
              <w:pStyle w:val="NormalWeb"/>
              <w:spacing w:before="0" w:beforeAutospacing="0" w:after="0" w:afterAutospacing="0"/>
              <w:rPr>
                <w:sz w:val="20"/>
                <w:szCs w:val="20"/>
              </w:rPr>
            </w:pPr>
            <w:r>
              <w:rPr>
                <w:sz w:val="20"/>
                <w:szCs w:val="20"/>
              </w:rPr>
              <w:t> </w:t>
            </w:r>
          </w:p>
        </w:tc>
        <w:tc>
          <w:tcPr>
            <w:tcW w:w="0" w:type="auto"/>
            <w:tcBorders>
              <w:bottom w:val="single" w:sz="6" w:space="0" w:color="000000"/>
            </w:tcBorders>
            <w:noWrap/>
            <w:vAlign w:val="center"/>
            <w:hideMark/>
          </w:tcPr>
          <w:p w14:paraId="4AB2BD95"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461FCCA1" w14:textId="77777777" w:rsidR="00000000" w:rsidRDefault="00EB4933">
            <w:pPr>
              <w:pStyle w:val="NormalWeb"/>
              <w:spacing w:before="0" w:beforeAutospacing="0" w:after="0" w:afterAutospacing="0"/>
              <w:jc w:val="center"/>
              <w:rPr>
                <w:sz w:val="20"/>
                <w:szCs w:val="20"/>
              </w:rPr>
            </w:pPr>
            <w:r>
              <w:rPr>
                <w:rStyle w:val="Strong"/>
                <w:sz w:val="20"/>
                <w:szCs w:val="20"/>
              </w:rPr>
              <w:t>Percentage of</w:t>
            </w:r>
            <w:r>
              <w:rPr>
                <w:b/>
                <w:bCs/>
                <w:sz w:val="20"/>
                <w:szCs w:val="20"/>
              </w:rPr>
              <w:br/>
            </w:r>
            <w:r>
              <w:rPr>
                <w:rStyle w:val="Strong"/>
                <w:sz w:val="20"/>
                <w:szCs w:val="20"/>
              </w:rPr>
              <w:t xml:space="preserve">Beneficial Ownership </w:t>
            </w:r>
          </w:p>
        </w:tc>
        <w:tc>
          <w:tcPr>
            <w:tcW w:w="0" w:type="auto"/>
            <w:noWrap/>
            <w:tcMar>
              <w:top w:w="0" w:type="dxa"/>
              <w:left w:w="0" w:type="dxa"/>
              <w:bottom w:w="15" w:type="dxa"/>
              <w:right w:w="0" w:type="dxa"/>
            </w:tcMar>
            <w:vAlign w:val="center"/>
            <w:hideMark/>
          </w:tcPr>
          <w:p w14:paraId="4CFA0B9D" w14:textId="77777777" w:rsidR="00000000" w:rsidRDefault="00EB4933">
            <w:pPr>
              <w:pStyle w:val="NormalWeb"/>
              <w:spacing w:before="0" w:beforeAutospacing="0" w:after="0" w:afterAutospacing="0"/>
              <w:rPr>
                <w:sz w:val="20"/>
                <w:szCs w:val="20"/>
              </w:rPr>
            </w:pPr>
            <w:r>
              <w:rPr>
                <w:sz w:val="20"/>
                <w:szCs w:val="20"/>
              </w:rPr>
              <w:t> </w:t>
            </w:r>
          </w:p>
        </w:tc>
      </w:tr>
      <w:tr w:rsidR="00000000" w14:paraId="2251E3B6" w14:textId="77777777">
        <w:trPr>
          <w:divId w:val="98525094"/>
          <w:trHeight w:val="225"/>
          <w:tblCellSpacing w:w="15" w:type="dxa"/>
        </w:trPr>
        <w:tc>
          <w:tcPr>
            <w:tcW w:w="0" w:type="auto"/>
            <w:hideMark/>
          </w:tcPr>
          <w:p w14:paraId="1C02F277" w14:textId="77777777" w:rsidR="00000000" w:rsidRDefault="00EB4933">
            <w:pPr>
              <w:pStyle w:val="NormalWeb"/>
              <w:spacing w:before="0" w:beforeAutospacing="0" w:after="0" w:afterAutospacing="0"/>
              <w:jc w:val="both"/>
              <w:rPr>
                <w:sz w:val="20"/>
                <w:szCs w:val="20"/>
              </w:rPr>
            </w:pPr>
            <w:r>
              <w:rPr>
                <w:rStyle w:val="Strong"/>
                <w:sz w:val="20"/>
                <w:szCs w:val="20"/>
              </w:rPr>
              <w:t>Directors and Executive Officers</w:t>
            </w:r>
          </w:p>
        </w:tc>
        <w:tc>
          <w:tcPr>
            <w:tcW w:w="50" w:type="pct"/>
            <w:noWrap/>
            <w:vAlign w:val="center"/>
            <w:hideMark/>
          </w:tcPr>
          <w:p w14:paraId="381C7E3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8240783"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940F126"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B70205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0796564C"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D79522A" w14:textId="77777777" w:rsidR="00000000" w:rsidRDefault="00EB4933">
            <w:pPr>
              <w:pStyle w:val="NormalWeb"/>
              <w:spacing w:before="0" w:beforeAutospacing="0" w:after="0" w:afterAutospacing="0"/>
              <w:rPr>
                <w:sz w:val="20"/>
                <w:szCs w:val="20"/>
              </w:rPr>
            </w:pPr>
            <w:r>
              <w:rPr>
                <w:sz w:val="20"/>
                <w:szCs w:val="20"/>
              </w:rPr>
              <w:t> </w:t>
            </w:r>
          </w:p>
        </w:tc>
      </w:tr>
      <w:tr w:rsidR="00000000" w14:paraId="52D2CCC4" w14:textId="77777777">
        <w:trPr>
          <w:divId w:val="98525094"/>
          <w:trHeight w:val="225"/>
          <w:tblCellSpacing w:w="15" w:type="dxa"/>
        </w:trPr>
        <w:tc>
          <w:tcPr>
            <w:tcW w:w="0" w:type="auto"/>
            <w:shd w:val="clear" w:color="auto" w:fill="CCEEFF"/>
            <w:hideMark/>
          </w:tcPr>
          <w:p w14:paraId="3A997769" w14:textId="77777777" w:rsidR="00000000" w:rsidRDefault="00EB4933">
            <w:pPr>
              <w:pStyle w:val="NormalWeb"/>
              <w:spacing w:before="0" w:beforeAutospacing="0" w:after="0" w:afterAutospacing="0"/>
              <w:jc w:val="both"/>
              <w:rPr>
                <w:sz w:val="20"/>
                <w:szCs w:val="20"/>
              </w:rPr>
            </w:pPr>
            <w:r>
              <w:rPr>
                <w:sz w:val="20"/>
                <w:szCs w:val="20"/>
              </w:rPr>
              <w:t>Qizhi Wei, Director (Chairman); Chief Executive Officer</w:t>
            </w:r>
          </w:p>
        </w:tc>
        <w:tc>
          <w:tcPr>
            <w:tcW w:w="50" w:type="pct"/>
            <w:shd w:val="clear" w:color="auto" w:fill="CCEEFF"/>
            <w:noWrap/>
            <w:vAlign w:val="center"/>
            <w:hideMark/>
          </w:tcPr>
          <w:p w14:paraId="2C86DD2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DDD04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48BB105" w14:textId="77777777" w:rsidR="00000000" w:rsidRDefault="00EB4933">
            <w:pPr>
              <w:jc w:val="right"/>
              <w:rPr>
                <w:rFonts w:eastAsia="Times New Roman"/>
                <w:sz w:val="20"/>
                <w:szCs w:val="20"/>
              </w:rPr>
            </w:pPr>
            <w:r>
              <w:rPr>
                <w:rFonts w:eastAsia="Times New Roman"/>
                <w:sz w:val="20"/>
                <w:szCs w:val="20"/>
              </w:rPr>
              <w:t>887,280,237</w:t>
            </w:r>
          </w:p>
        </w:tc>
        <w:tc>
          <w:tcPr>
            <w:tcW w:w="50" w:type="pct"/>
            <w:shd w:val="clear" w:color="auto" w:fill="CCEEFF"/>
            <w:noWrap/>
            <w:vAlign w:val="bottom"/>
            <w:hideMark/>
          </w:tcPr>
          <w:p w14:paraId="2E12F15F" w14:textId="77777777" w:rsidR="00000000" w:rsidRDefault="00EB4933">
            <w:pPr>
              <w:rPr>
                <w:rFonts w:eastAsia="Times New Roman"/>
                <w:sz w:val="20"/>
                <w:szCs w:val="20"/>
              </w:rPr>
            </w:pPr>
            <w:r>
              <w:rPr>
                <w:rFonts w:eastAsia="Times New Roman"/>
                <w:sz w:val="20"/>
                <w:szCs w:val="20"/>
                <w:vertAlign w:val="superscript"/>
              </w:rPr>
              <w:t>(1)</w:t>
            </w:r>
          </w:p>
        </w:tc>
        <w:tc>
          <w:tcPr>
            <w:tcW w:w="50" w:type="pct"/>
            <w:shd w:val="clear" w:color="auto" w:fill="CCEEFF"/>
            <w:noWrap/>
            <w:vAlign w:val="center"/>
            <w:hideMark/>
          </w:tcPr>
          <w:p w14:paraId="27C29A5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A894E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1649DA9" w14:textId="77777777" w:rsidR="00000000" w:rsidRDefault="00EB4933">
            <w:pPr>
              <w:jc w:val="right"/>
              <w:rPr>
                <w:rFonts w:eastAsia="Times New Roman"/>
                <w:sz w:val="20"/>
                <w:szCs w:val="20"/>
              </w:rPr>
            </w:pPr>
            <w:r>
              <w:rPr>
                <w:rFonts w:eastAsia="Times New Roman"/>
                <w:sz w:val="20"/>
                <w:szCs w:val="20"/>
              </w:rPr>
              <w:t>88.6</w:t>
            </w:r>
          </w:p>
        </w:tc>
        <w:tc>
          <w:tcPr>
            <w:tcW w:w="50" w:type="pct"/>
            <w:shd w:val="clear" w:color="auto" w:fill="CCEEFF"/>
            <w:noWrap/>
            <w:vAlign w:val="bottom"/>
            <w:hideMark/>
          </w:tcPr>
          <w:p w14:paraId="7C012419" w14:textId="77777777" w:rsidR="00000000" w:rsidRDefault="00EB4933">
            <w:pPr>
              <w:rPr>
                <w:rFonts w:eastAsia="Times New Roman"/>
                <w:sz w:val="20"/>
                <w:szCs w:val="20"/>
              </w:rPr>
            </w:pPr>
            <w:r>
              <w:rPr>
                <w:rFonts w:eastAsia="Times New Roman"/>
                <w:sz w:val="20"/>
                <w:szCs w:val="20"/>
              </w:rPr>
              <w:t>%</w:t>
            </w:r>
          </w:p>
        </w:tc>
      </w:tr>
      <w:tr w:rsidR="00000000" w14:paraId="59AE592A" w14:textId="77777777">
        <w:trPr>
          <w:divId w:val="98525094"/>
          <w:trHeight w:val="225"/>
          <w:tblCellSpacing w:w="15" w:type="dxa"/>
        </w:trPr>
        <w:tc>
          <w:tcPr>
            <w:tcW w:w="0" w:type="auto"/>
            <w:shd w:val="clear" w:color="auto" w:fill="FFFFFF"/>
            <w:hideMark/>
          </w:tcPr>
          <w:p w14:paraId="7C065470" w14:textId="77777777" w:rsidR="00000000" w:rsidRDefault="00EB4933">
            <w:pPr>
              <w:pStyle w:val="NormalWeb"/>
              <w:spacing w:before="0" w:beforeAutospacing="0" w:after="0" w:afterAutospacing="0"/>
              <w:jc w:val="both"/>
              <w:rPr>
                <w:sz w:val="20"/>
                <w:szCs w:val="20"/>
              </w:rPr>
            </w:pPr>
            <w:r>
              <w:rPr>
                <w:sz w:val="20"/>
                <w:szCs w:val="20"/>
              </w:rPr>
              <w:t>Duoguang Bei, Director</w:t>
            </w:r>
          </w:p>
        </w:tc>
        <w:tc>
          <w:tcPr>
            <w:tcW w:w="50" w:type="pct"/>
            <w:shd w:val="clear" w:color="auto" w:fill="FFFFFF"/>
            <w:noWrap/>
            <w:vAlign w:val="center"/>
            <w:hideMark/>
          </w:tcPr>
          <w:p w14:paraId="19E259B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98228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671BAEF" w14:textId="77777777" w:rsidR="00000000" w:rsidRDefault="00EB4933">
            <w:pPr>
              <w:jc w:val="right"/>
              <w:rPr>
                <w:rFonts w:eastAsia="Times New Roman"/>
                <w:sz w:val="20"/>
                <w:szCs w:val="20"/>
              </w:rPr>
            </w:pPr>
            <w:r>
              <w:rPr>
                <w:rFonts w:eastAsia="Times New Roman"/>
                <w:sz w:val="20"/>
                <w:szCs w:val="20"/>
              </w:rPr>
              <w:t>300,000</w:t>
            </w:r>
          </w:p>
        </w:tc>
        <w:tc>
          <w:tcPr>
            <w:tcW w:w="50" w:type="pct"/>
            <w:shd w:val="clear" w:color="auto" w:fill="FFFFFF"/>
            <w:noWrap/>
            <w:vAlign w:val="center"/>
            <w:hideMark/>
          </w:tcPr>
          <w:p w14:paraId="441D428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8D4D58"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4DCF3D3" w14:textId="77777777" w:rsidR="00000000" w:rsidRDefault="00EB4933">
            <w:pPr>
              <w:rPr>
                <w:sz w:val="20"/>
                <w:szCs w:val="20"/>
              </w:rPr>
            </w:pPr>
          </w:p>
        </w:tc>
        <w:tc>
          <w:tcPr>
            <w:tcW w:w="0" w:type="auto"/>
            <w:shd w:val="clear" w:color="auto" w:fill="FFFFFF"/>
            <w:vAlign w:val="center"/>
            <w:hideMark/>
          </w:tcPr>
          <w:p w14:paraId="7B82AABC" w14:textId="77777777" w:rsidR="00000000" w:rsidRDefault="00EB4933">
            <w:pPr>
              <w:pStyle w:val="NormalWeb"/>
              <w:spacing w:before="0" w:beforeAutospacing="0" w:after="0" w:afterAutospacing="0"/>
              <w:jc w:val="right"/>
              <w:rPr>
                <w:sz w:val="20"/>
                <w:szCs w:val="20"/>
              </w:rPr>
            </w:pPr>
            <w:r>
              <w:rPr>
                <w:sz w:val="20"/>
                <w:szCs w:val="20"/>
              </w:rPr>
              <w:t>*</w:t>
            </w:r>
          </w:p>
        </w:tc>
        <w:tc>
          <w:tcPr>
            <w:tcW w:w="50" w:type="pct"/>
            <w:shd w:val="clear" w:color="auto" w:fill="FFFFFF"/>
            <w:noWrap/>
            <w:vAlign w:val="center"/>
            <w:hideMark/>
          </w:tcPr>
          <w:p w14:paraId="5EDCDA44" w14:textId="77777777" w:rsidR="00000000" w:rsidRDefault="00EB4933">
            <w:pPr>
              <w:pStyle w:val="NormalWeb"/>
              <w:spacing w:before="0" w:beforeAutospacing="0" w:after="0" w:afterAutospacing="0"/>
              <w:rPr>
                <w:sz w:val="20"/>
                <w:szCs w:val="20"/>
              </w:rPr>
            </w:pPr>
            <w:r>
              <w:rPr>
                <w:sz w:val="20"/>
                <w:szCs w:val="20"/>
              </w:rPr>
              <w:t> </w:t>
            </w:r>
          </w:p>
        </w:tc>
      </w:tr>
      <w:tr w:rsidR="00000000" w14:paraId="56B8E131" w14:textId="77777777">
        <w:trPr>
          <w:divId w:val="98525094"/>
          <w:trHeight w:val="225"/>
          <w:tblCellSpacing w:w="15" w:type="dxa"/>
        </w:trPr>
        <w:tc>
          <w:tcPr>
            <w:tcW w:w="0" w:type="auto"/>
            <w:shd w:val="clear" w:color="auto" w:fill="CCEEFF"/>
            <w:hideMark/>
          </w:tcPr>
          <w:p w14:paraId="109F80C5" w14:textId="77777777" w:rsidR="00000000" w:rsidRDefault="00EB4933">
            <w:pPr>
              <w:pStyle w:val="NormalWeb"/>
              <w:spacing w:before="0" w:beforeAutospacing="0" w:after="0" w:afterAutospacing="0"/>
              <w:jc w:val="both"/>
              <w:rPr>
                <w:sz w:val="20"/>
                <w:szCs w:val="20"/>
              </w:rPr>
            </w:pPr>
            <w:r>
              <w:rPr>
                <w:sz w:val="20"/>
                <w:szCs w:val="20"/>
              </w:rPr>
              <w:t>Michael J. Viotto, Director</w:t>
            </w:r>
          </w:p>
        </w:tc>
        <w:tc>
          <w:tcPr>
            <w:tcW w:w="50" w:type="pct"/>
            <w:shd w:val="clear" w:color="auto" w:fill="CCEEFF"/>
            <w:noWrap/>
            <w:vAlign w:val="center"/>
            <w:hideMark/>
          </w:tcPr>
          <w:p w14:paraId="521BB73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51AFC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4D10823" w14:textId="77777777" w:rsidR="00000000" w:rsidRDefault="00EB4933">
            <w:pPr>
              <w:jc w:val="right"/>
              <w:rPr>
                <w:rFonts w:eastAsia="Times New Roman"/>
                <w:sz w:val="20"/>
                <w:szCs w:val="20"/>
              </w:rPr>
            </w:pPr>
            <w:r>
              <w:rPr>
                <w:rFonts w:eastAsia="Times New Roman"/>
                <w:sz w:val="20"/>
                <w:szCs w:val="20"/>
              </w:rPr>
              <w:t>600,000</w:t>
            </w:r>
          </w:p>
        </w:tc>
        <w:tc>
          <w:tcPr>
            <w:tcW w:w="50" w:type="pct"/>
            <w:shd w:val="clear" w:color="auto" w:fill="CCEEFF"/>
            <w:noWrap/>
            <w:vAlign w:val="center"/>
            <w:hideMark/>
          </w:tcPr>
          <w:p w14:paraId="5231EBF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359CD2"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03CE1270" w14:textId="77777777" w:rsidR="00000000" w:rsidRDefault="00EB4933">
            <w:pPr>
              <w:rPr>
                <w:sz w:val="20"/>
                <w:szCs w:val="20"/>
              </w:rPr>
            </w:pPr>
          </w:p>
        </w:tc>
        <w:tc>
          <w:tcPr>
            <w:tcW w:w="0" w:type="auto"/>
            <w:shd w:val="clear" w:color="auto" w:fill="CCEEFF"/>
            <w:vAlign w:val="center"/>
            <w:hideMark/>
          </w:tcPr>
          <w:p w14:paraId="13A6069E" w14:textId="77777777" w:rsidR="00000000" w:rsidRDefault="00EB4933">
            <w:pPr>
              <w:pStyle w:val="NormalWeb"/>
              <w:spacing w:before="0" w:beforeAutospacing="0" w:after="0" w:afterAutospacing="0"/>
              <w:jc w:val="right"/>
              <w:rPr>
                <w:sz w:val="20"/>
                <w:szCs w:val="20"/>
              </w:rPr>
            </w:pPr>
            <w:r>
              <w:rPr>
                <w:sz w:val="20"/>
                <w:szCs w:val="20"/>
              </w:rPr>
              <w:t>*</w:t>
            </w:r>
          </w:p>
        </w:tc>
        <w:tc>
          <w:tcPr>
            <w:tcW w:w="50" w:type="pct"/>
            <w:shd w:val="clear" w:color="auto" w:fill="CCEEFF"/>
            <w:noWrap/>
            <w:vAlign w:val="center"/>
            <w:hideMark/>
          </w:tcPr>
          <w:p w14:paraId="63588A27" w14:textId="77777777" w:rsidR="00000000" w:rsidRDefault="00EB4933">
            <w:pPr>
              <w:pStyle w:val="NormalWeb"/>
              <w:spacing w:before="0" w:beforeAutospacing="0" w:after="0" w:afterAutospacing="0"/>
              <w:jc w:val="right"/>
              <w:rPr>
                <w:sz w:val="20"/>
                <w:szCs w:val="20"/>
              </w:rPr>
            </w:pPr>
            <w:r>
              <w:rPr>
                <w:sz w:val="20"/>
                <w:szCs w:val="20"/>
              </w:rPr>
              <w:t> </w:t>
            </w:r>
          </w:p>
        </w:tc>
      </w:tr>
      <w:tr w:rsidR="00000000" w14:paraId="2230369C" w14:textId="77777777">
        <w:trPr>
          <w:divId w:val="98525094"/>
          <w:trHeight w:val="225"/>
          <w:tblCellSpacing w:w="15" w:type="dxa"/>
        </w:trPr>
        <w:tc>
          <w:tcPr>
            <w:tcW w:w="0" w:type="auto"/>
            <w:shd w:val="clear" w:color="auto" w:fill="FFFFFF"/>
            <w:hideMark/>
          </w:tcPr>
          <w:p w14:paraId="0DA40BA4" w14:textId="77777777" w:rsidR="00000000" w:rsidRDefault="00EB4933">
            <w:pPr>
              <w:pStyle w:val="NormalWeb"/>
              <w:spacing w:before="0" w:beforeAutospacing="0" w:after="0" w:afterAutospacing="0"/>
              <w:jc w:val="both"/>
              <w:rPr>
                <w:sz w:val="20"/>
                <w:szCs w:val="20"/>
              </w:rPr>
            </w:pPr>
            <w:r>
              <w:rPr>
                <w:sz w:val="20"/>
                <w:szCs w:val="20"/>
              </w:rPr>
              <w:t>Chee Jiong Ng, Chief Financial Officer</w:t>
            </w:r>
          </w:p>
        </w:tc>
        <w:tc>
          <w:tcPr>
            <w:tcW w:w="50" w:type="pct"/>
            <w:shd w:val="clear" w:color="auto" w:fill="FFFFFF"/>
            <w:noWrap/>
            <w:vAlign w:val="center"/>
            <w:hideMark/>
          </w:tcPr>
          <w:p w14:paraId="695F493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88135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A5A4347" w14:textId="77777777" w:rsidR="00000000" w:rsidRDefault="00EB4933">
            <w:pPr>
              <w:jc w:val="right"/>
              <w:rPr>
                <w:rFonts w:eastAsia="Times New Roman"/>
                <w:sz w:val="20"/>
                <w:szCs w:val="20"/>
              </w:rPr>
            </w:pPr>
            <w:r>
              <w:rPr>
                <w:rFonts w:eastAsia="Times New Roman"/>
                <w:sz w:val="20"/>
                <w:szCs w:val="20"/>
              </w:rPr>
              <w:t>912,766</w:t>
            </w:r>
          </w:p>
        </w:tc>
        <w:tc>
          <w:tcPr>
            <w:tcW w:w="50" w:type="pct"/>
            <w:shd w:val="clear" w:color="auto" w:fill="FFFFFF"/>
            <w:noWrap/>
            <w:vAlign w:val="center"/>
            <w:hideMark/>
          </w:tcPr>
          <w:p w14:paraId="43D3B26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6F77A0"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E4D1209" w14:textId="77777777" w:rsidR="00000000" w:rsidRDefault="00EB4933">
            <w:pPr>
              <w:rPr>
                <w:sz w:val="20"/>
                <w:szCs w:val="20"/>
              </w:rPr>
            </w:pPr>
          </w:p>
        </w:tc>
        <w:tc>
          <w:tcPr>
            <w:tcW w:w="0" w:type="auto"/>
            <w:shd w:val="clear" w:color="auto" w:fill="FFFFFF"/>
            <w:vAlign w:val="center"/>
            <w:hideMark/>
          </w:tcPr>
          <w:p w14:paraId="1DB9C61A" w14:textId="77777777" w:rsidR="00000000" w:rsidRDefault="00EB4933">
            <w:pPr>
              <w:pStyle w:val="NormalWeb"/>
              <w:spacing w:before="0" w:beforeAutospacing="0" w:after="0" w:afterAutospacing="0"/>
              <w:jc w:val="right"/>
              <w:rPr>
                <w:sz w:val="20"/>
                <w:szCs w:val="20"/>
              </w:rPr>
            </w:pPr>
            <w:r>
              <w:rPr>
                <w:sz w:val="20"/>
                <w:szCs w:val="20"/>
              </w:rPr>
              <w:t>*</w:t>
            </w:r>
          </w:p>
        </w:tc>
        <w:tc>
          <w:tcPr>
            <w:tcW w:w="50" w:type="pct"/>
            <w:shd w:val="clear" w:color="auto" w:fill="FFFFFF"/>
            <w:noWrap/>
            <w:vAlign w:val="center"/>
            <w:hideMark/>
          </w:tcPr>
          <w:p w14:paraId="7AF19D65" w14:textId="77777777" w:rsidR="00000000" w:rsidRDefault="00EB4933">
            <w:pPr>
              <w:pStyle w:val="NormalWeb"/>
              <w:spacing w:before="0" w:beforeAutospacing="0" w:after="0" w:afterAutospacing="0"/>
              <w:rPr>
                <w:sz w:val="20"/>
                <w:szCs w:val="20"/>
              </w:rPr>
            </w:pPr>
            <w:r>
              <w:rPr>
                <w:sz w:val="20"/>
                <w:szCs w:val="20"/>
              </w:rPr>
              <w:t> </w:t>
            </w:r>
          </w:p>
        </w:tc>
      </w:tr>
      <w:tr w:rsidR="00000000" w14:paraId="0C6DFB98" w14:textId="77777777">
        <w:trPr>
          <w:divId w:val="98525094"/>
          <w:trHeight w:val="225"/>
          <w:tblCellSpacing w:w="15" w:type="dxa"/>
        </w:trPr>
        <w:tc>
          <w:tcPr>
            <w:tcW w:w="0" w:type="auto"/>
            <w:shd w:val="clear" w:color="auto" w:fill="CCEEFF"/>
            <w:hideMark/>
          </w:tcPr>
          <w:p w14:paraId="2EABCF85" w14:textId="77777777" w:rsidR="00000000" w:rsidRDefault="00EB4933">
            <w:pPr>
              <w:pStyle w:val="NormalWeb"/>
              <w:spacing w:before="0" w:beforeAutospacing="0" w:after="0" w:afterAutospacing="0"/>
              <w:jc w:val="both"/>
              <w:rPr>
                <w:sz w:val="20"/>
                <w:szCs w:val="20"/>
              </w:rPr>
            </w:pPr>
            <w:r>
              <w:rPr>
                <w:sz w:val="20"/>
                <w:szCs w:val="20"/>
              </w:rPr>
              <w:t>Weidong Xu, Director, Chief Operating Officer</w:t>
            </w:r>
          </w:p>
        </w:tc>
        <w:tc>
          <w:tcPr>
            <w:tcW w:w="50" w:type="pct"/>
            <w:shd w:val="clear" w:color="auto" w:fill="CCEEFF"/>
            <w:noWrap/>
            <w:vAlign w:val="center"/>
            <w:hideMark/>
          </w:tcPr>
          <w:p w14:paraId="1044FAC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1559FD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CE235D5"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5D37D25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8E3D8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8DA8A8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3004E61"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7DCBBF11" w14:textId="77777777" w:rsidR="00000000" w:rsidRDefault="00EB4933">
            <w:pPr>
              <w:pStyle w:val="NormalWeb"/>
              <w:spacing w:before="0" w:beforeAutospacing="0" w:after="0" w:afterAutospacing="0"/>
              <w:rPr>
                <w:sz w:val="20"/>
                <w:szCs w:val="20"/>
              </w:rPr>
            </w:pPr>
            <w:r>
              <w:rPr>
                <w:sz w:val="20"/>
                <w:szCs w:val="20"/>
              </w:rPr>
              <w:t> </w:t>
            </w:r>
          </w:p>
        </w:tc>
      </w:tr>
      <w:tr w:rsidR="00000000" w14:paraId="27B6EA84" w14:textId="77777777">
        <w:trPr>
          <w:divId w:val="98525094"/>
          <w:trHeight w:val="225"/>
          <w:tblCellSpacing w:w="15" w:type="dxa"/>
        </w:trPr>
        <w:tc>
          <w:tcPr>
            <w:tcW w:w="0" w:type="auto"/>
            <w:shd w:val="clear" w:color="auto" w:fill="FFFFFF"/>
            <w:hideMark/>
          </w:tcPr>
          <w:p w14:paraId="7259B8FA" w14:textId="77777777" w:rsidR="00000000" w:rsidRDefault="00EB4933">
            <w:pPr>
              <w:pStyle w:val="NormalWeb"/>
              <w:spacing w:before="0" w:beforeAutospacing="0" w:after="0" w:afterAutospacing="0"/>
              <w:jc w:val="both"/>
              <w:rPr>
                <w:sz w:val="20"/>
                <w:szCs w:val="20"/>
              </w:rPr>
            </w:pPr>
            <w:r>
              <w:rPr>
                <w:sz w:val="20"/>
                <w:szCs w:val="20"/>
              </w:rPr>
              <w:t>Directors and Executive Officers as a Group</w:t>
            </w:r>
          </w:p>
        </w:tc>
        <w:tc>
          <w:tcPr>
            <w:tcW w:w="50" w:type="pct"/>
            <w:shd w:val="clear" w:color="auto" w:fill="FFFFFF"/>
            <w:noWrap/>
            <w:vAlign w:val="center"/>
            <w:hideMark/>
          </w:tcPr>
          <w:p w14:paraId="771A48F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466D957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750C4541" w14:textId="77777777" w:rsidR="00000000" w:rsidRDefault="00EB4933">
            <w:pPr>
              <w:jc w:val="right"/>
              <w:rPr>
                <w:rFonts w:eastAsia="Times New Roman"/>
                <w:sz w:val="20"/>
                <w:szCs w:val="20"/>
              </w:rPr>
            </w:pPr>
            <w:r>
              <w:rPr>
                <w:rFonts w:eastAsia="Times New Roman"/>
                <w:sz w:val="20"/>
                <w:szCs w:val="20"/>
              </w:rPr>
              <w:t>889,093,003</w:t>
            </w:r>
          </w:p>
        </w:tc>
        <w:tc>
          <w:tcPr>
            <w:tcW w:w="50" w:type="pct"/>
            <w:shd w:val="clear" w:color="auto" w:fill="FFFFFF"/>
            <w:noWrap/>
            <w:tcMar>
              <w:top w:w="0" w:type="dxa"/>
              <w:left w:w="0" w:type="dxa"/>
              <w:bottom w:w="45" w:type="dxa"/>
              <w:right w:w="0" w:type="dxa"/>
            </w:tcMar>
            <w:vAlign w:val="center"/>
            <w:hideMark/>
          </w:tcPr>
          <w:p w14:paraId="72C9C9F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55222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570C18E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0623E429" w14:textId="77777777" w:rsidR="00000000" w:rsidRDefault="00EB4933">
            <w:pPr>
              <w:jc w:val="right"/>
              <w:rPr>
                <w:rFonts w:eastAsia="Times New Roman"/>
                <w:sz w:val="20"/>
                <w:szCs w:val="20"/>
              </w:rPr>
            </w:pPr>
            <w:r>
              <w:rPr>
                <w:rFonts w:eastAsia="Times New Roman"/>
                <w:sz w:val="20"/>
                <w:szCs w:val="20"/>
              </w:rPr>
              <w:t>88.7</w:t>
            </w:r>
          </w:p>
        </w:tc>
        <w:tc>
          <w:tcPr>
            <w:tcW w:w="50" w:type="pct"/>
            <w:shd w:val="clear" w:color="auto" w:fill="FFFFFF"/>
            <w:noWrap/>
            <w:tcMar>
              <w:top w:w="0" w:type="dxa"/>
              <w:left w:w="0" w:type="dxa"/>
              <w:bottom w:w="45" w:type="dxa"/>
              <w:right w:w="0" w:type="dxa"/>
            </w:tcMar>
            <w:vAlign w:val="bottom"/>
            <w:hideMark/>
          </w:tcPr>
          <w:p w14:paraId="29F499A4" w14:textId="77777777" w:rsidR="00000000" w:rsidRDefault="00EB4933">
            <w:pPr>
              <w:rPr>
                <w:rFonts w:eastAsia="Times New Roman"/>
                <w:sz w:val="20"/>
                <w:szCs w:val="20"/>
              </w:rPr>
            </w:pPr>
            <w:r>
              <w:rPr>
                <w:rFonts w:eastAsia="Times New Roman"/>
                <w:sz w:val="20"/>
                <w:szCs w:val="20"/>
              </w:rPr>
              <w:t>%</w:t>
            </w:r>
          </w:p>
        </w:tc>
      </w:tr>
      <w:tr w:rsidR="00000000" w14:paraId="782BC821" w14:textId="77777777">
        <w:trPr>
          <w:divId w:val="98525094"/>
          <w:trHeight w:val="225"/>
          <w:tblCellSpacing w:w="15" w:type="dxa"/>
        </w:trPr>
        <w:tc>
          <w:tcPr>
            <w:tcW w:w="0" w:type="auto"/>
            <w:shd w:val="clear" w:color="auto" w:fill="FFFFFF"/>
            <w:hideMark/>
          </w:tcPr>
          <w:p w14:paraId="2F4F9DCD" w14:textId="77777777" w:rsidR="00000000" w:rsidRDefault="00EB4933">
            <w:pPr>
              <w:pStyle w:val="NormalWeb"/>
              <w:spacing w:before="0" w:beforeAutospacing="0" w:after="0" w:afterAutospacing="0"/>
              <w:jc w:val="both"/>
              <w:rPr>
                <w:sz w:val="20"/>
                <w:szCs w:val="20"/>
              </w:rPr>
            </w:pPr>
            <w:r>
              <w:rPr>
                <w:rStyle w:val="Strong"/>
                <w:sz w:val="20"/>
                <w:szCs w:val="20"/>
              </w:rPr>
              <w:t>5% or More Beneficial Owners</w:t>
            </w:r>
            <w:r>
              <w:rPr>
                <w:sz w:val="20"/>
                <w:szCs w:val="20"/>
                <w:vertAlign w:val="superscript"/>
              </w:rPr>
              <w:t>(2)</w:t>
            </w:r>
          </w:p>
        </w:tc>
        <w:tc>
          <w:tcPr>
            <w:tcW w:w="50" w:type="pct"/>
            <w:shd w:val="clear" w:color="auto" w:fill="FFFFFF"/>
            <w:noWrap/>
            <w:vAlign w:val="center"/>
            <w:hideMark/>
          </w:tcPr>
          <w:p w14:paraId="1C657EC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BCEF0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729F65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DC66E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64C37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ACCA9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0E4A21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2B8F78" w14:textId="77777777" w:rsidR="00000000" w:rsidRDefault="00EB4933">
            <w:pPr>
              <w:pStyle w:val="NormalWeb"/>
              <w:spacing w:before="0" w:beforeAutospacing="0" w:after="0" w:afterAutospacing="0"/>
              <w:rPr>
                <w:sz w:val="20"/>
                <w:szCs w:val="20"/>
              </w:rPr>
            </w:pPr>
            <w:r>
              <w:rPr>
                <w:sz w:val="20"/>
                <w:szCs w:val="20"/>
              </w:rPr>
              <w:t> </w:t>
            </w:r>
          </w:p>
        </w:tc>
      </w:tr>
    </w:tbl>
    <w:p w14:paraId="42A99C83" w14:textId="77777777" w:rsidR="00000000" w:rsidRDefault="00EB4933">
      <w:pPr>
        <w:pStyle w:val="NormalWeb"/>
        <w:spacing w:before="0" w:beforeAutospacing="0" w:after="0" w:afterAutospacing="0"/>
        <w:jc w:val="both"/>
        <w:divId w:val="98525094"/>
        <w:rPr>
          <w:sz w:val="20"/>
          <w:szCs w:val="20"/>
        </w:rPr>
      </w:pPr>
      <w:r>
        <w:rPr>
          <w:sz w:val="20"/>
          <w:szCs w:val="20"/>
        </w:rPr>
        <w:t>_____________</w:t>
      </w:r>
    </w:p>
    <w:p w14:paraId="7FE6379C" w14:textId="77777777" w:rsidR="00000000" w:rsidRDefault="00EB4933">
      <w:pPr>
        <w:pStyle w:val="NormalWeb"/>
        <w:spacing w:before="0" w:beforeAutospacing="0" w:after="0" w:afterAutospacing="0"/>
        <w:jc w:val="both"/>
        <w:divId w:val="98525094"/>
        <w:rPr>
          <w:sz w:val="20"/>
          <w:szCs w:val="20"/>
        </w:rPr>
      </w:pPr>
      <w:r>
        <w:rPr>
          <w:sz w:val="20"/>
          <w:szCs w:val="20"/>
        </w:rPr>
        <w:t>* less than one percent (1%)</w:t>
      </w:r>
    </w:p>
    <w:p w14:paraId="3DF05CB3"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45"/>
        <w:gridCol w:w="8815"/>
      </w:tblGrid>
      <w:tr w:rsidR="00000000" w14:paraId="0E1A4CFE" w14:textId="77777777">
        <w:trPr>
          <w:divId w:val="98525094"/>
          <w:trHeight w:val="225"/>
          <w:tblCellSpacing w:w="15" w:type="dxa"/>
        </w:trPr>
        <w:tc>
          <w:tcPr>
            <w:tcW w:w="200" w:type="pct"/>
            <w:hideMark/>
          </w:tcPr>
          <w:p w14:paraId="492110C6" w14:textId="77777777" w:rsidR="00000000" w:rsidRDefault="00EB4933">
            <w:pPr>
              <w:pStyle w:val="NormalWeb"/>
              <w:spacing w:before="0" w:beforeAutospacing="0" w:after="0" w:afterAutospacing="0"/>
              <w:jc w:val="both"/>
              <w:rPr>
                <w:sz w:val="20"/>
                <w:szCs w:val="20"/>
              </w:rPr>
            </w:pPr>
            <w:r>
              <w:rPr>
                <w:sz w:val="20"/>
                <w:szCs w:val="20"/>
              </w:rPr>
              <w:t xml:space="preserve">(1) </w:t>
            </w:r>
          </w:p>
        </w:tc>
        <w:tc>
          <w:tcPr>
            <w:tcW w:w="0" w:type="auto"/>
            <w:hideMark/>
          </w:tcPr>
          <w:p w14:paraId="148D5C4A" w14:textId="77777777" w:rsidR="00000000" w:rsidRDefault="00EB4933">
            <w:pPr>
              <w:jc w:val="both"/>
              <w:rPr>
                <w:rFonts w:eastAsia="Times New Roman"/>
                <w:sz w:val="20"/>
                <w:szCs w:val="20"/>
              </w:rPr>
            </w:pPr>
            <w:r>
              <w:rPr>
                <w:rFonts w:eastAsia="Times New Roman"/>
                <w:sz w:val="20"/>
                <w:szCs w:val="20"/>
              </w:rPr>
              <w:t>Includes 22,999,386 ordinary shares held by Perfect Lead International Limited (“Perfect Lead”</w:t>
            </w:r>
            <w:r>
              <w:rPr>
                <w:rFonts w:eastAsia="Times New Roman"/>
                <w:sz w:val="20"/>
                <w:szCs w:val="20"/>
              </w:rPr>
              <w:t>) and 864,280,851 ordinary shares held by Honest Plus Investments Limited (“Honest Plus”). Mr. Wei is the sole director of Honest Plus and Perfect Lead, (ii) the sole shareholder of Perfect Lead, and (iii) an indirect controlling shareholder of Honest Plus</w:t>
            </w:r>
            <w:r>
              <w:rPr>
                <w:rFonts w:eastAsia="Times New Roman"/>
                <w:sz w:val="20"/>
                <w:szCs w:val="20"/>
              </w:rPr>
              <w:t>.</w:t>
            </w:r>
          </w:p>
        </w:tc>
      </w:tr>
      <w:tr w:rsidR="00000000" w14:paraId="1902C8A3" w14:textId="77777777">
        <w:trPr>
          <w:divId w:val="98525094"/>
          <w:trHeight w:val="225"/>
          <w:tblCellSpacing w:w="15" w:type="dxa"/>
        </w:trPr>
        <w:tc>
          <w:tcPr>
            <w:tcW w:w="0" w:type="auto"/>
            <w:vAlign w:val="center"/>
            <w:hideMark/>
          </w:tcPr>
          <w:p w14:paraId="2208520A"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4401217"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18D3C5E1" w14:textId="77777777">
        <w:trPr>
          <w:divId w:val="98525094"/>
          <w:trHeight w:val="225"/>
          <w:tblCellSpacing w:w="15" w:type="dxa"/>
        </w:trPr>
        <w:tc>
          <w:tcPr>
            <w:tcW w:w="0" w:type="auto"/>
            <w:hideMark/>
          </w:tcPr>
          <w:p w14:paraId="1AD7C53F" w14:textId="77777777" w:rsidR="00000000" w:rsidRDefault="00EB4933">
            <w:pPr>
              <w:pStyle w:val="NormalWeb"/>
              <w:spacing w:before="0" w:beforeAutospacing="0" w:after="0" w:afterAutospacing="0"/>
              <w:jc w:val="both"/>
              <w:rPr>
                <w:sz w:val="20"/>
                <w:szCs w:val="20"/>
              </w:rPr>
            </w:pPr>
            <w:r>
              <w:rPr>
                <w:sz w:val="20"/>
                <w:szCs w:val="20"/>
              </w:rPr>
              <w:t xml:space="preserve">(2) </w:t>
            </w:r>
          </w:p>
        </w:tc>
        <w:tc>
          <w:tcPr>
            <w:tcW w:w="0" w:type="auto"/>
            <w:hideMark/>
          </w:tcPr>
          <w:p w14:paraId="62B6C5EB" w14:textId="77777777" w:rsidR="00000000" w:rsidRDefault="00EB4933">
            <w:pPr>
              <w:jc w:val="both"/>
              <w:rPr>
                <w:rFonts w:eastAsia="Times New Roman"/>
                <w:sz w:val="20"/>
                <w:szCs w:val="20"/>
              </w:rPr>
            </w:pPr>
            <w:r>
              <w:rPr>
                <w:rFonts w:eastAsia="Times New Roman"/>
                <w:sz w:val="20"/>
                <w:szCs w:val="20"/>
              </w:rPr>
              <w:t>Excludes the following indirect beneficial owners of Honest Plus: Luxuriant Mount Limited, a British Virgin Islands company, (which holds approximately 55.8% ownership interest in Honest Plus and is controlled by Mr. Wei), Right Praise Limited</w:t>
            </w:r>
            <w:r>
              <w:rPr>
                <w:rFonts w:eastAsia="Times New Roman"/>
                <w:sz w:val="20"/>
                <w:szCs w:val="20"/>
              </w:rPr>
              <w:t>, a British Virgin Islands company,(which owns approximately 20.1% ownership interest in Honest Plus and is controlled by Yang Sizhi), Blissful Sino Limited, a British Virgin Islands company, (which owns approximately 10.8% ownership interest in Honest Plu</w:t>
            </w:r>
            <w:r>
              <w:rPr>
                <w:rFonts w:eastAsia="Times New Roman"/>
                <w:sz w:val="20"/>
                <w:szCs w:val="20"/>
              </w:rPr>
              <w:t>s), and Hesperus Investments Limited, a British Virgin Islands company, (which owns approximately 13.3% ownership interest in Honest Plus and is controlled by Ms. Xiao).</w:t>
            </w:r>
          </w:p>
        </w:tc>
      </w:tr>
    </w:tbl>
    <w:p w14:paraId="0F5B05BC"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570B72D" w14:textId="77777777">
        <w:trPr>
          <w:divId w:val="98525094"/>
          <w:trHeight w:val="225"/>
          <w:tblCellSpacing w:w="15" w:type="dxa"/>
        </w:trPr>
        <w:tc>
          <w:tcPr>
            <w:tcW w:w="0" w:type="auto"/>
            <w:vAlign w:val="center"/>
            <w:hideMark/>
          </w:tcPr>
          <w:p w14:paraId="31F7AB3B" w14:textId="77777777" w:rsidR="00000000" w:rsidRDefault="00EB4933">
            <w:pPr>
              <w:rPr>
                <w:rFonts w:eastAsia="Times New Roman"/>
                <w:sz w:val="20"/>
                <w:szCs w:val="20"/>
              </w:rPr>
            </w:pPr>
            <w:r>
              <w:rPr>
                <w:rFonts w:eastAsia="Times New Roman"/>
                <w:sz w:val="20"/>
                <w:szCs w:val="20"/>
              </w:rPr>
              <w:t> </w:t>
            </w:r>
          </w:p>
        </w:tc>
      </w:tr>
      <w:tr w:rsidR="00000000" w14:paraId="59413076" w14:textId="77777777">
        <w:trPr>
          <w:divId w:val="98525094"/>
          <w:trHeight w:val="225"/>
          <w:tblCellSpacing w:w="15" w:type="dxa"/>
        </w:trPr>
        <w:tc>
          <w:tcPr>
            <w:tcW w:w="0" w:type="auto"/>
            <w:tcBorders>
              <w:bottom w:val="single" w:sz="6" w:space="0" w:color="000000"/>
            </w:tcBorders>
            <w:vAlign w:val="center"/>
            <w:hideMark/>
          </w:tcPr>
          <w:p w14:paraId="502FEA6D" w14:textId="77777777" w:rsidR="00000000" w:rsidRDefault="00EB4933">
            <w:pPr>
              <w:jc w:val="center"/>
              <w:rPr>
                <w:rFonts w:eastAsia="Times New Roman"/>
                <w:sz w:val="20"/>
                <w:szCs w:val="20"/>
              </w:rPr>
            </w:pPr>
            <w:r>
              <w:rPr>
                <w:rFonts w:eastAsia="Times New Roman"/>
                <w:sz w:val="20"/>
                <w:szCs w:val="20"/>
              </w:rPr>
              <w:t>80</w:t>
            </w:r>
          </w:p>
        </w:tc>
      </w:tr>
      <w:tr w:rsidR="00000000" w14:paraId="0480AD3D" w14:textId="77777777">
        <w:trPr>
          <w:divId w:val="98525094"/>
          <w:trHeight w:val="225"/>
          <w:tblCellSpacing w:w="15" w:type="dxa"/>
        </w:trPr>
        <w:tc>
          <w:tcPr>
            <w:tcW w:w="0" w:type="auto"/>
            <w:vAlign w:val="center"/>
            <w:hideMark/>
          </w:tcPr>
          <w:p w14:paraId="34ED090B" w14:textId="77777777" w:rsidR="00000000" w:rsidRDefault="00EB4933">
            <w:pPr>
              <w:rPr>
                <w:rFonts w:eastAsia="Times New Roman"/>
                <w:sz w:val="20"/>
                <w:szCs w:val="20"/>
              </w:rPr>
            </w:pPr>
          </w:p>
        </w:tc>
      </w:tr>
      <w:tr w:rsidR="00000000" w14:paraId="4946CB57" w14:textId="77777777">
        <w:trPr>
          <w:divId w:val="98525094"/>
          <w:trHeight w:val="225"/>
          <w:tblCellSpacing w:w="15" w:type="dxa"/>
        </w:trPr>
        <w:tc>
          <w:tcPr>
            <w:tcW w:w="0" w:type="auto"/>
            <w:vAlign w:val="center"/>
            <w:hideMark/>
          </w:tcPr>
          <w:p w14:paraId="5782A027" w14:textId="77777777" w:rsidR="00000000" w:rsidRDefault="00EB4933">
            <w:pPr>
              <w:rPr>
                <w:rFonts w:eastAsia="Times New Roman"/>
                <w:sz w:val="20"/>
                <w:szCs w:val="20"/>
              </w:rPr>
            </w:pPr>
            <w:hyperlink r:id="rId140" w:anchor="toc" w:history="1">
              <w:r>
                <w:rPr>
                  <w:rStyle w:val="Hyperlink"/>
                  <w:rFonts w:eastAsia="Times New Roman"/>
                  <w:i/>
                  <w:iCs/>
                  <w:sz w:val="20"/>
                  <w:szCs w:val="20"/>
                </w:rPr>
                <w:t>Table of Contents</w:t>
              </w:r>
            </w:hyperlink>
          </w:p>
        </w:tc>
      </w:tr>
    </w:tbl>
    <w:p w14:paraId="3BF393E9"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0A7E1A2E" w14:textId="77777777" w:rsidR="00000000" w:rsidRDefault="00EB4933">
      <w:pPr>
        <w:pStyle w:val="NormalWeb"/>
        <w:spacing w:before="0" w:beforeAutospacing="0" w:after="0" w:afterAutospacing="0"/>
        <w:jc w:val="both"/>
        <w:divId w:val="98525094"/>
        <w:rPr>
          <w:sz w:val="20"/>
          <w:szCs w:val="20"/>
        </w:rPr>
      </w:pPr>
      <w:bookmarkStart w:id="11" w:name="i7"/>
      <w:r>
        <w:rPr>
          <w:rStyle w:val="Strong"/>
          <w:sz w:val="20"/>
          <w:szCs w:val="20"/>
        </w:rPr>
        <w:t>ITEM 7. MAJOR SHAREHOLDERS AND RELATED PARTY TRANSACTIONS</w:t>
      </w:r>
      <w:bookmarkEnd w:id="11"/>
    </w:p>
    <w:p w14:paraId="22BF039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4F9B07E" w14:textId="77777777" w:rsidR="00000000" w:rsidRDefault="00EB4933">
      <w:pPr>
        <w:pStyle w:val="NormalWeb"/>
        <w:spacing w:before="0" w:beforeAutospacing="0" w:after="0" w:afterAutospacing="0"/>
        <w:jc w:val="both"/>
        <w:divId w:val="98525094"/>
        <w:rPr>
          <w:sz w:val="20"/>
          <w:szCs w:val="20"/>
        </w:rPr>
      </w:pPr>
      <w:r>
        <w:rPr>
          <w:rStyle w:val="Strong"/>
          <w:sz w:val="20"/>
          <w:szCs w:val="20"/>
        </w:rPr>
        <w:t>A. Major Shareholders</w:t>
      </w:r>
      <w:r>
        <w:rPr>
          <w:sz w:val="20"/>
          <w:szCs w:val="20"/>
        </w:rPr>
        <w:t xml:space="preserve"> </w:t>
      </w:r>
    </w:p>
    <w:p w14:paraId="49F4962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7325CB2" w14:textId="77777777" w:rsidR="00000000" w:rsidRDefault="00EB4933">
      <w:pPr>
        <w:pStyle w:val="NormalWeb"/>
        <w:spacing w:before="0" w:beforeAutospacing="0" w:after="0" w:afterAutospacing="0"/>
        <w:ind w:firstLine="675"/>
        <w:jc w:val="both"/>
        <w:divId w:val="98525094"/>
        <w:rPr>
          <w:sz w:val="20"/>
          <w:szCs w:val="20"/>
        </w:rPr>
      </w:pPr>
      <w:r>
        <w:rPr>
          <w:sz w:val="20"/>
          <w:szCs w:val="20"/>
        </w:rPr>
        <w:t>Please refer to “Item 6. Directors, Senior Management and Employees—E. Share Ownership.”</w:t>
      </w:r>
    </w:p>
    <w:p w14:paraId="721AE76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D2CA3AE"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of December 31, 2019, we had 1,001,131,400 ordinary shares issued and outstan</w:t>
      </w:r>
      <w:r>
        <w:rPr>
          <w:sz w:val="20"/>
          <w:szCs w:val="20"/>
        </w:rPr>
        <w:t>ding, and Deutsche Bank Trust Company Americas, as the depositary of our ADS facility, was the only record holder of our ordinary shares in the United States, holding 108,711,840 ordinary shares or 2,264,831 ADSs or approximately 10.9% of our total outstan</w:t>
      </w:r>
      <w:r>
        <w:rPr>
          <w:sz w:val="20"/>
          <w:szCs w:val="20"/>
        </w:rPr>
        <w:t>ding ordinary shares. The number of beneficial owners of our ADSs in the United States is likely much larger than the number of record holders of our ordinary shares in the United States.</w:t>
      </w:r>
    </w:p>
    <w:p w14:paraId="048FF97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26321DB" w14:textId="77777777" w:rsidR="00000000" w:rsidRDefault="00EB4933">
      <w:pPr>
        <w:pStyle w:val="NormalWeb"/>
        <w:spacing w:before="0" w:beforeAutospacing="0" w:after="0" w:afterAutospacing="0"/>
        <w:ind w:firstLine="675"/>
        <w:jc w:val="both"/>
        <w:divId w:val="98525094"/>
        <w:rPr>
          <w:sz w:val="20"/>
          <w:szCs w:val="20"/>
        </w:rPr>
      </w:pPr>
      <w:r>
        <w:rPr>
          <w:sz w:val="20"/>
          <w:szCs w:val="20"/>
        </w:rPr>
        <w:t>None of our existing shareholders has voting rights that differ fr</w:t>
      </w:r>
      <w:r>
        <w:rPr>
          <w:sz w:val="20"/>
          <w:szCs w:val="20"/>
        </w:rPr>
        <w:t>om the voting rights of our other shareholders. To the best of our knowledge, we are not directly or indirectly controlled by another corporation, by any foreign government or by any other natural or legal person, severally or jointly, not disclosed in thi</w:t>
      </w:r>
      <w:r>
        <w:rPr>
          <w:sz w:val="20"/>
          <w:szCs w:val="20"/>
        </w:rPr>
        <w:t>s annual report. We are not aware of any arrangement that may, at a subsequent date, result in a change of control of our company.</w:t>
      </w:r>
    </w:p>
    <w:p w14:paraId="5016822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A8D24B0" w14:textId="77777777" w:rsidR="00000000" w:rsidRDefault="00EB4933">
      <w:pPr>
        <w:pStyle w:val="NormalWeb"/>
        <w:spacing w:before="0" w:beforeAutospacing="0" w:after="0" w:afterAutospacing="0"/>
        <w:jc w:val="both"/>
        <w:divId w:val="98525094"/>
        <w:rPr>
          <w:sz w:val="20"/>
          <w:szCs w:val="20"/>
        </w:rPr>
      </w:pPr>
      <w:r>
        <w:rPr>
          <w:rStyle w:val="Strong"/>
          <w:sz w:val="20"/>
          <w:szCs w:val="20"/>
        </w:rPr>
        <w:t>B. Related Party Transactions</w:t>
      </w:r>
      <w:r>
        <w:rPr>
          <w:sz w:val="20"/>
          <w:szCs w:val="20"/>
        </w:rPr>
        <w:t xml:space="preserve"> </w:t>
      </w:r>
    </w:p>
    <w:p w14:paraId="63C51EB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C386E2F" w14:textId="77777777" w:rsidR="00000000" w:rsidRDefault="00EB4933">
      <w:pPr>
        <w:pStyle w:val="NormalWeb"/>
        <w:spacing w:before="0" w:beforeAutospacing="0" w:after="0" w:afterAutospacing="0"/>
        <w:ind w:firstLine="675"/>
        <w:jc w:val="both"/>
        <w:divId w:val="98525094"/>
        <w:rPr>
          <w:sz w:val="20"/>
          <w:szCs w:val="20"/>
        </w:rPr>
      </w:pPr>
      <w:r>
        <w:rPr>
          <w:sz w:val="20"/>
          <w:szCs w:val="20"/>
        </w:rPr>
        <w:t>After the completion of our initial public offering on November 29, 2010, we adopted an au</w:t>
      </w:r>
      <w:r>
        <w:rPr>
          <w:sz w:val="20"/>
          <w:szCs w:val="20"/>
        </w:rPr>
        <w:t>dit committee charter, which requires that the audit committee review all related party transactions on an ongoing basis and all such transactions be approved by the committee. Set forth below is a description of all of our material related party transacti</w:t>
      </w:r>
      <w:r>
        <w:rPr>
          <w:sz w:val="20"/>
          <w:szCs w:val="20"/>
        </w:rPr>
        <w:t>ons since the beginning of 2016 up to the date of this annual report.</w:t>
      </w:r>
    </w:p>
    <w:p w14:paraId="3BE7C5C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59B7926" w14:textId="77777777" w:rsidR="00000000" w:rsidRDefault="00EB4933">
      <w:pPr>
        <w:pStyle w:val="NormalWeb"/>
        <w:spacing w:before="0" w:beforeAutospacing="0" w:after="0" w:afterAutospacing="0"/>
        <w:jc w:val="both"/>
        <w:divId w:val="98525094"/>
        <w:rPr>
          <w:sz w:val="20"/>
          <w:szCs w:val="20"/>
        </w:rPr>
      </w:pPr>
      <w:r>
        <w:rPr>
          <w:rStyle w:val="Strong"/>
          <w:sz w:val="20"/>
          <w:szCs w:val="20"/>
        </w:rPr>
        <w:t>Contractual Arrangements with Our VIE and Their Shareholders</w:t>
      </w:r>
    </w:p>
    <w:p w14:paraId="78838B6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988F8FD"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currently engage and operate our microfinance business through Chutian, our VIE operating company, through the VIE Agr</w:t>
      </w:r>
      <w:r>
        <w:rPr>
          <w:sz w:val="20"/>
          <w:szCs w:val="20"/>
        </w:rPr>
        <w:t>eements. For a description of these VIE Agreements, see “Item 4.A. History and Development of the Company.”</w:t>
      </w:r>
    </w:p>
    <w:p w14:paraId="46C4EFD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C3183C4" w14:textId="77777777" w:rsidR="00000000" w:rsidRDefault="00EB4933">
      <w:pPr>
        <w:pStyle w:val="NormalWeb"/>
        <w:spacing w:before="0" w:beforeAutospacing="0" w:after="0" w:afterAutospacing="0"/>
        <w:jc w:val="both"/>
        <w:divId w:val="98525094"/>
        <w:rPr>
          <w:sz w:val="20"/>
          <w:szCs w:val="20"/>
        </w:rPr>
      </w:pPr>
      <w:r>
        <w:rPr>
          <w:rStyle w:val="Strong"/>
          <w:sz w:val="20"/>
          <w:szCs w:val="20"/>
        </w:rPr>
        <w:t>1</w:t>
      </w:r>
      <w:r>
        <w:rPr>
          <w:rStyle w:val="Strong"/>
          <w:rFonts w:ascii="MS Mincho" w:eastAsia="MS Mincho" w:hAnsi="MS Mincho" w:cs="MS Mincho" w:hint="eastAsia"/>
          <w:sz w:val="20"/>
          <w:szCs w:val="20"/>
        </w:rPr>
        <w:t>．</w:t>
      </w:r>
      <w:r>
        <w:rPr>
          <w:rStyle w:val="Strong"/>
          <w:sz w:val="20"/>
          <w:szCs w:val="20"/>
        </w:rPr>
        <w:t xml:space="preserve">Lease of office space from a shareholder </w:t>
      </w:r>
    </w:p>
    <w:p w14:paraId="6298B15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6D77CB2"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September 2012, a ten-year operating lease agreement from October 8, 2012 to October 7, 2022 was entered into with Hubei Daily Media Group, a shareholder who owned 20% of the variable interest entity, in Wuhan City, Hubei Province, where office space of</w:t>
      </w:r>
      <w:r>
        <w:rPr>
          <w:sz w:val="20"/>
          <w:szCs w:val="20"/>
        </w:rPr>
        <w:t xml:space="preserve"> approximately 1,673 square meters was leased and the office is located at 6th Floor, Block 1, Hubei Daily Cultural Creative Industrial Park, No 181 Donghu Road, Wuchang District, Wuhan City, Hubei Province, China. The lease amount is RMB1.0 million per ye</w:t>
      </w:r>
      <w:r>
        <w:rPr>
          <w:sz w:val="20"/>
          <w:szCs w:val="20"/>
        </w:rPr>
        <w:t>ar for the first five years and RMB1.1 million per year for the last five years. The lease was terminated in December 2018. The lease expenses of RMB1.2 million, RMB1.3 million and nil were incurred for the years ended December 31, 2017, 2018 and 2019, res</w:t>
      </w:r>
      <w:r>
        <w:rPr>
          <w:sz w:val="20"/>
          <w:szCs w:val="20"/>
        </w:rPr>
        <w:t>pectively.</w:t>
      </w:r>
    </w:p>
    <w:p w14:paraId="63D76D56"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5A8A70AE"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of December 31, 2018 and 2019, prepaid rental to a shareholder were RMB0.4 million and nil, respectively.</w:t>
      </w:r>
    </w:p>
    <w:p w14:paraId="0C11A765"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04389FE" w14:textId="77777777">
        <w:trPr>
          <w:divId w:val="98525094"/>
          <w:trHeight w:val="225"/>
          <w:tblCellSpacing w:w="15" w:type="dxa"/>
        </w:trPr>
        <w:tc>
          <w:tcPr>
            <w:tcW w:w="0" w:type="auto"/>
            <w:vAlign w:val="center"/>
            <w:hideMark/>
          </w:tcPr>
          <w:p w14:paraId="1C4F7B8D" w14:textId="77777777" w:rsidR="00000000" w:rsidRDefault="00EB4933">
            <w:pPr>
              <w:rPr>
                <w:rFonts w:eastAsia="Times New Roman"/>
                <w:sz w:val="20"/>
                <w:szCs w:val="20"/>
              </w:rPr>
            </w:pPr>
            <w:r>
              <w:rPr>
                <w:rFonts w:eastAsia="Times New Roman"/>
                <w:sz w:val="20"/>
                <w:szCs w:val="20"/>
              </w:rPr>
              <w:t> </w:t>
            </w:r>
          </w:p>
        </w:tc>
      </w:tr>
      <w:tr w:rsidR="00000000" w14:paraId="03B9DA3D" w14:textId="77777777">
        <w:trPr>
          <w:divId w:val="98525094"/>
          <w:trHeight w:val="225"/>
          <w:tblCellSpacing w:w="15" w:type="dxa"/>
        </w:trPr>
        <w:tc>
          <w:tcPr>
            <w:tcW w:w="0" w:type="auto"/>
            <w:tcBorders>
              <w:bottom w:val="single" w:sz="6" w:space="0" w:color="000000"/>
            </w:tcBorders>
            <w:vAlign w:val="center"/>
            <w:hideMark/>
          </w:tcPr>
          <w:p w14:paraId="2A11B0D6" w14:textId="77777777" w:rsidR="00000000" w:rsidRDefault="00EB4933">
            <w:pPr>
              <w:jc w:val="center"/>
              <w:rPr>
                <w:rFonts w:eastAsia="Times New Roman"/>
                <w:sz w:val="20"/>
                <w:szCs w:val="20"/>
              </w:rPr>
            </w:pPr>
            <w:r>
              <w:rPr>
                <w:rFonts w:eastAsia="Times New Roman"/>
                <w:sz w:val="20"/>
                <w:szCs w:val="20"/>
              </w:rPr>
              <w:t>81</w:t>
            </w:r>
          </w:p>
        </w:tc>
      </w:tr>
      <w:tr w:rsidR="00000000" w14:paraId="761683D4" w14:textId="77777777">
        <w:trPr>
          <w:divId w:val="98525094"/>
          <w:trHeight w:val="225"/>
          <w:tblCellSpacing w:w="15" w:type="dxa"/>
        </w:trPr>
        <w:tc>
          <w:tcPr>
            <w:tcW w:w="0" w:type="auto"/>
            <w:vAlign w:val="center"/>
            <w:hideMark/>
          </w:tcPr>
          <w:p w14:paraId="0BF5F722" w14:textId="77777777" w:rsidR="00000000" w:rsidRDefault="00EB4933">
            <w:pPr>
              <w:rPr>
                <w:rFonts w:eastAsia="Times New Roman"/>
                <w:sz w:val="20"/>
                <w:szCs w:val="20"/>
              </w:rPr>
            </w:pPr>
          </w:p>
        </w:tc>
      </w:tr>
      <w:tr w:rsidR="00000000" w14:paraId="303A61DA" w14:textId="77777777">
        <w:trPr>
          <w:divId w:val="98525094"/>
          <w:trHeight w:val="225"/>
          <w:tblCellSpacing w:w="15" w:type="dxa"/>
        </w:trPr>
        <w:tc>
          <w:tcPr>
            <w:tcW w:w="0" w:type="auto"/>
            <w:vAlign w:val="center"/>
            <w:hideMark/>
          </w:tcPr>
          <w:p w14:paraId="58CC49DC" w14:textId="77777777" w:rsidR="00000000" w:rsidRDefault="00EB4933">
            <w:pPr>
              <w:rPr>
                <w:rFonts w:eastAsia="Times New Roman"/>
                <w:sz w:val="20"/>
                <w:szCs w:val="20"/>
              </w:rPr>
            </w:pPr>
            <w:hyperlink r:id="rId141" w:anchor="toc" w:history="1">
              <w:r>
                <w:rPr>
                  <w:rStyle w:val="Hyperlink"/>
                  <w:rFonts w:eastAsia="Times New Roman"/>
                  <w:i/>
                  <w:iCs/>
                  <w:sz w:val="20"/>
                  <w:szCs w:val="20"/>
                </w:rPr>
                <w:t>Table of Contents</w:t>
              </w:r>
            </w:hyperlink>
          </w:p>
        </w:tc>
      </w:tr>
    </w:tbl>
    <w:p w14:paraId="4AC8B55F"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10E2DACD" w14:textId="77777777" w:rsidR="00000000" w:rsidRDefault="00EB4933">
      <w:pPr>
        <w:pStyle w:val="NormalWeb"/>
        <w:spacing w:before="0" w:beforeAutospacing="0" w:after="0" w:afterAutospacing="0"/>
        <w:jc w:val="both"/>
        <w:divId w:val="98525094"/>
        <w:rPr>
          <w:sz w:val="20"/>
          <w:szCs w:val="20"/>
        </w:rPr>
      </w:pPr>
      <w:r>
        <w:rPr>
          <w:rStyle w:val="Strong"/>
          <w:sz w:val="20"/>
          <w:szCs w:val="20"/>
        </w:rPr>
        <w:t>2. Subleasing income with a related party</w:t>
      </w:r>
    </w:p>
    <w:p w14:paraId="69F0A36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FBA1B82"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In 2017, 2018 and 2019, a subleasing agreement was entered into with Hubei New Nature Investment Co., Ltd, a company that is 80.8% owned by the Chairman and the Chief Executive Officer, Mr Ricky Qizhi Wei, to sublease office spaces of approximately 304 squ</w:t>
      </w:r>
      <w:r>
        <w:rPr>
          <w:sz w:val="20"/>
          <w:szCs w:val="20"/>
        </w:rPr>
        <w:t>are meters for RMB0.2 million, RMB0.2 million and nil, respectively.</w:t>
      </w:r>
    </w:p>
    <w:p w14:paraId="31BE29B0"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7520825"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of December 31, 2018 and 2019, receivable from a related party was RMB0.3 million and nil, respectively.</w:t>
      </w:r>
    </w:p>
    <w:p w14:paraId="510F710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86FB723" w14:textId="77777777" w:rsidR="00000000" w:rsidRDefault="00EB4933">
      <w:pPr>
        <w:pStyle w:val="NormalWeb"/>
        <w:spacing w:before="0" w:beforeAutospacing="0" w:after="0" w:afterAutospacing="0"/>
        <w:jc w:val="both"/>
        <w:divId w:val="98525094"/>
        <w:rPr>
          <w:sz w:val="20"/>
          <w:szCs w:val="20"/>
        </w:rPr>
      </w:pPr>
      <w:r>
        <w:rPr>
          <w:rStyle w:val="Strong"/>
          <w:sz w:val="20"/>
          <w:szCs w:val="20"/>
        </w:rPr>
        <w:t>3. Loans payable to related parties</w:t>
      </w:r>
    </w:p>
    <w:p w14:paraId="50D1B04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7636EBB" w14:textId="77777777" w:rsidR="00000000" w:rsidRDefault="00EB4933">
      <w:pPr>
        <w:pStyle w:val="NormalWeb"/>
        <w:spacing w:before="0" w:beforeAutospacing="0" w:after="0" w:afterAutospacing="0"/>
        <w:ind w:firstLine="675"/>
        <w:jc w:val="both"/>
        <w:divId w:val="98525094"/>
        <w:rPr>
          <w:sz w:val="20"/>
          <w:szCs w:val="20"/>
        </w:rPr>
      </w:pPr>
      <w:r>
        <w:rPr>
          <w:sz w:val="20"/>
          <w:szCs w:val="20"/>
        </w:rPr>
        <w:t>3.1 In 2018, loans payable of RMB60.0</w:t>
      </w:r>
      <w:r>
        <w:rPr>
          <w:sz w:val="20"/>
          <w:szCs w:val="20"/>
        </w:rPr>
        <w:t xml:space="preserve"> million were borrowed from a related party, Hubei Shanyin Wealth Management Co., Ltd, a company that is 69.5% owned by the Chairman and the Chief Executive Officer, Mr Ricky Qizhi Wei, at an interest rate of 9% per annum with maturity ranging from August </w:t>
      </w:r>
      <w:r>
        <w:rPr>
          <w:sz w:val="20"/>
          <w:szCs w:val="20"/>
        </w:rPr>
        <w:t xml:space="preserve">to October 2019. As of December 31, 2019, these loans payable and the related interest payable were overdue. The interest expenses were RMB1.4 million and RMB4.7 million in 2018 and 2019, respectively. </w:t>
      </w:r>
    </w:p>
    <w:p w14:paraId="5C9BA97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5AC20B08"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of December 31, 2018 and 2019, loans payable wer</w:t>
      </w:r>
      <w:r>
        <w:rPr>
          <w:sz w:val="20"/>
          <w:szCs w:val="20"/>
        </w:rPr>
        <w:t>e RMB60.0 million and RMB50.0 million and the related interest payable was RMB1.4 million and RMB5.9 million, respectively.</w:t>
      </w:r>
    </w:p>
    <w:p w14:paraId="612E1DF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13FF0A2" w14:textId="77777777" w:rsidR="00000000" w:rsidRDefault="00EB4933">
      <w:pPr>
        <w:pStyle w:val="NormalWeb"/>
        <w:spacing w:before="0" w:beforeAutospacing="0" w:after="0" w:afterAutospacing="0"/>
        <w:ind w:firstLine="675"/>
        <w:jc w:val="both"/>
        <w:divId w:val="98525094"/>
        <w:rPr>
          <w:sz w:val="20"/>
          <w:szCs w:val="20"/>
        </w:rPr>
      </w:pPr>
      <w:r>
        <w:rPr>
          <w:sz w:val="20"/>
          <w:szCs w:val="20"/>
        </w:rPr>
        <w:t>3.2 In 2018, loans payable of RMB20.0 million were borrowed from a related party, Hubei New Nature Investment Co., Ltd (“Hubei New</w:t>
      </w:r>
      <w:r>
        <w:rPr>
          <w:sz w:val="20"/>
          <w:szCs w:val="20"/>
        </w:rPr>
        <w:t xml:space="preserve"> Nature”), a company that is 80.8% owned by the Chairman and the Chief Executive Officer, Mr Ricky Qizhi Wei, at an interest rate of 12% per annum and repayable in November 2019. In December 2018, loan of RMB0.5 million was repaid. In 2019, loans payable o</w:t>
      </w:r>
      <w:r>
        <w:rPr>
          <w:sz w:val="20"/>
          <w:szCs w:val="20"/>
        </w:rPr>
        <w:t xml:space="preserve">f RMB17.4 million were further borrowed, loans of RMB14.7 million were repaid. In 2019, certain loans receivable were novated to Hubei New Nature to offset against loans payable of RMB9.9 million and interest payable of RMB3.1 million to Hubei New Nature. </w:t>
      </w:r>
      <w:r>
        <w:rPr>
          <w:sz w:val="20"/>
          <w:szCs w:val="20"/>
        </w:rPr>
        <w:t xml:space="preserve">The interest expenses were RMB0.3 million and RMB3.0 million in 2018 and 2019, respectively. </w:t>
      </w:r>
    </w:p>
    <w:p w14:paraId="4CFF4C45"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91DCF9A"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of December 31, 2018 and 2019, loans payable were RMB19.5 million and RMB12.3 million and the related interest payable was RMB259,000 and RMB127,000, respect</w:t>
      </w:r>
      <w:r>
        <w:rPr>
          <w:sz w:val="20"/>
          <w:szCs w:val="20"/>
        </w:rPr>
        <w:t>ively.</w:t>
      </w:r>
    </w:p>
    <w:p w14:paraId="07B22D4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59809B3E" w14:textId="77777777" w:rsidR="00000000" w:rsidRDefault="00EB4933">
      <w:pPr>
        <w:pStyle w:val="NormalWeb"/>
        <w:spacing w:before="0" w:beforeAutospacing="0" w:after="0" w:afterAutospacing="0"/>
        <w:ind w:firstLine="675"/>
        <w:jc w:val="both"/>
        <w:divId w:val="98525094"/>
        <w:rPr>
          <w:sz w:val="20"/>
          <w:szCs w:val="20"/>
        </w:rPr>
      </w:pPr>
      <w:r>
        <w:rPr>
          <w:sz w:val="20"/>
          <w:szCs w:val="20"/>
        </w:rPr>
        <w:t>3.3 In 2018, loans payable of RMB8.0 million were borrowed from a related party, Hubei New Chutaifu Asset Management Co., Ltd, a company that is 50% owned by Hubei New Nature Investment Co., Ltd, a company that is 80.8% owned by the Chairman and t</w:t>
      </w:r>
      <w:r>
        <w:rPr>
          <w:sz w:val="20"/>
          <w:szCs w:val="20"/>
        </w:rPr>
        <w:t>he Chief Executive Officer, Mr Ricky Qizhi Wei, at an interest rate of 8% per annum and the loan duration was 97 days. The interest expenses were RMB0.2 million in 2018. The loan and related interest payable were fully repaid in 2018.</w:t>
      </w:r>
    </w:p>
    <w:p w14:paraId="35D0832C"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31710D3" w14:textId="77777777">
        <w:trPr>
          <w:divId w:val="98525094"/>
          <w:trHeight w:val="225"/>
          <w:tblCellSpacing w:w="15" w:type="dxa"/>
        </w:trPr>
        <w:tc>
          <w:tcPr>
            <w:tcW w:w="0" w:type="auto"/>
            <w:vAlign w:val="center"/>
            <w:hideMark/>
          </w:tcPr>
          <w:p w14:paraId="1B450D2C" w14:textId="77777777" w:rsidR="00000000" w:rsidRDefault="00EB4933">
            <w:pPr>
              <w:rPr>
                <w:rFonts w:eastAsia="Times New Roman"/>
                <w:sz w:val="20"/>
                <w:szCs w:val="20"/>
              </w:rPr>
            </w:pPr>
            <w:r>
              <w:rPr>
                <w:rFonts w:eastAsia="Times New Roman"/>
                <w:sz w:val="20"/>
                <w:szCs w:val="20"/>
              </w:rPr>
              <w:t> </w:t>
            </w:r>
          </w:p>
        </w:tc>
      </w:tr>
      <w:tr w:rsidR="00000000" w14:paraId="369E6B7C" w14:textId="77777777">
        <w:trPr>
          <w:divId w:val="98525094"/>
          <w:trHeight w:val="225"/>
          <w:tblCellSpacing w:w="15" w:type="dxa"/>
        </w:trPr>
        <w:tc>
          <w:tcPr>
            <w:tcW w:w="0" w:type="auto"/>
            <w:tcBorders>
              <w:bottom w:val="single" w:sz="6" w:space="0" w:color="000000"/>
            </w:tcBorders>
            <w:vAlign w:val="center"/>
            <w:hideMark/>
          </w:tcPr>
          <w:p w14:paraId="66ED3F33" w14:textId="77777777" w:rsidR="00000000" w:rsidRDefault="00EB4933">
            <w:pPr>
              <w:jc w:val="center"/>
              <w:rPr>
                <w:rFonts w:eastAsia="Times New Roman"/>
                <w:sz w:val="20"/>
                <w:szCs w:val="20"/>
              </w:rPr>
            </w:pPr>
            <w:r>
              <w:rPr>
                <w:rFonts w:eastAsia="Times New Roman"/>
                <w:sz w:val="20"/>
                <w:szCs w:val="20"/>
              </w:rPr>
              <w:t>82</w:t>
            </w:r>
          </w:p>
        </w:tc>
      </w:tr>
      <w:tr w:rsidR="00000000" w14:paraId="48553CEB" w14:textId="77777777">
        <w:trPr>
          <w:divId w:val="98525094"/>
          <w:trHeight w:val="225"/>
          <w:tblCellSpacing w:w="15" w:type="dxa"/>
        </w:trPr>
        <w:tc>
          <w:tcPr>
            <w:tcW w:w="0" w:type="auto"/>
            <w:vAlign w:val="center"/>
            <w:hideMark/>
          </w:tcPr>
          <w:p w14:paraId="768E335C" w14:textId="77777777" w:rsidR="00000000" w:rsidRDefault="00EB4933">
            <w:pPr>
              <w:rPr>
                <w:rFonts w:eastAsia="Times New Roman"/>
                <w:sz w:val="20"/>
                <w:szCs w:val="20"/>
              </w:rPr>
            </w:pPr>
          </w:p>
        </w:tc>
      </w:tr>
      <w:tr w:rsidR="00000000" w14:paraId="1A603142" w14:textId="77777777">
        <w:trPr>
          <w:divId w:val="98525094"/>
          <w:trHeight w:val="225"/>
          <w:tblCellSpacing w:w="15" w:type="dxa"/>
        </w:trPr>
        <w:tc>
          <w:tcPr>
            <w:tcW w:w="0" w:type="auto"/>
            <w:vAlign w:val="center"/>
            <w:hideMark/>
          </w:tcPr>
          <w:p w14:paraId="090EDDD0" w14:textId="77777777" w:rsidR="00000000" w:rsidRDefault="00EB4933">
            <w:pPr>
              <w:rPr>
                <w:rFonts w:eastAsia="Times New Roman"/>
                <w:sz w:val="20"/>
                <w:szCs w:val="20"/>
              </w:rPr>
            </w:pPr>
            <w:hyperlink r:id="rId142" w:anchor="toc" w:history="1">
              <w:r>
                <w:rPr>
                  <w:rStyle w:val="Hyperlink"/>
                  <w:rFonts w:eastAsia="Times New Roman"/>
                  <w:i/>
                  <w:iCs/>
                  <w:sz w:val="20"/>
                  <w:szCs w:val="20"/>
                </w:rPr>
                <w:t>Table of Contents</w:t>
              </w:r>
            </w:hyperlink>
          </w:p>
        </w:tc>
      </w:tr>
    </w:tbl>
    <w:p w14:paraId="774E6965"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162E3F48" w14:textId="77777777" w:rsidR="00000000" w:rsidRDefault="00EB4933">
      <w:pPr>
        <w:pStyle w:val="NormalWeb"/>
        <w:spacing w:before="0" w:beforeAutospacing="0" w:after="0" w:afterAutospacing="0"/>
        <w:jc w:val="both"/>
        <w:divId w:val="98525094"/>
        <w:rPr>
          <w:sz w:val="20"/>
          <w:szCs w:val="20"/>
        </w:rPr>
      </w:pPr>
      <w:r>
        <w:rPr>
          <w:rStyle w:val="Strong"/>
          <w:sz w:val="20"/>
          <w:szCs w:val="20"/>
        </w:rPr>
        <w:t>4. Loans payable to shareholders</w:t>
      </w:r>
    </w:p>
    <w:p w14:paraId="073E5CB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E787F3F" w14:textId="77777777" w:rsidR="00000000" w:rsidRDefault="00EB4933">
      <w:pPr>
        <w:pStyle w:val="NormalWeb"/>
        <w:spacing w:before="0" w:beforeAutospacing="0" w:after="0" w:afterAutospacing="0"/>
        <w:ind w:firstLine="675"/>
        <w:jc w:val="both"/>
        <w:divId w:val="98525094"/>
        <w:rPr>
          <w:sz w:val="20"/>
          <w:szCs w:val="20"/>
        </w:rPr>
      </w:pPr>
      <w:r>
        <w:rPr>
          <w:sz w:val="20"/>
          <w:szCs w:val="20"/>
        </w:rPr>
        <w:t>4.1 In June 2017, a loan payable of RMB10.0 million was borrowed from Wang Hailin, a shareholder who owned 7.7% of the variable interest entity, at 10% interest p</w:t>
      </w:r>
      <w:r>
        <w:rPr>
          <w:sz w:val="20"/>
          <w:szCs w:val="20"/>
        </w:rPr>
        <w:t>er annum. The interest expenses for this loan were RMB0.5 million and RMB1.3 million in 2017 and 2018, respectively. According to the loan extension agreement, the loan of RMB10.0 million is at interest rate of 15% per annum with additional 9% penalty inte</w:t>
      </w:r>
      <w:r>
        <w:rPr>
          <w:sz w:val="20"/>
          <w:szCs w:val="20"/>
        </w:rPr>
        <w:t xml:space="preserve">rest per annum and repayable in February 2019. Subsequent to year end, this loan payable was further extended to repayment date in September 2019, at 15% interest per annum with additional 9% penalty interest. </w:t>
      </w:r>
    </w:p>
    <w:p w14:paraId="6FB683C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7E9644C"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of December 31, 2018 and 2019, loans pay</w:t>
      </w:r>
      <w:r>
        <w:rPr>
          <w:sz w:val="20"/>
          <w:szCs w:val="20"/>
        </w:rPr>
        <w:t>able were RMB10.0 million and RMB10.0 million, respectively. As of December 31, 2018 and 2019, interest payable was RMB243,000 and RMB1.8 million, respectively.</w:t>
      </w:r>
    </w:p>
    <w:p w14:paraId="5FB981B6"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AB2159B" w14:textId="77777777" w:rsidR="00000000" w:rsidRDefault="00EB4933">
      <w:pPr>
        <w:pStyle w:val="NormalWeb"/>
        <w:spacing w:before="0" w:beforeAutospacing="0" w:after="0" w:afterAutospacing="0"/>
        <w:ind w:firstLine="675"/>
        <w:jc w:val="both"/>
        <w:divId w:val="98525094"/>
        <w:rPr>
          <w:sz w:val="20"/>
          <w:szCs w:val="20"/>
        </w:rPr>
      </w:pPr>
      <w:r>
        <w:rPr>
          <w:sz w:val="20"/>
          <w:szCs w:val="20"/>
        </w:rPr>
        <w:t>4.2 In 2017, loans payable of RMB28.6 million were borrowed from Li Ling, a shareholder who o</w:t>
      </w:r>
      <w:r>
        <w:rPr>
          <w:sz w:val="20"/>
          <w:szCs w:val="20"/>
        </w:rPr>
        <w:t>wned 2.5% of the variable interest entity, at 10% per annum interest from January 2017 to December 2017. The Group paid RMB1.2 million for interest on the loan from Li Ling. The loan and related interest payable were fully repaid in 2017.</w:t>
      </w:r>
    </w:p>
    <w:p w14:paraId="4CF3CA21"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 </w:t>
      </w:r>
    </w:p>
    <w:p w14:paraId="3F9E204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4.3 In 2018, a </w:t>
      </w:r>
      <w:r>
        <w:rPr>
          <w:sz w:val="20"/>
          <w:szCs w:val="20"/>
        </w:rPr>
        <w:t xml:space="preserve">loan payable of RMB5.0 million was borrowed from Li Ling, a shareholder who owned 2.5% of the variable interest entity, at 10% per annum for 230 days. The interest expense on this borrowing was RMB0.3 million in 2018. The loan and related interest payable </w:t>
      </w:r>
      <w:r>
        <w:rPr>
          <w:sz w:val="20"/>
          <w:szCs w:val="20"/>
        </w:rPr>
        <w:t>were fully repaid in 2018.</w:t>
      </w:r>
    </w:p>
    <w:p w14:paraId="3048A71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E3F2E1D" w14:textId="77777777" w:rsidR="00000000" w:rsidRDefault="00EB4933">
      <w:pPr>
        <w:pStyle w:val="NormalWeb"/>
        <w:spacing w:before="0" w:beforeAutospacing="0" w:after="0" w:afterAutospacing="0"/>
        <w:ind w:firstLine="675"/>
        <w:jc w:val="both"/>
        <w:divId w:val="98525094"/>
        <w:rPr>
          <w:sz w:val="20"/>
          <w:szCs w:val="20"/>
        </w:rPr>
      </w:pPr>
      <w:r>
        <w:rPr>
          <w:sz w:val="20"/>
          <w:szCs w:val="20"/>
        </w:rPr>
        <w:t>4.4 In 2019, loans payable of RMB3.0 million and RMB10.0 million were borrowed from Li Ling, a shareholder who owned 2.5% of the variable interest entity, at 12% per annum for 29 days and 74 days, respectively. At maturity, loa</w:t>
      </w:r>
      <w:r>
        <w:rPr>
          <w:sz w:val="20"/>
          <w:szCs w:val="20"/>
        </w:rPr>
        <w:t xml:space="preserve">n payable of RMB3.0 million and the related interest of RMB29,000 were fully repaid. Loan payable of RMB10.0 million was, however, overdue. On August 27, 2019, Li Ling applied to the Wuhan Wuchang People’s Court for pre-litigation property preservation of </w:t>
      </w:r>
      <w:r>
        <w:rPr>
          <w:sz w:val="20"/>
          <w:szCs w:val="20"/>
        </w:rPr>
        <w:t>respondents Chutian and Mr Ricky Qizhi Wei in connection with a loan contract dispute. Court issued a preservation order that froze the bank deposits of Chutian and Wei Qizhi in the amount of RMB12.0 million, or to seize or attach property in the correspon</w:t>
      </w:r>
      <w:r>
        <w:rPr>
          <w:sz w:val="20"/>
          <w:szCs w:val="20"/>
        </w:rPr>
        <w:t xml:space="preserve">ding value. </w:t>
      </w:r>
    </w:p>
    <w:p w14:paraId="08D90C0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9AFBF1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On October 9, 2019, the case was filed and accepted in the Wuhan Jiang’an People’s Court. Li Ling filed the following actions with the court: (1) that the two defendants Chutian and Mr Ricky Qizhi Wei repay the borrowed principal of RMB10.0 </w:t>
      </w:r>
      <w:r>
        <w:rPr>
          <w:sz w:val="20"/>
          <w:szCs w:val="20"/>
        </w:rPr>
        <w:t>million and interest of RMB787,500 (based on the interest rate of 1.125% per month on the principal of RMB10.0 million, calculated from February 1, 2019 until fully paid, currently calculated until August 30, 2019), and (2) the costs of litigation to be fu</w:t>
      </w:r>
      <w:r>
        <w:rPr>
          <w:sz w:val="20"/>
          <w:szCs w:val="20"/>
        </w:rPr>
        <w:t>lly borne by both defendants. On December 4, 2019, the court ruled that there was a valid loan relationship, that Chutian had failed to repay the loan as agreed and that Li Ling had the right to request full repayment of the loan principal and interest. Th</w:t>
      </w:r>
      <w:r>
        <w:rPr>
          <w:sz w:val="20"/>
          <w:szCs w:val="20"/>
        </w:rPr>
        <w:t>e court ordered Chutian to repay the principal amount of the loan of RMB10.0 million to Li Ling, and to pay the interest rate of 1.125% per month on the principal amount of RMB10.0 million, beginning February 2019 until the date the loan is fully paid. The</w:t>
      </w:r>
      <w:r>
        <w:rPr>
          <w:sz w:val="20"/>
          <w:szCs w:val="20"/>
        </w:rPr>
        <w:t xml:space="preserve"> court further ordered that Mr Ricky Qizhi Wei shall also be jointly and severally liable for the repayment of the loan. In the event that the repayment obligation is not fulfilled, the court ordered that the debt interest would be doubled in accordance wi</w:t>
      </w:r>
      <w:r>
        <w:rPr>
          <w:sz w:val="20"/>
          <w:szCs w:val="20"/>
        </w:rPr>
        <w:t>th PRC law.</w:t>
      </w:r>
    </w:p>
    <w:p w14:paraId="3641A41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F404FE3"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May 20, 2020, due to the failure of Chutian to fulfil its obligation to repay the principal amount determined above, the court issued a consumer restriction order against Mr Ricky Qizhi Wei to restrict high consumption and high expenditure</w:t>
      </w:r>
      <w:r>
        <w:rPr>
          <w:sz w:val="20"/>
          <w:szCs w:val="20"/>
        </w:rPr>
        <w:t xml:space="preserve"> behaviors. Violation of this order carries the imposition of fines and detention, and in circumstances sufficiently serious to constitute a crime, pursuit of criminal liability according to law.</w:t>
      </w:r>
    </w:p>
    <w:p w14:paraId="314568E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ED6D4B7"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a result of the court ruling mentioned above, the interest expense on these loans was RMB1.3 million in 2019. As of December 31, 2019, loan payable was RMB10.0 million and interest payable was RMB1.3 million.</w:t>
      </w:r>
    </w:p>
    <w:p w14:paraId="22AB460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FAB24D6" w14:textId="77777777" w:rsidR="00000000" w:rsidRDefault="00EB4933">
      <w:pPr>
        <w:pStyle w:val="NormalWeb"/>
        <w:spacing w:before="0" w:beforeAutospacing="0" w:after="0" w:afterAutospacing="0"/>
        <w:ind w:firstLine="675"/>
        <w:jc w:val="both"/>
        <w:divId w:val="98525094"/>
        <w:rPr>
          <w:sz w:val="20"/>
          <w:szCs w:val="20"/>
        </w:rPr>
      </w:pPr>
      <w:r>
        <w:rPr>
          <w:sz w:val="20"/>
          <w:szCs w:val="20"/>
        </w:rPr>
        <w:t>4.5 In 2017, loans payable of RMB14.0 mill</w:t>
      </w:r>
      <w:r>
        <w:rPr>
          <w:sz w:val="20"/>
          <w:szCs w:val="20"/>
        </w:rPr>
        <w:t>ion were borrowed from Hubei Daily Media Group, a shareholder which owned 20% of the variable interest entity, respectively. The weighted average annual interest rates for interest expenses were 10.0% in 2017. The average duration was 209 days in 2017. The</w:t>
      </w:r>
      <w:r>
        <w:rPr>
          <w:sz w:val="20"/>
          <w:szCs w:val="20"/>
        </w:rPr>
        <w:t xml:space="preserve"> interest expenses were RMB0.8 million in 2017. The loans and related interest payable were fully repaid in 2017.</w:t>
      </w:r>
    </w:p>
    <w:p w14:paraId="03B0DD7E"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283059D" w14:textId="77777777">
        <w:trPr>
          <w:divId w:val="98525094"/>
          <w:trHeight w:val="225"/>
          <w:tblCellSpacing w:w="15" w:type="dxa"/>
        </w:trPr>
        <w:tc>
          <w:tcPr>
            <w:tcW w:w="0" w:type="auto"/>
            <w:vAlign w:val="center"/>
            <w:hideMark/>
          </w:tcPr>
          <w:p w14:paraId="332DE3A5" w14:textId="77777777" w:rsidR="00000000" w:rsidRDefault="00EB4933">
            <w:pPr>
              <w:rPr>
                <w:rFonts w:eastAsia="Times New Roman"/>
                <w:sz w:val="20"/>
                <w:szCs w:val="20"/>
              </w:rPr>
            </w:pPr>
            <w:r>
              <w:rPr>
                <w:rFonts w:eastAsia="Times New Roman"/>
                <w:sz w:val="20"/>
                <w:szCs w:val="20"/>
              </w:rPr>
              <w:t> </w:t>
            </w:r>
          </w:p>
        </w:tc>
      </w:tr>
      <w:tr w:rsidR="00000000" w14:paraId="47EB2174" w14:textId="77777777">
        <w:trPr>
          <w:divId w:val="98525094"/>
          <w:trHeight w:val="225"/>
          <w:tblCellSpacing w:w="15" w:type="dxa"/>
        </w:trPr>
        <w:tc>
          <w:tcPr>
            <w:tcW w:w="0" w:type="auto"/>
            <w:tcBorders>
              <w:bottom w:val="single" w:sz="6" w:space="0" w:color="000000"/>
            </w:tcBorders>
            <w:vAlign w:val="center"/>
            <w:hideMark/>
          </w:tcPr>
          <w:p w14:paraId="777B1540" w14:textId="77777777" w:rsidR="00000000" w:rsidRDefault="00EB4933">
            <w:pPr>
              <w:jc w:val="center"/>
              <w:rPr>
                <w:rFonts w:eastAsia="Times New Roman"/>
                <w:sz w:val="20"/>
                <w:szCs w:val="20"/>
              </w:rPr>
            </w:pPr>
            <w:r>
              <w:rPr>
                <w:rFonts w:eastAsia="Times New Roman"/>
                <w:sz w:val="20"/>
                <w:szCs w:val="20"/>
              </w:rPr>
              <w:t>83</w:t>
            </w:r>
          </w:p>
        </w:tc>
      </w:tr>
      <w:tr w:rsidR="00000000" w14:paraId="1DC1DFB0" w14:textId="77777777">
        <w:trPr>
          <w:divId w:val="98525094"/>
          <w:trHeight w:val="225"/>
          <w:tblCellSpacing w:w="15" w:type="dxa"/>
        </w:trPr>
        <w:tc>
          <w:tcPr>
            <w:tcW w:w="0" w:type="auto"/>
            <w:vAlign w:val="center"/>
            <w:hideMark/>
          </w:tcPr>
          <w:p w14:paraId="226F2A98" w14:textId="77777777" w:rsidR="00000000" w:rsidRDefault="00EB4933">
            <w:pPr>
              <w:rPr>
                <w:rFonts w:eastAsia="Times New Roman"/>
                <w:sz w:val="20"/>
                <w:szCs w:val="20"/>
              </w:rPr>
            </w:pPr>
          </w:p>
        </w:tc>
      </w:tr>
      <w:tr w:rsidR="00000000" w14:paraId="28824993" w14:textId="77777777">
        <w:trPr>
          <w:divId w:val="98525094"/>
          <w:trHeight w:val="225"/>
          <w:tblCellSpacing w:w="15" w:type="dxa"/>
        </w:trPr>
        <w:tc>
          <w:tcPr>
            <w:tcW w:w="0" w:type="auto"/>
            <w:vAlign w:val="center"/>
            <w:hideMark/>
          </w:tcPr>
          <w:p w14:paraId="31AF2DF1" w14:textId="77777777" w:rsidR="00000000" w:rsidRDefault="00EB4933">
            <w:pPr>
              <w:rPr>
                <w:rFonts w:eastAsia="Times New Roman"/>
                <w:sz w:val="20"/>
                <w:szCs w:val="20"/>
              </w:rPr>
            </w:pPr>
            <w:hyperlink r:id="rId143" w:anchor="toc" w:history="1">
              <w:r>
                <w:rPr>
                  <w:rStyle w:val="Hyperlink"/>
                  <w:rFonts w:eastAsia="Times New Roman"/>
                  <w:i/>
                  <w:iCs/>
                  <w:sz w:val="20"/>
                  <w:szCs w:val="20"/>
                </w:rPr>
                <w:t>Table of Contents</w:t>
              </w:r>
            </w:hyperlink>
          </w:p>
        </w:tc>
      </w:tr>
    </w:tbl>
    <w:p w14:paraId="294D49C5"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1513DB58" w14:textId="77777777" w:rsidR="00000000" w:rsidRDefault="00EB4933">
      <w:pPr>
        <w:pStyle w:val="NormalWeb"/>
        <w:spacing w:before="0" w:beforeAutospacing="0" w:after="0" w:afterAutospacing="0"/>
        <w:jc w:val="both"/>
        <w:divId w:val="98525094"/>
        <w:rPr>
          <w:sz w:val="20"/>
          <w:szCs w:val="20"/>
        </w:rPr>
      </w:pPr>
      <w:r>
        <w:rPr>
          <w:rStyle w:val="Strong"/>
          <w:sz w:val="20"/>
          <w:szCs w:val="20"/>
        </w:rPr>
        <w:t>5. Consulting expenses for representatives from a shareholder</w:t>
      </w:r>
    </w:p>
    <w:p w14:paraId="35D26B1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4639DC2" w14:textId="77777777" w:rsidR="00000000" w:rsidRDefault="00EB4933">
      <w:pPr>
        <w:pStyle w:val="NormalWeb"/>
        <w:spacing w:before="0" w:beforeAutospacing="0" w:after="0" w:afterAutospacing="0"/>
        <w:ind w:firstLine="675"/>
        <w:jc w:val="both"/>
        <w:divId w:val="98525094"/>
        <w:rPr>
          <w:sz w:val="20"/>
          <w:szCs w:val="20"/>
        </w:rPr>
      </w:pPr>
      <w:r>
        <w:rPr>
          <w:sz w:val="20"/>
          <w:szCs w:val="20"/>
        </w:rPr>
        <w:t>Consult</w:t>
      </w:r>
      <w:r>
        <w:rPr>
          <w:sz w:val="20"/>
          <w:szCs w:val="20"/>
        </w:rPr>
        <w:t>ing expenses of RMB0.5 million, RMB0.5 million and RMB0.5 million were incurred for two representatives sent from Hubei Daily Media Group, a shareholder who owned 20% of the variable interest entity, for the years ended December 31, 2017, 2018 and 2019, re</w:t>
      </w:r>
      <w:r>
        <w:rPr>
          <w:sz w:val="20"/>
          <w:szCs w:val="20"/>
        </w:rPr>
        <w:t>spectively.</w:t>
      </w:r>
    </w:p>
    <w:p w14:paraId="5CA80918"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571D3F5"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of December 31, 2018 and 2019, consulting expenses payable to these representatives were RMB0.5 million and RMB1.0 million, respectively.</w:t>
      </w:r>
    </w:p>
    <w:p w14:paraId="6ADD299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19203B6" w14:textId="77777777" w:rsidR="00000000" w:rsidRDefault="00EB4933">
      <w:pPr>
        <w:pStyle w:val="NormalWeb"/>
        <w:spacing w:before="0" w:beforeAutospacing="0" w:after="0" w:afterAutospacing="0"/>
        <w:jc w:val="both"/>
        <w:divId w:val="98525094"/>
        <w:rPr>
          <w:sz w:val="20"/>
          <w:szCs w:val="20"/>
        </w:rPr>
      </w:pPr>
      <w:r>
        <w:rPr>
          <w:rStyle w:val="Strong"/>
          <w:sz w:val="20"/>
          <w:szCs w:val="20"/>
        </w:rPr>
        <w:t>6. Reverse merger expenses payable to a related party</w:t>
      </w:r>
    </w:p>
    <w:p w14:paraId="19A5463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4848C4A"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During the reverse merger process of the Company, a related party, Hubei New Nature Investment Co., Ltd (“Hubei New Nature”), a company that is 80.8% owned by the Chairman and the Chief Executive Offi</w:t>
      </w:r>
      <w:r>
        <w:rPr>
          <w:sz w:val="20"/>
          <w:szCs w:val="20"/>
        </w:rPr>
        <w:t>cer, Mr Ricky Qizhi Wei, paid reverse merger expenses on behalf of the Company, totaling RMB11.3 million and RMB10.9 million for the year ended December 31, 2017 and 2018, respectively. In 2019, certain operating expenses of RMB0.7 million were paid by Hub</w:t>
      </w:r>
      <w:r>
        <w:rPr>
          <w:sz w:val="20"/>
          <w:szCs w:val="20"/>
        </w:rPr>
        <w:t xml:space="preserve">ei New Nature on behalf of the Company. Also, in 2019, certain loans receivable were novated to Hubei New Nature to offset against payable to Hubei New Nature of RMB22.6 million (see Note 27 of Notes to Consolidated Financial Statements, Section 11). </w:t>
      </w:r>
    </w:p>
    <w:p w14:paraId="1C06F5E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52159FD3"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w:t>
      </w:r>
      <w:r>
        <w:rPr>
          <w:sz w:val="20"/>
          <w:szCs w:val="20"/>
        </w:rPr>
        <w:t xml:space="preserve"> of December 31, 2018 and 2019, payable to a related party was RMB22.2 million and RMB0.3 million, respectively.</w:t>
      </w:r>
    </w:p>
    <w:p w14:paraId="22A13ED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EF57CA1" w14:textId="77777777" w:rsidR="00000000" w:rsidRDefault="00EB4933">
      <w:pPr>
        <w:pStyle w:val="NormalWeb"/>
        <w:spacing w:before="0" w:beforeAutospacing="0" w:after="0" w:afterAutospacing="0"/>
        <w:jc w:val="both"/>
        <w:divId w:val="98525094"/>
        <w:rPr>
          <w:sz w:val="20"/>
          <w:szCs w:val="20"/>
        </w:rPr>
      </w:pPr>
      <w:r>
        <w:rPr>
          <w:rStyle w:val="Strong"/>
          <w:sz w:val="20"/>
          <w:szCs w:val="20"/>
        </w:rPr>
        <w:t>7. Advisory expenses with a related party</w:t>
      </w:r>
    </w:p>
    <w:p w14:paraId="4ABAE5E2"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7F11EE2F"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2017 and 2018, an advisory agreement was entered into with Hubei New Nature Investment Co.,</w:t>
      </w:r>
      <w:r>
        <w:rPr>
          <w:sz w:val="20"/>
          <w:szCs w:val="20"/>
        </w:rPr>
        <w:t xml:space="preserve"> Ltd, a company that is 80.8% owned by the Chairman and the Chief Executive Officer, Mr Ricky Qizhi Wei, to provide funding advisory services at 2% per annum on funds raised through Wuhan Securities Exchanges for RMB2.5 million and RMB0.7 million, respecti</w:t>
      </w:r>
      <w:r>
        <w:rPr>
          <w:sz w:val="20"/>
          <w:szCs w:val="20"/>
        </w:rPr>
        <w:t>vely.</w:t>
      </w:r>
    </w:p>
    <w:p w14:paraId="6DEB6E2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  </w:t>
      </w:r>
    </w:p>
    <w:p w14:paraId="7BEE5371"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of December 31, 2018 and 2019, advisory expense payable was RMB4,235,000 and nil, respectively.</w:t>
      </w:r>
    </w:p>
    <w:p w14:paraId="0103FE9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14A363B" w14:textId="77777777" w:rsidR="00000000" w:rsidRDefault="00EB4933">
      <w:pPr>
        <w:pStyle w:val="NormalWeb"/>
        <w:spacing w:before="0" w:beforeAutospacing="0" w:after="0" w:afterAutospacing="0"/>
        <w:jc w:val="both"/>
        <w:divId w:val="98525094"/>
        <w:rPr>
          <w:sz w:val="20"/>
          <w:szCs w:val="20"/>
        </w:rPr>
      </w:pPr>
      <w:r>
        <w:rPr>
          <w:rStyle w:val="Strong"/>
          <w:sz w:val="20"/>
          <w:szCs w:val="20"/>
        </w:rPr>
        <w:t>8. Intermediary agreement with a related party</w:t>
      </w:r>
    </w:p>
    <w:p w14:paraId="670F2D5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C4AE830"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2016, an intermediary agreement was entered into with Chutian Wealth (Wuhan) Financial Service</w:t>
      </w:r>
      <w:r>
        <w:rPr>
          <w:sz w:val="20"/>
          <w:szCs w:val="20"/>
        </w:rPr>
        <w:t>s Co., Ltd, a subsidiary jointly owned by Hubei New Nature Investment Co., Ltd and Hubei Daily Media Group, to assist in fund raising through Wuhan Securities Exchange at 6% per annum on funds raised. In 2017, 2018 and 2019, the intermediary fees were RMB5</w:t>
      </w:r>
      <w:r>
        <w:rPr>
          <w:sz w:val="20"/>
          <w:szCs w:val="20"/>
        </w:rPr>
        <w:t>.3 million, RMB1.7 million and nil, respectively.</w:t>
      </w:r>
    </w:p>
    <w:p w14:paraId="70BA548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74A7A44"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of December 31, 2018 and 2019, intermediary fee payable to a related party was nil and nil, respectively.</w:t>
      </w:r>
    </w:p>
    <w:p w14:paraId="3F4162D6"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34893D4" w14:textId="77777777">
        <w:trPr>
          <w:divId w:val="98525094"/>
          <w:trHeight w:val="225"/>
          <w:tblCellSpacing w:w="15" w:type="dxa"/>
        </w:trPr>
        <w:tc>
          <w:tcPr>
            <w:tcW w:w="0" w:type="auto"/>
            <w:vAlign w:val="center"/>
            <w:hideMark/>
          </w:tcPr>
          <w:p w14:paraId="4A79874E" w14:textId="77777777" w:rsidR="00000000" w:rsidRDefault="00EB4933">
            <w:pPr>
              <w:rPr>
                <w:rFonts w:eastAsia="Times New Roman"/>
                <w:sz w:val="20"/>
                <w:szCs w:val="20"/>
              </w:rPr>
            </w:pPr>
            <w:r>
              <w:rPr>
                <w:rFonts w:eastAsia="Times New Roman"/>
                <w:sz w:val="20"/>
                <w:szCs w:val="20"/>
              </w:rPr>
              <w:t> </w:t>
            </w:r>
          </w:p>
        </w:tc>
      </w:tr>
      <w:tr w:rsidR="00000000" w14:paraId="1C93742D" w14:textId="77777777">
        <w:trPr>
          <w:divId w:val="98525094"/>
          <w:trHeight w:val="225"/>
          <w:tblCellSpacing w:w="15" w:type="dxa"/>
        </w:trPr>
        <w:tc>
          <w:tcPr>
            <w:tcW w:w="0" w:type="auto"/>
            <w:tcBorders>
              <w:bottom w:val="single" w:sz="6" w:space="0" w:color="000000"/>
            </w:tcBorders>
            <w:vAlign w:val="center"/>
            <w:hideMark/>
          </w:tcPr>
          <w:p w14:paraId="025BF35A" w14:textId="77777777" w:rsidR="00000000" w:rsidRDefault="00EB4933">
            <w:pPr>
              <w:jc w:val="center"/>
              <w:rPr>
                <w:rFonts w:eastAsia="Times New Roman"/>
                <w:sz w:val="20"/>
                <w:szCs w:val="20"/>
              </w:rPr>
            </w:pPr>
            <w:r>
              <w:rPr>
                <w:rFonts w:eastAsia="Times New Roman"/>
                <w:sz w:val="20"/>
                <w:szCs w:val="20"/>
              </w:rPr>
              <w:t>84</w:t>
            </w:r>
          </w:p>
        </w:tc>
      </w:tr>
      <w:tr w:rsidR="00000000" w14:paraId="2F6C25CC" w14:textId="77777777">
        <w:trPr>
          <w:divId w:val="98525094"/>
          <w:trHeight w:val="225"/>
          <w:tblCellSpacing w:w="15" w:type="dxa"/>
        </w:trPr>
        <w:tc>
          <w:tcPr>
            <w:tcW w:w="0" w:type="auto"/>
            <w:vAlign w:val="center"/>
            <w:hideMark/>
          </w:tcPr>
          <w:p w14:paraId="5FDCA9D4" w14:textId="77777777" w:rsidR="00000000" w:rsidRDefault="00EB4933">
            <w:pPr>
              <w:rPr>
                <w:rFonts w:eastAsia="Times New Roman"/>
                <w:sz w:val="20"/>
                <w:szCs w:val="20"/>
              </w:rPr>
            </w:pPr>
          </w:p>
        </w:tc>
      </w:tr>
      <w:tr w:rsidR="00000000" w14:paraId="1A7AA34C" w14:textId="77777777">
        <w:trPr>
          <w:divId w:val="98525094"/>
          <w:trHeight w:val="225"/>
          <w:tblCellSpacing w:w="15" w:type="dxa"/>
        </w:trPr>
        <w:tc>
          <w:tcPr>
            <w:tcW w:w="0" w:type="auto"/>
            <w:vAlign w:val="center"/>
            <w:hideMark/>
          </w:tcPr>
          <w:p w14:paraId="62F2DFA5" w14:textId="77777777" w:rsidR="00000000" w:rsidRDefault="00EB4933">
            <w:pPr>
              <w:rPr>
                <w:rFonts w:eastAsia="Times New Roman"/>
                <w:sz w:val="20"/>
                <w:szCs w:val="20"/>
              </w:rPr>
            </w:pPr>
            <w:hyperlink r:id="rId144" w:anchor="toc" w:history="1">
              <w:r>
                <w:rPr>
                  <w:rStyle w:val="Hyperlink"/>
                  <w:rFonts w:eastAsia="Times New Roman"/>
                  <w:i/>
                  <w:iCs/>
                  <w:sz w:val="20"/>
                  <w:szCs w:val="20"/>
                </w:rPr>
                <w:t>Table of Contents</w:t>
              </w:r>
            </w:hyperlink>
          </w:p>
        </w:tc>
      </w:tr>
    </w:tbl>
    <w:p w14:paraId="6DD752BA"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788DABA5" w14:textId="77777777" w:rsidR="00000000" w:rsidRDefault="00EB4933">
      <w:pPr>
        <w:pStyle w:val="NormalWeb"/>
        <w:spacing w:before="0" w:beforeAutospacing="0" w:after="0" w:afterAutospacing="0"/>
        <w:jc w:val="both"/>
        <w:divId w:val="98525094"/>
        <w:rPr>
          <w:sz w:val="20"/>
          <w:szCs w:val="20"/>
        </w:rPr>
      </w:pPr>
      <w:r>
        <w:rPr>
          <w:rStyle w:val="Strong"/>
          <w:sz w:val="20"/>
          <w:szCs w:val="20"/>
        </w:rPr>
        <w:t>9. Funds provided by related parties for payments to certain loans payable</w:t>
      </w:r>
    </w:p>
    <w:p w14:paraId="6DFEBF5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1005EAD"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2018, fund of RMB954,000 was provided by Wuhan Xin Heng Tai Investment Co., Ltd and fund of RMB412,000 was provided by Wuhan Zhong Ji Gold Co., Ltd for payments to certain loan</w:t>
      </w:r>
      <w:r>
        <w:rPr>
          <w:sz w:val="20"/>
          <w:szCs w:val="20"/>
        </w:rPr>
        <w:t>s payable, interest payable and listing service fee. Wuhan Xin Heng Tai Investment Co., Ltd is related to Ms Wenting Xiao, a shareholder who owned 10.6% of the Group’s variable interest entity, whom is a general manager with Wuhan Xin Heng Tai Investment C</w:t>
      </w:r>
      <w:r>
        <w:rPr>
          <w:sz w:val="20"/>
          <w:szCs w:val="20"/>
        </w:rPr>
        <w:t>o., Ltd. Wuhan Zhong Ji Gold Co., Ltd</w:t>
      </w:r>
      <w:r>
        <w:rPr>
          <w:rStyle w:val="Strong"/>
          <w:sz w:val="20"/>
          <w:szCs w:val="20"/>
        </w:rPr>
        <w:t xml:space="preserve"> </w:t>
      </w:r>
      <w:r>
        <w:rPr>
          <w:sz w:val="20"/>
          <w:szCs w:val="20"/>
        </w:rPr>
        <w:t>is also related to Ms Wenting Xiao whom is a member of the supervisory committee with Wuhan Zhong Ji Gold Co., Ltd. These funds were provided without interest and with no fixed terms of repayment.</w:t>
      </w:r>
    </w:p>
    <w:p w14:paraId="663CF17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B08E555"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As of December 31, </w:t>
      </w:r>
      <w:r>
        <w:rPr>
          <w:sz w:val="20"/>
          <w:szCs w:val="20"/>
        </w:rPr>
        <w:t xml:space="preserve">2018 and 2019, payables to related parties were RMB1.4 million and RMB1.4 million, respectively. </w:t>
      </w:r>
    </w:p>
    <w:p w14:paraId="2F52CC1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66B6804" w14:textId="77777777" w:rsidR="00000000" w:rsidRDefault="00EB4933">
      <w:pPr>
        <w:pStyle w:val="NormalWeb"/>
        <w:spacing w:before="0" w:beforeAutospacing="0" w:after="0" w:afterAutospacing="0"/>
        <w:jc w:val="both"/>
        <w:divId w:val="98525094"/>
        <w:rPr>
          <w:sz w:val="20"/>
          <w:szCs w:val="20"/>
        </w:rPr>
      </w:pPr>
      <w:r>
        <w:rPr>
          <w:rStyle w:val="Strong"/>
          <w:sz w:val="20"/>
          <w:szCs w:val="20"/>
        </w:rPr>
        <w:t>10. Loans receivable from related parties</w:t>
      </w:r>
    </w:p>
    <w:p w14:paraId="3182320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AC50DF4" w14:textId="77777777" w:rsidR="00000000" w:rsidRDefault="00EB4933">
      <w:pPr>
        <w:pStyle w:val="NormalWeb"/>
        <w:spacing w:before="0" w:beforeAutospacing="0" w:after="0" w:afterAutospacing="0"/>
        <w:ind w:firstLine="675"/>
        <w:jc w:val="both"/>
        <w:divId w:val="98525094"/>
        <w:rPr>
          <w:sz w:val="20"/>
          <w:szCs w:val="20"/>
        </w:rPr>
      </w:pPr>
      <w:r>
        <w:rPr>
          <w:sz w:val="20"/>
          <w:szCs w:val="20"/>
        </w:rPr>
        <w:t>10.1 In 2016, loans receivable of RMB8.0 million were lent to Hubei Baoli Ecological Conservation Co., Ltd at an</w:t>
      </w:r>
      <w:r>
        <w:rPr>
          <w:sz w:val="20"/>
          <w:szCs w:val="20"/>
        </w:rPr>
        <w:t xml:space="preserve"> interest rate of 36% per annum. The loan was guaranteed by Ms. Jing Liang, a shareholder who owned 4.3% of the variable interest entity. The interest received on the loan was nil, nil and nil for the years ended December 31, 2017, 2018 and 2019, respectiv</w:t>
      </w:r>
      <w:r>
        <w:rPr>
          <w:sz w:val="20"/>
          <w:szCs w:val="20"/>
        </w:rPr>
        <w:t>ely. As of December 31, 2018 and 2019, this loan was overdue.</w:t>
      </w:r>
    </w:p>
    <w:p w14:paraId="24B52F52"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55E522FF"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10.2 In 2016, loans receivable of RMB3.0 million were lent to Kang Chen at an interest rate of 36% per annum. The loan was guaranteed by Ms. Jing Liang, a shareholder who owned 4.3% of the variable interest entity. The interest received on the loan was nil</w:t>
      </w:r>
      <w:r>
        <w:rPr>
          <w:sz w:val="20"/>
          <w:szCs w:val="20"/>
        </w:rPr>
        <w:t>, nil and nil for the years ended December 31, 2017, 2018 and 2019, respectively. As of December 31, 2018 and 2019, this loan was overdue.</w:t>
      </w:r>
    </w:p>
    <w:p w14:paraId="527C720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B2FEEEF" w14:textId="77777777" w:rsidR="00000000" w:rsidRDefault="00EB4933">
      <w:pPr>
        <w:pStyle w:val="NormalWeb"/>
        <w:spacing w:before="0" w:beforeAutospacing="0" w:after="0" w:afterAutospacing="0"/>
        <w:ind w:firstLine="675"/>
        <w:jc w:val="both"/>
        <w:divId w:val="98525094"/>
        <w:rPr>
          <w:sz w:val="20"/>
          <w:szCs w:val="20"/>
        </w:rPr>
      </w:pPr>
      <w:r>
        <w:rPr>
          <w:sz w:val="20"/>
          <w:szCs w:val="20"/>
        </w:rPr>
        <w:t>10.3 In 2017, loans receivable of RMB18.0 million were lent to Wuhan Zhong Ji Gold Co., Ltd at a weighted average i</w:t>
      </w:r>
      <w:r>
        <w:rPr>
          <w:sz w:val="20"/>
          <w:szCs w:val="20"/>
        </w:rPr>
        <w:t>nterest rate of 25.3% per annum. The loan was related to Ms Wenting Xiao, a shareholder who owned 10.6% of the variable interest entity, whom is a member of the supervisory committee with Wuhan Zhong Ji Gold Co., Ltd. The interest received on loan was RMB6</w:t>
      </w:r>
      <w:r>
        <w:rPr>
          <w:sz w:val="20"/>
          <w:szCs w:val="20"/>
        </w:rPr>
        <w:t>.5 million for the year ended December 31, 2017. This loan was fully repaid in 2017.</w:t>
      </w:r>
    </w:p>
    <w:p w14:paraId="48EDFF9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D744476" w14:textId="77777777" w:rsidR="00000000" w:rsidRDefault="00EB4933">
      <w:pPr>
        <w:pStyle w:val="NormalWeb"/>
        <w:spacing w:before="0" w:beforeAutospacing="0" w:after="0" w:afterAutospacing="0"/>
        <w:ind w:firstLine="675"/>
        <w:jc w:val="both"/>
        <w:divId w:val="98525094"/>
        <w:rPr>
          <w:sz w:val="20"/>
          <w:szCs w:val="20"/>
        </w:rPr>
      </w:pPr>
      <w:r>
        <w:rPr>
          <w:sz w:val="20"/>
          <w:szCs w:val="20"/>
        </w:rPr>
        <w:t>10.4 In 2017, loans receivable of RMB19.0 million were lent to Wuhan Xin Heng Tai Investment Co., Ltd at a weighted average interest rate of 24.9% per annum. The loan wa</w:t>
      </w:r>
      <w:r>
        <w:rPr>
          <w:sz w:val="20"/>
          <w:szCs w:val="20"/>
        </w:rPr>
        <w:t xml:space="preserve">s related to Ms Wenting Xiao, a shareholder who owned 10.6% of the variable interest entity, whom is a general manager with Wuhan Xin Heng Tai Investment Co., Ltd. The interest received on loan was RMB4.9 million for the year ended December 31, 2017. This </w:t>
      </w:r>
      <w:r>
        <w:rPr>
          <w:sz w:val="20"/>
          <w:szCs w:val="20"/>
        </w:rPr>
        <w:t>loan was fully repaid in 2017.</w:t>
      </w:r>
    </w:p>
    <w:p w14:paraId="20734A9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2008581" w14:textId="77777777" w:rsidR="00000000" w:rsidRDefault="00EB4933">
      <w:pPr>
        <w:pStyle w:val="NormalWeb"/>
        <w:spacing w:before="0" w:beforeAutospacing="0" w:after="0" w:afterAutospacing="0"/>
        <w:jc w:val="both"/>
        <w:divId w:val="98525094"/>
        <w:rPr>
          <w:sz w:val="20"/>
          <w:szCs w:val="20"/>
        </w:rPr>
      </w:pPr>
      <w:r>
        <w:rPr>
          <w:rStyle w:val="Strong"/>
          <w:sz w:val="20"/>
          <w:szCs w:val="20"/>
        </w:rPr>
        <w:t>11.</w:t>
      </w:r>
      <w:r>
        <w:rPr>
          <w:rStyle w:val="Strong"/>
          <w:sz w:val="14"/>
          <w:szCs w:val="14"/>
        </w:rPr>
        <w:t xml:space="preserve"> </w:t>
      </w:r>
      <w:r>
        <w:rPr>
          <w:rStyle w:val="Strong"/>
          <w:sz w:val="20"/>
          <w:szCs w:val="20"/>
        </w:rPr>
        <w:t>Loans receivable novated to a related party</w:t>
      </w:r>
    </w:p>
    <w:p w14:paraId="690E5DC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72FC8A6"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2019, certain loans receivable were novated to a related party, Hubei New Nature Investment Co., Ltd, a company that is 80.8% owned by the Chairman and the Chief Executiv</w:t>
      </w:r>
      <w:r>
        <w:rPr>
          <w:sz w:val="20"/>
          <w:szCs w:val="20"/>
        </w:rPr>
        <w:t>e Officer, Mr Ricky Qizhi Wei, to offset loans payable of RMB9.9 million, interest payable of RMB3.1 million to Hubei New Nature, reverse merger and operating expenses payable of RMB22.6 million, and advisory expenses payable of RMB4.6 million.</w:t>
      </w:r>
    </w:p>
    <w:p w14:paraId="2F316BB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5FEE690" w14:textId="77777777" w:rsidR="00000000" w:rsidRDefault="00EB4933">
      <w:pPr>
        <w:pStyle w:val="NormalWeb"/>
        <w:spacing w:before="0" w:beforeAutospacing="0" w:after="0" w:afterAutospacing="0"/>
        <w:jc w:val="both"/>
        <w:divId w:val="98525094"/>
        <w:rPr>
          <w:sz w:val="20"/>
          <w:szCs w:val="20"/>
        </w:rPr>
      </w:pPr>
      <w:r>
        <w:rPr>
          <w:rStyle w:val="Strong"/>
          <w:sz w:val="20"/>
          <w:szCs w:val="20"/>
        </w:rPr>
        <w:t>C. Intere</w:t>
      </w:r>
      <w:r>
        <w:rPr>
          <w:rStyle w:val="Strong"/>
          <w:sz w:val="20"/>
          <w:szCs w:val="20"/>
        </w:rPr>
        <w:t>sts of Experts and Counsel</w:t>
      </w:r>
    </w:p>
    <w:p w14:paraId="6EDFDEE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D782848" w14:textId="77777777" w:rsidR="00000000" w:rsidRDefault="00EB4933">
      <w:pPr>
        <w:pStyle w:val="NormalWeb"/>
        <w:spacing w:before="0" w:beforeAutospacing="0" w:after="0" w:afterAutospacing="0"/>
        <w:ind w:firstLine="675"/>
        <w:jc w:val="both"/>
        <w:divId w:val="98525094"/>
        <w:rPr>
          <w:sz w:val="20"/>
          <w:szCs w:val="20"/>
        </w:rPr>
      </w:pPr>
      <w:r>
        <w:rPr>
          <w:sz w:val="20"/>
          <w:szCs w:val="20"/>
        </w:rPr>
        <w:t>Not applicable.</w:t>
      </w:r>
    </w:p>
    <w:p w14:paraId="25AE0123"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AFCC1A1" w14:textId="77777777">
        <w:trPr>
          <w:divId w:val="98525094"/>
          <w:trHeight w:val="225"/>
          <w:tblCellSpacing w:w="15" w:type="dxa"/>
        </w:trPr>
        <w:tc>
          <w:tcPr>
            <w:tcW w:w="0" w:type="auto"/>
            <w:vAlign w:val="center"/>
            <w:hideMark/>
          </w:tcPr>
          <w:p w14:paraId="1F6E7149" w14:textId="77777777" w:rsidR="00000000" w:rsidRDefault="00EB4933">
            <w:pPr>
              <w:rPr>
                <w:rFonts w:eastAsia="Times New Roman"/>
                <w:sz w:val="20"/>
                <w:szCs w:val="20"/>
              </w:rPr>
            </w:pPr>
            <w:r>
              <w:rPr>
                <w:rFonts w:eastAsia="Times New Roman"/>
                <w:sz w:val="20"/>
                <w:szCs w:val="20"/>
              </w:rPr>
              <w:t> </w:t>
            </w:r>
          </w:p>
        </w:tc>
      </w:tr>
      <w:tr w:rsidR="00000000" w14:paraId="0F389BD2" w14:textId="77777777">
        <w:trPr>
          <w:divId w:val="98525094"/>
          <w:trHeight w:val="225"/>
          <w:tblCellSpacing w:w="15" w:type="dxa"/>
        </w:trPr>
        <w:tc>
          <w:tcPr>
            <w:tcW w:w="0" w:type="auto"/>
            <w:tcBorders>
              <w:bottom w:val="single" w:sz="6" w:space="0" w:color="000000"/>
            </w:tcBorders>
            <w:vAlign w:val="center"/>
            <w:hideMark/>
          </w:tcPr>
          <w:p w14:paraId="7D9D1B98" w14:textId="77777777" w:rsidR="00000000" w:rsidRDefault="00EB4933">
            <w:pPr>
              <w:jc w:val="center"/>
              <w:rPr>
                <w:rFonts w:eastAsia="Times New Roman"/>
                <w:sz w:val="20"/>
                <w:szCs w:val="20"/>
              </w:rPr>
            </w:pPr>
            <w:r>
              <w:rPr>
                <w:rFonts w:eastAsia="Times New Roman"/>
                <w:sz w:val="20"/>
                <w:szCs w:val="20"/>
              </w:rPr>
              <w:t>85</w:t>
            </w:r>
          </w:p>
        </w:tc>
      </w:tr>
      <w:tr w:rsidR="00000000" w14:paraId="6AB50BAB" w14:textId="77777777">
        <w:trPr>
          <w:divId w:val="98525094"/>
          <w:trHeight w:val="225"/>
          <w:tblCellSpacing w:w="15" w:type="dxa"/>
        </w:trPr>
        <w:tc>
          <w:tcPr>
            <w:tcW w:w="0" w:type="auto"/>
            <w:vAlign w:val="center"/>
            <w:hideMark/>
          </w:tcPr>
          <w:p w14:paraId="09BE75AC" w14:textId="77777777" w:rsidR="00000000" w:rsidRDefault="00EB4933">
            <w:pPr>
              <w:rPr>
                <w:rFonts w:eastAsia="Times New Roman"/>
                <w:sz w:val="20"/>
                <w:szCs w:val="20"/>
              </w:rPr>
            </w:pPr>
          </w:p>
        </w:tc>
      </w:tr>
      <w:tr w:rsidR="00000000" w14:paraId="561573A4" w14:textId="77777777">
        <w:trPr>
          <w:divId w:val="98525094"/>
          <w:trHeight w:val="225"/>
          <w:tblCellSpacing w:w="15" w:type="dxa"/>
        </w:trPr>
        <w:tc>
          <w:tcPr>
            <w:tcW w:w="0" w:type="auto"/>
            <w:vAlign w:val="center"/>
            <w:hideMark/>
          </w:tcPr>
          <w:p w14:paraId="3E8D8433" w14:textId="77777777" w:rsidR="00000000" w:rsidRDefault="00EB4933">
            <w:pPr>
              <w:rPr>
                <w:rFonts w:eastAsia="Times New Roman"/>
                <w:sz w:val="20"/>
                <w:szCs w:val="20"/>
              </w:rPr>
            </w:pPr>
            <w:hyperlink r:id="rId145" w:anchor="toc" w:history="1">
              <w:r>
                <w:rPr>
                  <w:rStyle w:val="Hyperlink"/>
                  <w:rFonts w:eastAsia="Times New Roman"/>
                  <w:i/>
                  <w:iCs/>
                  <w:sz w:val="20"/>
                  <w:szCs w:val="20"/>
                </w:rPr>
                <w:t>Table of Contents</w:t>
              </w:r>
            </w:hyperlink>
          </w:p>
        </w:tc>
      </w:tr>
    </w:tbl>
    <w:p w14:paraId="10022FA0"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3EE9C6D2" w14:textId="77777777" w:rsidR="00000000" w:rsidRDefault="00EB4933">
      <w:pPr>
        <w:pStyle w:val="NormalWeb"/>
        <w:spacing w:before="0" w:beforeAutospacing="0" w:after="0" w:afterAutospacing="0"/>
        <w:jc w:val="both"/>
        <w:divId w:val="98525094"/>
        <w:rPr>
          <w:sz w:val="20"/>
          <w:szCs w:val="20"/>
        </w:rPr>
      </w:pPr>
      <w:bookmarkStart w:id="12" w:name="i8"/>
      <w:r>
        <w:rPr>
          <w:rStyle w:val="Strong"/>
          <w:sz w:val="20"/>
          <w:szCs w:val="20"/>
        </w:rPr>
        <w:t>ITEM 8. FINANCIAL INFORMATION</w:t>
      </w:r>
      <w:bookmarkEnd w:id="12"/>
    </w:p>
    <w:p w14:paraId="297D3AE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448CCB7" w14:textId="77777777" w:rsidR="00000000" w:rsidRDefault="00EB4933">
      <w:pPr>
        <w:pStyle w:val="NormalWeb"/>
        <w:spacing w:before="0" w:beforeAutospacing="0" w:after="0" w:afterAutospacing="0"/>
        <w:jc w:val="both"/>
        <w:divId w:val="98525094"/>
        <w:rPr>
          <w:sz w:val="20"/>
          <w:szCs w:val="20"/>
        </w:rPr>
      </w:pPr>
      <w:r>
        <w:rPr>
          <w:rStyle w:val="Strong"/>
          <w:sz w:val="20"/>
          <w:szCs w:val="20"/>
        </w:rPr>
        <w:t>A. Consolidated Statements and Other Financial Information</w:t>
      </w:r>
    </w:p>
    <w:p w14:paraId="37E24F7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00E560E" w14:textId="77777777" w:rsidR="00000000" w:rsidRDefault="00EB4933">
      <w:pPr>
        <w:pStyle w:val="NormalWeb"/>
        <w:spacing w:before="0" w:beforeAutospacing="0" w:after="0" w:afterAutospacing="0"/>
        <w:ind w:firstLine="675"/>
        <w:jc w:val="both"/>
        <w:divId w:val="98525094"/>
        <w:rPr>
          <w:sz w:val="20"/>
          <w:szCs w:val="20"/>
        </w:rPr>
      </w:pPr>
      <w:r>
        <w:rPr>
          <w:sz w:val="20"/>
          <w:szCs w:val="20"/>
        </w:rPr>
        <w:t>See “Item 18. Financial Statements.”</w:t>
      </w:r>
    </w:p>
    <w:p w14:paraId="41080CC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CE0441B" w14:textId="77777777" w:rsidR="00000000" w:rsidRDefault="00EB4933">
      <w:pPr>
        <w:pStyle w:val="NormalWeb"/>
        <w:spacing w:before="0" w:beforeAutospacing="0" w:after="0" w:afterAutospacing="0"/>
        <w:jc w:val="both"/>
        <w:divId w:val="98525094"/>
        <w:rPr>
          <w:sz w:val="20"/>
          <w:szCs w:val="20"/>
        </w:rPr>
      </w:pPr>
      <w:r>
        <w:rPr>
          <w:rStyle w:val="Strong"/>
          <w:sz w:val="20"/>
          <w:szCs w:val="20"/>
        </w:rPr>
        <w:t>Dividend Policy</w:t>
      </w:r>
    </w:p>
    <w:p w14:paraId="72A19E4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D427F09"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board of directors has complete discretion on whether to pay dividends, subject to the approval of our shareholders. Even if our board</w:t>
      </w:r>
      <w:r>
        <w:rPr>
          <w:sz w:val="20"/>
          <w:szCs w:val="20"/>
        </w:rPr>
        <w:t xml:space="preserve"> of directors decides to pay dividends, the form, frequency and amount will depend upon our future operations and earnings, capital requirements and surplus, general financial condition, contractual restrictions and other factors that the board of director</w:t>
      </w:r>
      <w:r>
        <w:rPr>
          <w:sz w:val="20"/>
          <w:szCs w:val="20"/>
        </w:rPr>
        <w:t>s may deem relevant. If we pay any dividends, we will pay our ADS holders to the same extent as holders of our ordinary shares, subject to the terms of the deposit agreement, including the fees and expenses payable there under. Cash dividends on our ordina</w:t>
      </w:r>
      <w:r>
        <w:rPr>
          <w:sz w:val="20"/>
          <w:szCs w:val="20"/>
        </w:rPr>
        <w:t>ry shares, if any, will be paid in U.S. dollars.</w:t>
      </w:r>
    </w:p>
    <w:p w14:paraId="3B10436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9F5A22C"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are a holding company, and we rely on dividends paid by our operating subsidiary in China for our cash needs, including the funds necessary to pay dividends and other cash distributions to our sharehold</w:t>
      </w:r>
      <w:r>
        <w:rPr>
          <w:sz w:val="20"/>
          <w:szCs w:val="20"/>
        </w:rPr>
        <w:t>ers, service any debt we may incur and pay our operating expenses. The payment of dividends in China is subject to limitations. Regulations in the PRC currently permit payment of dividends by our PRC subsidiaries only out of their accumulated profits as de</w:t>
      </w:r>
      <w:r>
        <w:rPr>
          <w:sz w:val="20"/>
          <w:szCs w:val="20"/>
        </w:rPr>
        <w:t xml:space="preserve">termined in accordance with accounting standards and regulations in China. Each of our PRC subsidiaries is required to set aside at least 10% of its after-tax profits each year to contribute to its reserve fund until the </w:t>
      </w:r>
      <w:r>
        <w:rPr>
          <w:sz w:val="20"/>
          <w:szCs w:val="20"/>
        </w:rPr>
        <w:lastRenderedPageBreak/>
        <w:t xml:space="preserve">accumulated balance of the reserve </w:t>
      </w:r>
      <w:r>
        <w:rPr>
          <w:sz w:val="20"/>
          <w:szCs w:val="20"/>
        </w:rPr>
        <w:t>fund reaches 50% of its paid-up capital. Each of our PRC subsidiaries is also required to reserve a portion of its after-tax profits to its employee welfare and bonus fund, the amount of which is determined by its board of directors. These funds are not di</w:t>
      </w:r>
      <w:r>
        <w:rPr>
          <w:sz w:val="20"/>
          <w:szCs w:val="20"/>
        </w:rPr>
        <w:t>stributable in cash dividends.</w:t>
      </w:r>
    </w:p>
    <w:p w14:paraId="5F5B6C3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1527788" w14:textId="77777777" w:rsidR="00000000" w:rsidRDefault="00EB4933">
      <w:pPr>
        <w:pStyle w:val="NormalWeb"/>
        <w:spacing w:before="0" w:beforeAutospacing="0" w:after="0" w:afterAutospacing="0"/>
        <w:jc w:val="both"/>
        <w:divId w:val="98525094"/>
        <w:rPr>
          <w:sz w:val="20"/>
          <w:szCs w:val="20"/>
        </w:rPr>
      </w:pPr>
      <w:r>
        <w:rPr>
          <w:rStyle w:val="Strong"/>
          <w:sz w:val="20"/>
          <w:szCs w:val="20"/>
        </w:rPr>
        <w:t>Legal and Administrative Proceedings</w:t>
      </w:r>
    </w:p>
    <w:p w14:paraId="63C06D2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829503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From time to time, we have become and may in the future become a party to various legal or administrative proceedings arising in the ordinary course of our business, including actions </w:t>
      </w:r>
      <w:r>
        <w:rPr>
          <w:sz w:val="20"/>
          <w:szCs w:val="20"/>
        </w:rPr>
        <w:t>with respect to loans that we have made, breach of contract claims, labor and employment claims and other matters. Microfinance lending companies are frequently involved in litigation as claimants against borrowers and guarantors. Although such proceedings</w:t>
      </w:r>
      <w:r>
        <w:rPr>
          <w:sz w:val="20"/>
          <w:szCs w:val="20"/>
        </w:rPr>
        <w:t xml:space="preserve"> are inherently uncertain and their results cannot be predicted with certainty, we believe that the resolution of our current pending matters will not have a material adverse effect on our business, consolidated financial position, results of operations or</w:t>
      </w:r>
      <w:r>
        <w:rPr>
          <w:sz w:val="20"/>
          <w:szCs w:val="20"/>
        </w:rPr>
        <w:t xml:space="preserve"> cash flow. Regardless of the outcome, however, any litigation can have an adverse impact on us because of defense costs, diversion of management’s attention and other factors.</w:t>
      </w:r>
    </w:p>
    <w:p w14:paraId="13F6DA92"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02BDA4D"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of December 31, 2019, Chutian has been involved in multiple significant le</w:t>
      </w:r>
      <w:r>
        <w:rPr>
          <w:sz w:val="20"/>
          <w:szCs w:val="20"/>
        </w:rPr>
        <w:t>gal proceedings as claimants against various borrowers and guarantors, which are incidental to the lending business. During 2019, Chutian and our Chairman and CEO, Mr. Ricky Qizhi Wei, have also been involved in multiple significant legal proceedings which</w:t>
      </w:r>
      <w:r>
        <w:rPr>
          <w:sz w:val="20"/>
          <w:szCs w:val="20"/>
        </w:rPr>
        <w:t xml:space="preserve"> resulted in final rulings by the courts for pre-litigation property preservation or pre-litigation protective measures. In addition, Chutian and Mr. Wei have been the defendants in legal proceedings in connection with the payment of property services fee </w:t>
      </w:r>
      <w:r>
        <w:rPr>
          <w:sz w:val="20"/>
          <w:szCs w:val="20"/>
        </w:rPr>
        <w:t xml:space="preserve">and a loan dispute. </w:t>
      </w:r>
    </w:p>
    <w:p w14:paraId="2D62657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2DC11A7"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Proceedings incidental to our lending business</w:t>
      </w:r>
    </w:p>
    <w:p w14:paraId="3F9E001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B767D0D"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March 27, 2019, Chutian filed a motion with the Wuchang District People’</w:t>
      </w:r>
      <w:r>
        <w:rPr>
          <w:sz w:val="20"/>
          <w:szCs w:val="20"/>
        </w:rPr>
        <w:t>s Court of Wuhan to withdraw an action originally filed on July 18, 2018 against defendants Hubei Poly Ecology Construction Co., Ltd (</w:t>
      </w:r>
      <w:r>
        <w:rPr>
          <w:rFonts w:ascii="MS Mincho" w:eastAsia="MS Mincho" w:hAnsi="MS Mincho" w:cs="MS Mincho" w:hint="eastAsia"/>
          <w:sz w:val="20"/>
          <w:szCs w:val="20"/>
        </w:rPr>
        <w:t>湖北保利生</w:t>
      </w:r>
      <w:r>
        <w:rPr>
          <w:rFonts w:ascii="SimSun" w:eastAsia="SimSun" w:hAnsi="SimSun" w:cs="SimSun" w:hint="eastAsia"/>
          <w:sz w:val="20"/>
          <w:szCs w:val="20"/>
        </w:rPr>
        <w:t>态建设有限公司</w:t>
      </w:r>
      <w:r>
        <w:rPr>
          <w:sz w:val="20"/>
          <w:szCs w:val="20"/>
        </w:rPr>
        <w:t>), Chen Kang and Liang Jing regarding a civil loan dispute. On March 29, 2019, the court granted Chutian permi</w:t>
      </w:r>
      <w:r>
        <w:rPr>
          <w:sz w:val="20"/>
          <w:szCs w:val="20"/>
        </w:rPr>
        <w:t>ssion to withdraw the action.</w:t>
      </w:r>
    </w:p>
    <w:p w14:paraId="7BA8178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A9AFAD7"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June 13, 2019, Chutian filed an action in the Wuchang District People’s Court of Wuhan against defendant He Jun regarding a loan contract dispute. The case was filed by the Court on July 5, 2019. However, Chutian failed t</w:t>
      </w:r>
      <w:r>
        <w:rPr>
          <w:sz w:val="20"/>
          <w:szCs w:val="20"/>
        </w:rPr>
        <w:t>o pay the case acceptance fee within seven (7) days after we were served the notice for payment of litigation fees in accordance with the law. On July 16, 2019, the court issued a civil order and ordered the case to be withdrawn.</w:t>
      </w:r>
    </w:p>
    <w:p w14:paraId="26960CDB"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88CE80E" w14:textId="77777777">
        <w:trPr>
          <w:divId w:val="98525094"/>
          <w:trHeight w:val="225"/>
          <w:tblCellSpacing w:w="15" w:type="dxa"/>
        </w:trPr>
        <w:tc>
          <w:tcPr>
            <w:tcW w:w="0" w:type="auto"/>
            <w:vAlign w:val="center"/>
            <w:hideMark/>
          </w:tcPr>
          <w:p w14:paraId="6578060C" w14:textId="77777777" w:rsidR="00000000" w:rsidRDefault="00EB4933">
            <w:pPr>
              <w:rPr>
                <w:rFonts w:eastAsia="Times New Roman"/>
                <w:sz w:val="20"/>
                <w:szCs w:val="20"/>
              </w:rPr>
            </w:pPr>
            <w:r>
              <w:rPr>
                <w:rFonts w:eastAsia="Times New Roman"/>
                <w:sz w:val="20"/>
                <w:szCs w:val="20"/>
              </w:rPr>
              <w:t> </w:t>
            </w:r>
          </w:p>
        </w:tc>
      </w:tr>
      <w:tr w:rsidR="00000000" w14:paraId="3D016CF1" w14:textId="77777777">
        <w:trPr>
          <w:divId w:val="98525094"/>
          <w:trHeight w:val="225"/>
          <w:tblCellSpacing w:w="15" w:type="dxa"/>
        </w:trPr>
        <w:tc>
          <w:tcPr>
            <w:tcW w:w="0" w:type="auto"/>
            <w:tcBorders>
              <w:bottom w:val="single" w:sz="6" w:space="0" w:color="000000"/>
            </w:tcBorders>
            <w:vAlign w:val="center"/>
            <w:hideMark/>
          </w:tcPr>
          <w:p w14:paraId="60AF37ED" w14:textId="77777777" w:rsidR="00000000" w:rsidRDefault="00EB4933">
            <w:pPr>
              <w:jc w:val="center"/>
              <w:rPr>
                <w:rFonts w:eastAsia="Times New Roman"/>
                <w:sz w:val="20"/>
                <w:szCs w:val="20"/>
              </w:rPr>
            </w:pPr>
            <w:r>
              <w:rPr>
                <w:rFonts w:eastAsia="Times New Roman"/>
                <w:sz w:val="20"/>
                <w:szCs w:val="20"/>
              </w:rPr>
              <w:t>86</w:t>
            </w:r>
          </w:p>
        </w:tc>
      </w:tr>
      <w:tr w:rsidR="00000000" w14:paraId="490D021E" w14:textId="77777777">
        <w:trPr>
          <w:divId w:val="98525094"/>
          <w:trHeight w:val="225"/>
          <w:tblCellSpacing w:w="15" w:type="dxa"/>
        </w:trPr>
        <w:tc>
          <w:tcPr>
            <w:tcW w:w="0" w:type="auto"/>
            <w:vAlign w:val="center"/>
            <w:hideMark/>
          </w:tcPr>
          <w:p w14:paraId="7ABD3E53" w14:textId="77777777" w:rsidR="00000000" w:rsidRDefault="00EB4933">
            <w:pPr>
              <w:rPr>
                <w:rFonts w:eastAsia="Times New Roman"/>
                <w:sz w:val="20"/>
                <w:szCs w:val="20"/>
              </w:rPr>
            </w:pPr>
          </w:p>
        </w:tc>
      </w:tr>
      <w:tr w:rsidR="00000000" w14:paraId="78F71A27" w14:textId="77777777">
        <w:trPr>
          <w:divId w:val="98525094"/>
          <w:trHeight w:val="225"/>
          <w:tblCellSpacing w:w="15" w:type="dxa"/>
        </w:trPr>
        <w:tc>
          <w:tcPr>
            <w:tcW w:w="0" w:type="auto"/>
            <w:vAlign w:val="center"/>
            <w:hideMark/>
          </w:tcPr>
          <w:p w14:paraId="13171E6E" w14:textId="77777777" w:rsidR="00000000" w:rsidRDefault="00EB4933">
            <w:pPr>
              <w:rPr>
                <w:rFonts w:eastAsia="Times New Roman"/>
                <w:sz w:val="20"/>
                <w:szCs w:val="20"/>
              </w:rPr>
            </w:pPr>
            <w:hyperlink r:id="rId146" w:anchor="toc" w:history="1">
              <w:r>
                <w:rPr>
                  <w:rStyle w:val="Hyperlink"/>
                  <w:rFonts w:eastAsia="Times New Roman"/>
                  <w:i/>
                  <w:iCs/>
                  <w:sz w:val="20"/>
                  <w:szCs w:val="20"/>
                </w:rPr>
                <w:t>Table of Contents</w:t>
              </w:r>
            </w:hyperlink>
          </w:p>
        </w:tc>
      </w:tr>
    </w:tbl>
    <w:p w14:paraId="3AB35336"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0C8C2100"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June 13, 2019, Chutian filed an action in the Wuchang District People’s Court of Wuhan against defendant He Fengxia regarding a loan contract dispute. The case was filed by the Court on July 5, 2019. However,</w:t>
      </w:r>
      <w:r>
        <w:rPr>
          <w:sz w:val="20"/>
          <w:szCs w:val="20"/>
        </w:rPr>
        <w:t xml:space="preserve"> Chutian failed to pay the case acceptance fee within seven (7) days after we were served the notice for payment of litigation fees in accordance with the law. On July 16, 2019, the court issued a civil order and ordered the case to be withdrawn.</w:t>
      </w:r>
    </w:p>
    <w:p w14:paraId="76DAC36E"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1884946"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On June 13, 2019, Chutian filed an action in the Wuchang District People’s Court of Wuhan against defendant Yu Xiang regarding a loan contract dispute. The case was filed by the Court on July 5, 2019. However, Chutian failed to pay the case acceptance fee </w:t>
      </w:r>
      <w:r>
        <w:rPr>
          <w:sz w:val="20"/>
          <w:szCs w:val="20"/>
        </w:rPr>
        <w:t>within seven (7) days after we were served the notice for payment of litigation fees in accordance with the law. On July 16, 2019, the court issued a civil order and ordered the case to be withdrawn.</w:t>
      </w:r>
    </w:p>
    <w:p w14:paraId="246FD51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14E2127"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June 13, 2019, Chutian filed an action in the Wucha</w:t>
      </w:r>
      <w:r>
        <w:rPr>
          <w:sz w:val="20"/>
          <w:szCs w:val="20"/>
        </w:rPr>
        <w:t>ng District People’s Court of Wuhan against defendant Nan Yongping regarding a loan contract dispute. The case was filed by the Court on July 5, 2019. However, Chutian failed to pay the case acceptance fee within seven (7) days after we were served the not</w:t>
      </w:r>
      <w:r>
        <w:rPr>
          <w:sz w:val="20"/>
          <w:szCs w:val="20"/>
        </w:rPr>
        <w:t>ice for payment of litigation fees in accordance with the law. On July 16, 2019, the court issued a civil order and ordered the case to be withdrawn.</w:t>
      </w:r>
    </w:p>
    <w:p w14:paraId="5D5ABA8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CB35D8E"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On June 13, 2019, Chutian filed an action in the Wuchang District People’s Court of Wuhan against defend</w:t>
      </w:r>
      <w:r>
        <w:rPr>
          <w:sz w:val="20"/>
          <w:szCs w:val="20"/>
        </w:rPr>
        <w:t>ant Zhang Liping regarding a loan contract dispute. The case was filed by the Court on July 5, 2019. However, Chutian failed to pay the case acceptance fee within seven (7) days after we were served the notice for payment of litigation fees in accordance w</w:t>
      </w:r>
      <w:r>
        <w:rPr>
          <w:sz w:val="20"/>
          <w:szCs w:val="20"/>
        </w:rPr>
        <w:t>ith the law. On July 16, 2019, the court issued a civil order and ordered the case to be withdrawn.</w:t>
      </w:r>
    </w:p>
    <w:p w14:paraId="0819027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280DFC2"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June 13, 2019, Chutian filed an action in the Wuchang District People’s Court of Wuhan against defendants Wuhan City and City Economic and Trade Co., L</w:t>
      </w:r>
      <w:r>
        <w:rPr>
          <w:sz w:val="20"/>
          <w:szCs w:val="20"/>
        </w:rPr>
        <w:t>td (</w:t>
      </w:r>
      <w:r>
        <w:rPr>
          <w:rFonts w:ascii="MS Mincho" w:eastAsia="MS Mincho" w:hAnsi="MS Mincho" w:cs="MS Mincho" w:hint="eastAsia"/>
          <w:sz w:val="20"/>
          <w:szCs w:val="20"/>
        </w:rPr>
        <w:t>武</w:t>
      </w:r>
      <w:r>
        <w:rPr>
          <w:rFonts w:ascii="SimSun" w:eastAsia="SimSun" w:hAnsi="SimSun" w:cs="SimSun" w:hint="eastAsia"/>
          <w:sz w:val="20"/>
          <w:szCs w:val="20"/>
        </w:rPr>
        <w:t>汉市域和城经贸有限公司</w:t>
      </w:r>
      <w:r>
        <w:rPr>
          <w:sz w:val="20"/>
          <w:szCs w:val="20"/>
        </w:rPr>
        <w:t>) and Zhang Peng regarding a loan contract dispute. The case was filed by the Court on July 5, 2019. However, Chutian failed to pay the case acceptance fee within seven (7) days after we were served the notice for payment of litigation fees</w:t>
      </w:r>
      <w:r>
        <w:rPr>
          <w:sz w:val="20"/>
          <w:szCs w:val="20"/>
        </w:rPr>
        <w:t xml:space="preserve"> in accordance with the law. On July 16, 2019, the court issued a civil order and ordered the case to be withdrawn.</w:t>
      </w:r>
    </w:p>
    <w:p w14:paraId="6514DC5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C5688D1"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June 13, 2019, Chutian filed an action in the Wuchang District People’s Court of Wuhan against defendants Zhang Peng, Wuhan City and Ci</w:t>
      </w:r>
      <w:r>
        <w:rPr>
          <w:sz w:val="20"/>
          <w:szCs w:val="20"/>
        </w:rPr>
        <w:t>ty Economic and Trade Co., Ltd (</w:t>
      </w:r>
      <w:r>
        <w:rPr>
          <w:rFonts w:ascii="MS Mincho" w:eastAsia="MS Mincho" w:hAnsi="MS Mincho" w:cs="MS Mincho" w:hint="eastAsia"/>
          <w:sz w:val="20"/>
          <w:szCs w:val="20"/>
        </w:rPr>
        <w:t>武</w:t>
      </w:r>
      <w:r>
        <w:rPr>
          <w:rFonts w:ascii="SimSun" w:eastAsia="SimSun" w:hAnsi="SimSun" w:cs="SimSun" w:hint="eastAsia"/>
          <w:sz w:val="20"/>
          <w:szCs w:val="20"/>
        </w:rPr>
        <w:t>汉市域和城经贸有限公司</w:t>
      </w:r>
      <w:r>
        <w:rPr>
          <w:sz w:val="20"/>
          <w:szCs w:val="20"/>
        </w:rPr>
        <w:t>) and Li Zhengbi regarding a loan contract dispute. The case was filed by the Court on July 5, 2019. However, Chutian failed to pay the case acceptance fee within seven (7) days after we were served the notice fo</w:t>
      </w:r>
      <w:r>
        <w:rPr>
          <w:sz w:val="20"/>
          <w:szCs w:val="20"/>
        </w:rPr>
        <w:t>r payment of litigation fees in accordance with the law. On July 16, 2019, the court issued a civil order and ordered the case to be withdrawn.</w:t>
      </w:r>
    </w:p>
    <w:p w14:paraId="4ECB9A22"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3E4ECE1"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June 13, 2019, Chutian filed an action in the Wuchang District People’s Court of Wuhan against defendants H</w:t>
      </w:r>
      <w:r>
        <w:rPr>
          <w:sz w:val="20"/>
          <w:szCs w:val="20"/>
        </w:rPr>
        <w:t>ubei Tianxing Financing Guarantee Co., Ltd (</w:t>
      </w:r>
      <w:r>
        <w:rPr>
          <w:rFonts w:ascii="MS Mincho" w:eastAsia="MS Mincho" w:hAnsi="MS Mincho" w:cs="MS Mincho" w:hint="eastAsia"/>
          <w:sz w:val="20"/>
          <w:szCs w:val="20"/>
        </w:rPr>
        <w:t>湖北天行融</w:t>
      </w:r>
      <w:r>
        <w:rPr>
          <w:rFonts w:ascii="SimSun" w:eastAsia="SimSun" w:hAnsi="SimSun" w:cs="SimSun" w:hint="eastAsia"/>
          <w:sz w:val="20"/>
          <w:szCs w:val="20"/>
        </w:rPr>
        <w:t>资担保有限公司</w:t>
      </w:r>
      <w:r>
        <w:rPr>
          <w:sz w:val="20"/>
          <w:szCs w:val="20"/>
        </w:rPr>
        <w:t>) and Zou Chuanlin regarding a loan contract dispute. The case was filed by the Court on July 5, 2019. However, Chutian failed to pay the case acceptance fee within seven (7) days after we were served</w:t>
      </w:r>
      <w:r>
        <w:rPr>
          <w:sz w:val="20"/>
          <w:szCs w:val="20"/>
        </w:rPr>
        <w:t xml:space="preserve"> the notice for payment of litigation fees in accordance with the law. On July 16, 2019, the court issued a civil order and ordered the case to be withdrawn.</w:t>
      </w:r>
    </w:p>
    <w:p w14:paraId="30606E7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E7ADFCF"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June 13, 2019, Chutian filed an action in the Wuchang District People’s Court of Wuhan agains</w:t>
      </w:r>
      <w:r>
        <w:rPr>
          <w:sz w:val="20"/>
          <w:szCs w:val="20"/>
        </w:rPr>
        <w:t>t defendant Guo Guiying regarding a loan contract dispute. The case was filed by the Court on July 5, 2019. However, Chutian failed to pay the case acceptance fee within seven (7) days after we were served the notice for payment of litigation fees in accor</w:t>
      </w:r>
      <w:r>
        <w:rPr>
          <w:sz w:val="20"/>
          <w:szCs w:val="20"/>
        </w:rPr>
        <w:t>dance with the law. On July 16, 2019, the court issued a civil order and ordered the case to be withdrawn.</w:t>
      </w:r>
    </w:p>
    <w:p w14:paraId="4AE90FD2"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  </w:t>
      </w:r>
    </w:p>
    <w:p w14:paraId="6A10BC6F"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June 13, 2019, Chutian filed an action in the Wuchang District People’s Court of Wuhan against defendant Xiong Baokang regarding a loan contrac</w:t>
      </w:r>
      <w:r>
        <w:rPr>
          <w:sz w:val="20"/>
          <w:szCs w:val="20"/>
        </w:rPr>
        <w:t>t dispute. On July 16, 2019, the court issued a civil order and ordered the case to be withdrawn.</w:t>
      </w:r>
    </w:p>
    <w:p w14:paraId="1F19E3AA"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F3FB578"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August 8, 2019, Chutian filed a lawsuit in the Wuchang District People’s Court of Wuhan against defendants Liu Mengxia, Wuhan Shengzhong Decoration Eng</w:t>
      </w:r>
      <w:r>
        <w:rPr>
          <w:sz w:val="20"/>
          <w:szCs w:val="20"/>
        </w:rPr>
        <w:t>ineering Co., Ltd (</w:t>
      </w:r>
      <w:r>
        <w:rPr>
          <w:rFonts w:ascii="MS Mincho" w:eastAsia="MS Mincho" w:hAnsi="MS Mincho" w:cs="MS Mincho" w:hint="eastAsia"/>
          <w:sz w:val="20"/>
          <w:szCs w:val="20"/>
        </w:rPr>
        <w:t>武</w:t>
      </w:r>
      <w:r>
        <w:rPr>
          <w:rFonts w:ascii="SimSun" w:eastAsia="SimSun" w:hAnsi="SimSun" w:cs="SimSun" w:hint="eastAsia"/>
          <w:sz w:val="20"/>
          <w:szCs w:val="20"/>
        </w:rPr>
        <w:t>汉深中装建筑装饰设计工程有限公司</w:t>
      </w:r>
      <w:r>
        <w:rPr>
          <w:sz w:val="20"/>
          <w:szCs w:val="20"/>
        </w:rPr>
        <w:t>) and Wu Jiang regarding a loan contract dispute. On September 20, 2019, the court ruled that the case will be handled pursuant to a withdrawal of the lawsuit by Chutian, as Chutian had failed to appear as summoned by th</w:t>
      </w:r>
      <w:r>
        <w:rPr>
          <w:sz w:val="20"/>
          <w:szCs w:val="20"/>
        </w:rPr>
        <w:t>e Court without justifiable reasons.</w:t>
      </w:r>
    </w:p>
    <w:p w14:paraId="0A2185BA"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EBE5F68" w14:textId="77777777">
        <w:trPr>
          <w:divId w:val="98525094"/>
          <w:trHeight w:val="225"/>
          <w:tblCellSpacing w:w="15" w:type="dxa"/>
        </w:trPr>
        <w:tc>
          <w:tcPr>
            <w:tcW w:w="0" w:type="auto"/>
            <w:vAlign w:val="center"/>
            <w:hideMark/>
          </w:tcPr>
          <w:p w14:paraId="4313EED6" w14:textId="77777777" w:rsidR="00000000" w:rsidRDefault="00EB4933">
            <w:pPr>
              <w:rPr>
                <w:rFonts w:eastAsia="Times New Roman"/>
                <w:sz w:val="20"/>
                <w:szCs w:val="20"/>
              </w:rPr>
            </w:pPr>
            <w:r>
              <w:rPr>
                <w:rFonts w:eastAsia="Times New Roman"/>
                <w:sz w:val="20"/>
                <w:szCs w:val="20"/>
              </w:rPr>
              <w:t> </w:t>
            </w:r>
          </w:p>
        </w:tc>
      </w:tr>
      <w:tr w:rsidR="00000000" w14:paraId="108B2D1C" w14:textId="77777777">
        <w:trPr>
          <w:divId w:val="98525094"/>
          <w:trHeight w:val="225"/>
          <w:tblCellSpacing w:w="15" w:type="dxa"/>
        </w:trPr>
        <w:tc>
          <w:tcPr>
            <w:tcW w:w="0" w:type="auto"/>
            <w:tcBorders>
              <w:bottom w:val="single" w:sz="6" w:space="0" w:color="000000"/>
            </w:tcBorders>
            <w:vAlign w:val="center"/>
            <w:hideMark/>
          </w:tcPr>
          <w:p w14:paraId="185F068E" w14:textId="77777777" w:rsidR="00000000" w:rsidRDefault="00EB4933">
            <w:pPr>
              <w:jc w:val="center"/>
              <w:rPr>
                <w:rFonts w:eastAsia="Times New Roman"/>
                <w:sz w:val="20"/>
                <w:szCs w:val="20"/>
              </w:rPr>
            </w:pPr>
            <w:r>
              <w:rPr>
                <w:rFonts w:eastAsia="Times New Roman"/>
                <w:sz w:val="20"/>
                <w:szCs w:val="20"/>
              </w:rPr>
              <w:t>87</w:t>
            </w:r>
          </w:p>
        </w:tc>
      </w:tr>
      <w:tr w:rsidR="00000000" w14:paraId="4632F088" w14:textId="77777777">
        <w:trPr>
          <w:divId w:val="98525094"/>
          <w:trHeight w:val="225"/>
          <w:tblCellSpacing w:w="15" w:type="dxa"/>
        </w:trPr>
        <w:tc>
          <w:tcPr>
            <w:tcW w:w="0" w:type="auto"/>
            <w:vAlign w:val="center"/>
            <w:hideMark/>
          </w:tcPr>
          <w:p w14:paraId="464E5580" w14:textId="77777777" w:rsidR="00000000" w:rsidRDefault="00EB4933">
            <w:pPr>
              <w:rPr>
                <w:rFonts w:eastAsia="Times New Roman"/>
                <w:sz w:val="20"/>
                <w:szCs w:val="20"/>
              </w:rPr>
            </w:pPr>
          </w:p>
        </w:tc>
      </w:tr>
      <w:tr w:rsidR="00000000" w14:paraId="2F63B2B0" w14:textId="77777777">
        <w:trPr>
          <w:divId w:val="98525094"/>
          <w:trHeight w:val="225"/>
          <w:tblCellSpacing w:w="15" w:type="dxa"/>
        </w:trPr>
        <w:tc>
          <w:tcPr>
            <w:tcW w:w="0" w:type="auto"/>
            <w:vAlign w:val="center"/>
            <w:hideMark/>
          </w:tcPr>
          <w:p w14:paraId="2B4273DD" w14:textId="77777777" w:rsidR="00000000" w:rsidRDefault="00EB4933">
            <w:pPr>
              <w:rPr>
                <w:rFonts w:eastAsia="Times New Roman"/>
                <w:sz w:val="20"/>
                <w:szCs w:val="20"/>
              </w:rPr>
            </w:pPr>
            <w:hyperlink r:id="rId147" w:anchor="toc" w:history="1">
              <w:r>
                <w:rPr>
                  <w:rStyle w:val="Hyperlink"/>
                  <w:rFonts w:eastAsia="Times New Roman"/>
                  <w:i/>
                  <w:iCs/>
                  <w:sz w:val="20"/>
                  <w:szCs w:val="20"/>
                </w:rPr>
                <w:t>Table of Contents</w:t>
              </w:r>
            </w:hyperlink>
          </w:p>
        </w:tc>
      </w:tr>
    </w:tbl>
    <w:p w14:paraId="1ECAD5C4"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66779326"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August 8, 2019, Chutian filed a lawsuit in the Wuchang District People’</w:t>
      </w:r>
      <w:r>
        <w:rPr>
          <w:sz w:val="20"/>
          <w:szCs w:val="20"/>
        </w:rPr>
        <w:t>s Court of Wuhan against defendants Cao Jian, Wuhan Shengzhong Decoration Engineering Co., Ltd (</w:t>
      </w:r>
      <w:r>
        <w:rPr>
          <w:rFonts w:ascii="MS Mincho" w:eastAsia="MS Mincho" w:hAnsi="MS Mincho" w:cs="MS Mincho" w:hint="eastAsia"/>
          <w:sz w:val="20"/>
          <w:szCs w:val="20"/>
        </w:rPr>
        <w:t>武</w:t>
      </w:r>
      <w:r>
        <w:rPr>
          <w:rFonts w:ascii="SimSun" w:eastAsia="SimSun" w:hAnsi="SimSun" w:cs="SimSun" w:hint="eastAsia"/>
          <w:sz w:val="20"/>
          <w:szCs w:val="20"/>
        </w:rPr>
        <w:t>汉深中装建筑装饰设计工程有限公司</w:t>
      </w:r>
      <w:r>
        <w:rPr>
          <w:sz w:val="20"/>
          <w:szCs w:val="20"/>
        </w:rPr>
        <w:t>) and Wu Jiang regarding a loan contract dispute. On September 20, 2019, the court ruled that the case will be handled pursuant to a withdrawal</w:t>
      </w:r>
      <w:r>
        <w:rPr>
          <w:sz w:val="20"/>
          <w:szCs w:val="20"/>
        </w:rPr>
        <w:t xml:space="preserve"> of the lawsuit by Chutian, as Chutian had failed to appear as summoned by the Court without justifiable reasons.</w:t>
      </w:r>
    </w:p>
    <w:p w14:paraId="1454F592"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A5D9092"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July 24, 2017, Chutian filed an execution case with the Wuhan Wuchang District People’s Court for property preservation on Hubei Sheng Gu</w:t>
      </w:r>
      <w:r>
        <w:rPr>
          <w:sz w:val="20"/>
          <w:szCs w:val="20"/>
        </w:rPr>
        <w:t xml:space="preserve">ang Gong Pharmaceutical Co., Ltd and related borrowers. On August 20, 2019, Chutian further filed the real estate valuation report to the court for further processing. </w:t>
      </w:r>
    </w:p>
    <w:p w14:paraId="1280032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40618BB"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Property Preservation Proceedings</w:t>
      </w:r>
    </w:p>
    <w:p w14:paraId="08EF99CD"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p w14:paraId="6AEBF51C"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July 16, 2019, Shenzhen Lihe Wantong Commerica</w:t>
      </w:r>
      <w:r>
        <w:rPr>
          <w:sz w:val="20"/>
          <w:szCs w:val="20"/>
        </w:rPr>
        <w:t>l Factoring Co., Ltd (</w:t>
      </w:r>
      <w:r>
        <w:rPr>
          <w:rFonts w:ascii="MS Mincho" w:eastAsia="MS Mincho" w:hAnsi="MS Mincho" w:cs="MS Mincho" w:hint="eastAsia"/>
          <w:sz w:val="20"/>
          <w:szCs w:val="20"/>
        </w:rPr>
        <w:t>深</w:t>
      </w:r>
      <w:r>
        <w:rPr>
          <w:rFonts w:ascii="MS Gothic" w:eastAsia="MS Gothic" w:hAnsi="MS Gothic" w:cs="MS Gothic" w:hint="eastAsia"/>
          <w:sz w:val="20"/>
          <w:szCs w:val="20"/>
        </w:rPr>
        <w:t>圳立合旺通商</w:t>
      </w:r>
      <w:r>
        <w:rPr>
          <w:rFonts w:ascii="SimSun" w:eastAsia="SimSun" w:hAnsi="SimSun" w:cs="SimSun" w:hint="eastAsia"/>
          <w:sz w:val="20"/>
          <w:szCs w:val="20"/>
        </w:rPr>
        <w:t>业保理有限公司</w:t>
      </w:r>
      <w:r>
        <w:rPr>
          <w:sz w:val="20"/>
          <w:szCs w:val="20"/>
        </w:rPr>
        <w:t>) applied to the Wuhan Wuchang People’s Court for pre-litigation protective measures to be taken against the respondents Chutian and Mr. Ricky Qizhi Wei with regards to a contract dispute. On July 31, 2019, the court iss</w:t>
      </w:r>
      <w:r>
        <w:rPr>
          <w:sz w:val="20"/>
          <w:szCs w:val="20"/>
        </w:rPr>
        <w:t>ued a preservation order freezing a total of RMB12.3 million of deposits in the bank accounts of Chutian and Mr Ricky Qizhi Wei be for a period of one (1) year; and seizing four properties of Mr Ricky Qizhi Wei and Ms Peng Yan, Mr Ricky Qizhi Wei’s wife. T</w:t>
      </w:r>
      <w:r>
        <w:rPr>
          <w:sz w:val="20"/>
          <w:szCs w:val="20"/>
        </w:rPr>
        <w:t xml:space="preserve">he total limit of the property preservation in this matter is RMB29.9 million. </w:t>
      </w:r>
    </w:p>
    <w:p w14:paraId="7927106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AAC57F1"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September 4, 2019, Hubei Changjiang Microcredit Co., Ltd (</w:t>
      </w:r>
      <w:r>
        <w:rPr>
          <w:rFonts w:ascii="MS Mincho" w:eastAsia="MS Mincho" w:hAnsi="MS Mincho" w:cs="MS Mincho" w:hint="eastAsia"/>
          <w:sz w:val="20"/>
          <w:szCs w:val="20"/>
        </w:rPr>
        <w:t>湖北</w:t>
      </w:r>
      <w:r>
        <w:rPr>
          <w:rFonts w:ascii="SimSun" w:eastAsia="SimSun" w:hAnsi="SimSun" w:cs="SimSun" w:hint="eastAsia"/>
          <w:sz w:val="20"/>
          <w:szCs w:val="20"/>
        </w:rPr>
        <w:t>长江小额贷款有限公司</w:t>
      </w:r>
      <w:r>
        <w:rPr>
          <w:sz w:val="20"/>
          <w:szCs w:val="20"/>
        </w:rPr>
        <w:t>) applied to the Wuhan Wuchang People’s Court for pre-litigation property preservation of respondents</w:t>
      </w:r>
      <w:r>
        <w:rPr>
          <w:sz w:val="20"/>
          <w:szCs w:val="20"/>
        </w:rPr>
        <w:t xml:space="preserve"> Mr Ricky Qizhi Wei and Ms Peng Yan, Mr Ricky Qizhi Wei’s wife, Chutian, Hubei New Nature Investment Co., Ltd and Dunxin Holdings Co., Ltd in connection with a loan contract dispute. On September 6, 2019, the court issued a preservation order seizing the b</w:t>
      </w:r>
      <w:r>
        <w:rPr>
          <w:sz w:val="20"/>
          <w:szCs w:val="20"/>
        </w:rPr>
        <w:t xml:space="preserve">ank deposits, or property in the corresponding value, of Mr Ricky Qizhi Wei, Ms Peng Yan, Chutian, Hubei New Nature Investment Co., Ltd and Dunxin Holdings Co., Ltd in the amount of RMB13.0 million and RMB12.0 million. Hubei New Nature Investment Co., Ltd </w:t>
      </w:r>
      <w:r>
        <w:rPr>
          <w:sz w:val="20"/>
          <w:szCs w:val="20"/>
        </w:rPr>
        <w:t>is a company that is 80.8% owned by the Chairman and the Chief Executive Officer, Mr Ricky Qizhi Wei. Dunxin Holdings Co., Ltd is a company that is 70% owned by the Chairman and the Chief Executive Officer, Mr Ricky Qizhi Wei and 30% owned by Ms Wenting (T</w:t>
      </w:r>
      <w:r>
        <w:rPr>
          <w:sz w:val="20"/>
          <w:szCs w:val="20"/>
        </w:rPr>
        <w:t xml:space="preserve">ina) Xiao, Chief Personal/Human Resource Officer. The Court’s ruling was effective immediately. </w:t>
      </w:r>
    </w:p>
    <w:p w14:paraId="70B69862"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800CDA8"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October 14, 2019, Mr Deng Xinxue, Mr Zhang Xuan and Mr Yang Bobiao each applied to the Wuhan Wuchang People’s Court for pre-litigation property preservation of respondents Hubei Shanyin Wealth Management Co., Ltd (</w:t>
      </w:r>
      <w:r>
        <w:rPr>
          <w:rFonts w:ascii="MS Mincho" w:eastAsia="MS Mincho" w:hAnsi="MS Mincho" w:cs="MS Mincho" w:hint="eastAsia"/>
          <w:sz w:val="20"/>
          <w:szCs w:val="20"/>
        </w:rPr>
        <w:t>湖北善</w:t>
      </w:r>
      <w:r>
        <w:rPr>
          <w:rFonts w:ascii="SimSun" w:eastAsia="SimSun" w:hAnsi="SimSun" w:cs="SimSun" w:hint="eastAsia"/>
          <w:sz w:val="20"/>
          <w:szCs w:val="20"/>
        </w:rPr>
        <w:t>银财富管理有限公司</w:t>
      </w:r>
      <w:r>
        <w:rPr>
          <w:sz w:val="20"/>
          <w:szCs w:val="20"/>
        </w:rPr>
        <w:t xml:space="preserve">), a company that is 69.5% </w:t>
      </w:r>
      <w:r>
        <w:rPr>
          <w:sz w:val="20"/>
          <w:szCs w:val="20"/>
        </w:rPr>
        <w:t>owned by the Chairman and the Chief Executive Officer, Mr Ricky Qizhi Wei, and Chutian in connection with loan contracts dispute. The court issued a preservation order seizing the bank deposits, or property in the corresponding value, of Hubei Shanyin Weal</w:t>
      </w:r>
      <w:r>
        <w:rPr>
          <w:sz w:val="20"/>
          <w:szCs w:val="20"/>
        </w:rPr>
        <w:t xml:space="preserve">th Management Co., Ltd and Chutian in the amount of RMB2.9 million, RMB9.0 million and RMB9.0 million, respectively. The court’s ruling was effective immediately. </w:t>
      </w:r>
    </w:p>
    <w:p w14:paraId="41DE68C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C670785"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October 15, 2019, the Wuhan Wuchang People’s Court received a Letter of Property Preser</w:t>
      </w:r>
      <w:r>
        <w:rPr>
          <w:sz w:val="20"/>
          <w:szCs w:val="20"/>
        </w:rPr>
        <w:t>vation from the Wuhan Arbitration Commission in connection with a loan contract dispute among the applicant Hubei Huaya Investment Co., Ltd (</w:t>
      </w:r>
      <w:r>
        <w:rPr>
          <w:rFonts w:ascii="MS Mincho" w:eastAsia="MS Mincho" w:hAnsi="MS Mincho" w:cs="MS Mincho" w:hint="eastAsia"/>
          <w:sz w:val="20"/>
          <w:szCs w:val="20"/>
        </w:rPr>
        <w:t>湖北</w:t>
      </w:r>
      <w:r>
        <w:rPr>
          <w:rFonts w:ascii="SimSun" w:eastAsia="SimSun" w:hAnsi="SimSun" w:cs="SimSun" w:hint="eastAsia"/>
          <w:sz w:val="20"/>
          <w:szCs w:val="20"/>
        </w:rPr>
        <w:t>华亚投资有限公司</w:t>
      </w:r>
      <w:r>
        <w:rPr>
          <w:sz w:val="20"/>
          <w:szCs w:val="20"/>
        </w:rPr>
        <w:t>) and respondents Mr Ricky Qizhi Wei, Ms Peng Yan and Chutian. On October 23, 2019, after review of the l</w:t>
      </w:r>
      <w:r>
        <w:rPr>
          <w:sz w:val="20"/>
          <w:szCs w:val="20"/>
        </w:rPr>
        <w:t xml:space="preserve">etter by the court, the court issued a preservation seizing the bank deposits, or property in the corresponding value, of Mr Ricky Qizhi Wei, Ms Peng Yan, and Chutian in the amount of RMB12.3 million. The Court’s ruling was effective immediately. </w:t>
      </w:r>
    </w:p>
    <w:p w14:paraId="67982FA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4687481"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Proper</w:t>
      </w:r>
      <w:r>
        <w:rPr>
          <w:rStyle w:val="Emphasis"/>
          <w:b/>
          <w:bCs/>
          <w:sz w:val="20"/>
          <w:szCs w:val="20"/>
        </w:rPr>
        <w:t>ty Services Contract Proceeding</w:t>
      </w:r>
    </w:p>
    <w:p w14:paraId="464A4F1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BC99B46"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September 26, 2019, the Wuhan Branch of Xiamen Lianfa (Group) Property Services Co., Ltd (“Xiamen Lianfa”) filed an action in the Wuhan Wuchang People’s Court against Chutian in connection with a property service contra</w:t>
      </w:r>
      <w:r>
        <w:rPr>
          <w:sz w:val="20"/>
          <w:szCs w:val="20"/>
        </w:rPr>
        <w:t>ct dispute. On November 27, 2019, the case was scheduled to be heard and Chutian was lawfully summoned and failed to appear, and did not submit a reply. The case was decided and concluded on November 27, 2019. The court found that Chutian failed to pay the</w:t>
      </w:r>
      <w:r>
        <w:rPr>
          <w:sz w:val="20"/>
          <w:szCs w:val="20"/>
        </w:rPr>
        <w:t xml:space="preserve"> owed property services fees to Xiamen Lianfa from April 1, 2019 to August 31, 2019. The court rendered a judgment in favor of Xiamen Lianfa and ordered Chutian to pay property services fee in the amount of RMB193,944 for the period from April 1, 2019 to A</w:t>
      </w:r>
      <w:r>
        <w:rPr>
          <w:sz w:val="20"/>
          <w:szCs w:val="20"/>
        </w:rPr>
        <w:t>ugust 31, 2019 to Xiamen Lianfa, within 10 days of the judgment. The court further ordered Chutian to pay the accrued interest, to be calculated based on the principal amount of RMB193,944 and based on the People’s Bank of China lending interest rate for t</w:t>
      </w:r>
      <w:r>
        <w:rPr>
          <w:sz w:val="20"/>
          <w:szCs w:val="20"/>
        </w:rPr>
        <w:t xml:space="preserve">he period from September 26, 2019 until fully paid. In the event that the repayment obligation is not fulfilled, the court ordered that the debt interest would be doubled in accordance with PRC law. Chutian did not appeal the judgment and the judgment was </w:t>
      </w:r>
      <w:r>
        <w:rPr>
          <w:sz w:val="20"/>
          <w:szCs w:val="20"/>
        </w:rPr>
        <w:t>effected immediately.</w:t>
      </w:r>
    </w:p>
    <w:p w14:paraId="70568573"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C9FDDF1" w14:textId="77777777">
        <w:trPr>
          <w:divId w:val="98525094"/>
          <w:trHeight w:val="225"/>
          <w:tblCellSpacing w:w="15" w:type="dxa"/>
        </w:trPr>
        <w:tc>
          <w:tcPr>
            <w:tcW w:w="0" w:type="auto"/>
            <w:vAlign w:val="center"/>
            <w:hideMark/>
          </w:tcPr>
          <w:p w14:paraId="424A6F62" w14:textId="77777777" w:rsidR="00000000" w:rsidRDefault="00EB4933">
            <w:pPr>
              <w:rPr>
                <w:rFonts w:eastAsia="Times New Roman"/>
                <w:sz w:val="20"/>
                <w:szCs w:val="20"/>
              </w:rPr>
            </w:pPr>
            <w:r>
              <w:rPr>
                <w:rFonts w:eastAsia="Times New Roman"/>
                <w:sz w:val="20"/>
                <w:szCs w:val="20"/>
              </w:rPr>
              <w:t> </w:t>
            </w:r>
          </w:p>
        </w:tc>
      </w:tr>
      <w:tr w:rsidR="00000000" w14:paraId="3FE75469" w14:textId="77777777">
        <w:trPr>
          <w:divId w:val="98525094"/>
          <w:trHeight w:val="225"/>
          <w:tblCellSpacing w:w="15" w:type="dxa"/>
        </w:trPr>
        <w:tc>
          <w:tcPr>
            <w:tcW w:w="0" w:type="auto"/>
            <w:tcBorders>
              <w:bottom w:val="single" w:sz="6" w:space="0" w:color="000000"/>
            </w:tcBorders>
            <w:vAlign w:val="center"/>
            <w:hideMark/>
          </w:tcPr>
          <w:p w14:paraId="5C122A22" w14:textId="77777777" w:rsidR="00000000" w:rsidRDefault="00EB4933">
            <w:pPr>
              <w:jc w:val="center"/>
              <w:rPr>
                <w:rFonts w:eastAsia="Times New Roman"/>
                <w:sz w:val="20"/>
                <w:szCs w:val="20"/>
              </w:rPr>
            </w:pPr>
            <w:r>
              <w:rPr>
                <w:rFonts w:eastAsia="Times New Roman"/>
                <w:sz w:val="20"/>
                <w:szCs w:val="20"/>
              </w:rPr>
              <w:t>88</w:t>
            </w:r>
          </w:p>
        </w:tc>
      </w:tr>
      <w:tr w:rsidR="00000000" w14:paraId="53B99155" w14:textId="77777777">
        <w:trPr>
          <w:divId w:val="98525094"/>
          <w:trHeight w:val="225"/>
          <w:tblCellSpacing w:w="15" w:type="dxa"/>
        </w:trPr>
        <w:tc>
          <w:tcPr>
            <w:tcW w:w="0" w:type="auto"/>
            <w:vAlign w:val="center"/>
            <w:hideMark/>
          </w:tcPr>
          <w:p w14:paraId="289E15DD" w14:textId="77777777" w:rsidR="00000000" w:rsidRDefault="00EB4933">
            <w:pPr>
              <w:rPr>
                <w:rFonts w:eastAsia="Times New Roman"/>
                <w:sz w:val="20"/>
                <w:szCs w:val="20"/>
              </w:rPr>
            </w:pPr>
          </w:p>
        </w:tc>
      </w:tr>
      <w:tr w:rsidR="00000000" w14:paraId="2ADF625F" w14:textId="77777777">
        <w:trPr>
          <w:divId w:val="98525094"/>
          <w:trHeight w:val="225"/>
          <w:tblCellSpacing w:w="15" w:type="dxa"/>
        </w:trPr>
        <w:tc>
          <w:tcPr>
            <w:tcW w:w="0" w:type="auto"/>
            <w:vAlign w:val="center"/>
            <w:hideMark/>
          </w:tcPr>
          <w:p w14:paraId="11093FC0" w14:textId="77777777" w:rsidR="00000000" w:rsidRDefault="00EB4933">
            <w:pPr>
              <w:rPr>
                <w:rFonts w:eastAsia="Times New Roman"/>
                <w:sz w:val="20"/>
                <w:szCs w:val="20"/>
              </w:rPr>
            </w:pPr>
            <w:hyperlink r:id="rId148" w:anchor="toc" w:history="1">
              <w:r>
                <w:rPr>
                  <w:rStyle w:val="Hyperlink"/>
                  <w:rFonts w:eastAsia="Times New Roman"/>
                  <w:i/>
                  <w:iCs/>
                  <w:sz w:val="20"/>
                  <w:szCs w:val="20"/>
                </w:rPr>
                <w:t>Table of Contents</w:t>
              </w:r>
            </w:hyperlink>
          </w:p>
        </w:tc>
      </w:tr>
    </w:tbl>
    <w:p w14:paraId="56CDA423"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2A1EB373"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Li Ling Loan Dispute Proceeding</w:t>
      </w:r>
    </w:p>
    <w:p w14:paraId="76D7095B"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p w14:paraId="328EEC4F"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August 27, 2019, Ms Li Ling applied to the Wuhan Wuchang People’s Court for pre-litigation property preservation of respondents Chutian and Mr Ricky Qizhi Wei in connection with a loan contract dispute. court issued a preservation order that froze the b</w:t>
      </w:r>
      <w:r>
        <w:rPr>
          <w:sz w:val="20"/>
          <w:szCs w:val="20"/>
        </w:rPr>
        <w:t xml:space="preserve">ank deposits of Chutian and Mr Ricky Qizhi Wei in the amount of RMB12.0 million, or to seize or attach property in the corresponding value. </w:t>
      </w:r>
    </w:p>
    <w:p w14:paraId="300C5D1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55C9672"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October 9, 2019, the case was filed and accepted in the Wuhan Jiang’an People’s Court. Li Ling filed the follo</w:t>
      </w:r>
      <w:r>
        <w:rPr>
          <w:sz w:val="20"/>
          <w:szCs w:val="20"/>
        </w:rPr>
        <w:t>wing actions with the court: (1) that the two defendants Chutian and Mr Ricky Qizhi Wei repay the borrowed principal of RMB10.0 million and interest of RMB787,500 (based on the interest rate of 1.125% per month on the principal of RMB10.0 million, calculat</w:t>
      </w:r>
      <w:r>
        <w:rPr>
          <w:sz w:val="20"/>
          <w:szCs w:val="20"/>
        </w:rPr>
        <w:t>ed from February 1, 2019 until fully paid, currently calculated until 30 August, 2019), and (2) the costs of litigation to be fully borne by both defendants. On December 4, 2019, the court ruled that there was a valid loan relationship, that Chutian had fa</w:t>
      </w:r>
      <w:r>
        <w:rPr>
          <w:sz w:val="20"/>
          <w:szCs w:val="20"/>
        </w:rPr>
        <w:t>iled to repay the loan as agreed and that Ms Li Ling had the right to request full repayment of the loan principal and interest. The court ordered Chutian to repay the principal amount of the loan of RMB10.0 million to Ms Li Ling, and to pay the interest r</w:t>
      </w:r>
      <w:r>
        <w:rPr>
          <w:sz w:val="20"/>
          <w:szCs w:val="20"/>
        </w:rPr>
        <w:t>ate of 1.125% per month on the principal amount of RMB10.0 million, beginning February 2019 until the date the loan is fully paid. The court further ordered that Mr Ricky Qizhi Wei shall also be jointly and severally liable for the repayment of the loan. I</w:t>
      </w:r>
      <w:r>
        <w:rPr>
          <w:sz w:val="20"/>
          <w:szCs w:val="20"/>
        </w:rPr>
        <w:t>n the event that the repayment obligation is not fulfilled, the court ordered that the debt interest would be doubled in accordance with PRC law.</w:t>
      </w:r>
    </w:p>
    <w:p w14:paraId="2C0471C0"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18CA087"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May 20, 2020, due to the failure of Chutian to fulfil its obligation to repay the principal amount determ</w:t>
      </w:r>
      <w:r>
        <w:rPr>
          <w:sz w:val="20"/>
          <w:szCs w:val="20"/>
        </w:rPr>
        <w:t>ined above, the court issued a consumer restriction order against Mr Ricky Qizhi Wei to restrict high consumption and high expenditure behaviors. Violation of this order carries the imposition of fines and detention, and in circumstances sufficiently serio</w:t>
      </w:r>
      <w:r>
        <w:rPr>
          <w:sz w:val="20"/>
          <w:szCs w:val="20"/>
        </w:rPr>
        <w:t>us to constitute a crime, pursuit of criminal liability according to law.</w:t>
      </w:r>
    </w:p>
    <w:p w14:paraId="4AF7235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613F20A"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There are no proceedings in which any of our directors, officers, or any beneficial shareholder of more than five percent (5%) of our voting securities is an adverse party or has a</w:t>
      </w:r>
      <w:r>
        <w:rPr>
          <w:sz w:val="20"/>
          <w:szCs w:val="20"/>
        </w:rPr>
        <w:t xml:space="preserve"> material interest adverse to Chutian.</w:t>
      </w:r>
    </w:p>
    <w:p w14:paraId="463921E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8D68492" w14:textId="77777777" w:rsidR="00000000" w:rsidRDefault="00EB4933">
      <w:pPr>
        <w:pStyle w:val="NormalWeb"/>
        <w:spacing w:before="0" w:beforeAutospacing="0" w:after="0" w:afterAutospacing="0"/>
        <w:jc w:val="both"/>
        <w:divId w:val="98525094"/>
        <w:rPr>
          <w:sz w:val="20"/>
          <w:szCs w:val="20"/>
        </w:rPr>
      </w:pPr>
      <w:r>
        <w:rPr>
          <w:rStyle w:val="Strong"/>
          <w:sz w:val="20"/>
          <w:szCs w:val="20"/>
        </w:rPr>
        <w:t>B. Significant Changes</w:t>
      </w:r>
      <w:r>
        <w:rPr>
          <w:sz w:val="20"/>
          <w:szCs w:val="20"/>
        </w:rPr>
        <w:t xml:space="preserve"> </w:t>
      </w:r>
    </w:p>
    <w:p w14:paraId="78A88CD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530BA1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Except as disclosed elsewhere in this annual report, we have not experienced any significant changes since the date of our audited consolidated financial statements included in this annual </w:t>
      </w:r>
      <w:r>
        <w:rPr>
          <w:sz w:val="20"/>
          <w:szCs w:val="20"/>
        </w:rPr>
        <w:t>report.</w:t>
      </w:r>
    </w:p>
    <w:p w14:paraId="69612E2C"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3CC89BD" w14:textId="77777777">
        <w:trPr>
          <w:divId w:val="98525094"/>
          <w:trHeight w:val="225"/>
          <w:tblCellSpacing w:w="15" w:type="dxa"/>
        </w:trPr>
        <w:tc>
          <w:tcPr>
            <w:tcW w:w="0" w:type="auto"/>
            <w:vAlign w:val="center"/>
            <w:hideMark/>
          </w:tcPr>
          <w:p w14:paraId="50353203" w14:textId="77777777" w:rsidR="00000000" w:rsidRDefault="00EB4933">
            <w:pPr>
              <w:rPr>
                <w:rFonts w:eastAsia="Times New Roman"/>
                <w:sz w:val="20"/>
                <w:szCs w:val="20"/>
              </w:rPr>
            </w:pPr>
            <w:r>
              <w:rPr>
                <w:rFonts w:eastAsia="Times New Roman"/>
                <w:sz w:val="20"/>
                <w:szCs w:val="20"/>
              </w:rPr>
              <w:t> </w:t>
            </w:r>
          </w:p>
        </w:tc>
      </w:tr>
      <w:tr w:rsidR="00000000" w14:paraId="65C7764C" w14:textId="77777777">
        <w:trPr>
          <w:divId w:val="98525094"/>
          <w:trHeight w:val="225"/>
          <w:tblCellSpacing w:w="15" w:type="dxa"/>
        </w:trPr>
        <w:tc>
          <w:tcPr>
            <w:tcW w:w="0" w:type="auto"/>
            <w:tcBorders>
              <w:bottom w:val="single" w:sz="6" w:space="0" w:color="000000"/>
            </w:tcBorders>
            <w:vAlign w:val="center"/>
            <w:hideMark/>
          </w:tcPr>
          <w:p w14:paraId="78CCD9AB" w14:textId="77777777" w:rsidR="00000000" w:rsidRDefault="00EB4933">
            <w:pPr>
              <w:jc w:val="center"/>
              <w:rPr>
                <w:rFonts w:eastAsia="Times New Roman"/>
                <w:sz w:val="20"/>
                <w:szCs w:val="20"/>
              </w:rPr>
            </w:pPr>
            <w:r>
              <w:rPr>
                <w:rFonts w:eastAsia="Times New Roman"/>
                <w:sz w:val="20"/>
                <w:szCs w:val="20"/>
              </w:rPr>
              <w:t>89</w:t>
            </w:r>
          </w:p>
        </w:tc>
      </w:tr>
      <w:tr w:rsidR="00000000" w14:paraId="428E529F" w14:textId="77777777">
        <w:trPr>
          <w:divId w:val="98525094"/>
          <w:trHeight w:val="225"/>
          <w:tblCellSpacing w:w="15" w:type="dxa"/>
        </w:trPr>
        <w:tc>
          <w:tcPr>
            <w:tcW w:w="0" w:type="auto"/>
            <w:vAlign w:val="center"/>
            <w:hideMark/>
          </w:tcPr>
          <w:p w14:paraId="30122125" w14:textId="77777777" w:rsidR="00000000" w:rsidRDefault="00EB4933">
            <w:pPr>
              <w:rPr>
                <w:rFonts w:eastAsia="Times New Roman"/>
                <w:sz w:val="20"/>
                <w:szCs w:val="20"/>
              </w:rPr>
            </w:pPr>
          </w:p>
        </w:tc>
      </w:tr>
      <w:tr w:rsidR="00000000" w14:paraId="6A6A6C41" w14:textId="77777777">
        <w:trPr>
          <w:divId w:val="98525094"/>
          <w:trHeight w:val="225"/>
          <w:tblCellSpacing w:w="15" w:type="dxa"/>
        </w:trPr>
        <w:tc>
          <w:tcPr>
            <w:tcW w:w="0" w:type="auto"/>
            <w:vAlign w:val="center"/>
            <w:hideMark/>
          </w:tcPr>
          <w:p w14:paraId="690470DB" w14:textId="77777777" w:rsidR="00000000" w:rsidRDefault="00EB4933">
            <w:pPr>
              <w:rPr>
                <w:rFonts w:eastAsia="Times New Roman"/>
                <w:sz w:val="20"/>
                <w:szCs w:val="20"/>
              </w:rPr>
            </w:pPr>
            <w:hyperlink r:id="rId149" w:anchor="toc" w:history="1">
              <w:r>
                <w:rPr>
                  <w:rStyle w:val="Hyperlink"/>
                  <w:rFonts w:eastAsia="Times New Roman"/>
                  <w:i/>
                  <w:iCs/>
                  <w:sz w:val="20"/>
                  <w:szCs w:val="20"/>
                </w:rPr>
                <w:t>Table of Contents</w:t>
              </w:r>
            </w:hyperlink>
          </w:p>
        </w:tc>
      </w:tr>
    </w:tbl>
    <w:p w14:paraId="0FC7ECA2"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03CDAF5D" w14:textId="77777777" w:rsidR="00000000" w:rsidRDefault="00EB4933">
      <w:pPr>
        <w:pStyle w:val="NormalWeb"/>
        <w:spacing w:before="0" w:beforeAutospacing="0" w:after="0" w:afterAutospacing="0"/>
        <w:jc w:val="both"/>
        <w:divId w:val="98525094"/>
        <w:rPr>
          <w:sz w:val="20"/>
          <w:szCs w:val="20"/>
        </w:rPr>
      </w:pPr>
      <w:bookmarkStart w:id="13" w:name="i9"/>
      <w:r>
        <w:rPr>
          <w:rStyle w:val="Strong"/>
          <w:sz w:val="20"/>
          <w:szCs w:val="20"/>
        </w:rPr>
        <w:t>ITEM 9. THE OFFER AND LISTING</w:t>
      </w:r>
      <w:bookmarkEnd w:id="13"/>
    </w:p>
    <w:p w14:paraId="04CD323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F0C40FF" w14:textId="77777777" w:rsidR="00000000" w:rsidRDefault="00EB4933">
      <w:pPr>
        <w:pStyle w:val="NormalWeb"/>
        <w:spacing w:before="0" w:beforeAutospacing="0" w:after="0" w:afterAutospacing="0"/>
        <w:jc w:val="both"/>
        <w:divId w:val="98525094"/>
        <w:rPr>
          <w:sz w:val="20"/>
          <w:szCs w:val="20"/>
        </w:rPr>
      </w:pPr>
      <w:r>
        <w:rPr>
          <w:rStyle w:val="Strong"/>
          <w:sz w:val="20"/>
          <w:szCs w:val="20"/>
        </w:rPr>
        <w:t>A. Offer and Listing Details</w:t>
      </w:r>
      <w:r>
        <w:rPr>
          <w:sz w:val="20"/>
          <w:szCs w:val="20"/>
        </w:rPr>
        <w:t xml:space="preserve"> </w:t>
      </w:r>
    </w:p>
    <w:p w14:paraId="2426486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BB3B7F5"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ADSs were listed on the NYSE on November 23, 2010 and transitioned to the NYSE American on December 28, 2017. We have been trading under the symbol “XNY” until we changed to “DXF” on March 5, 2018. Prior to December 17, 2014, each ADS represented the r</w:t>
      </w:r>
      <w:r>
        <w:rPr>
          <w:sz w:val="20"/>
          <w:szCs w:val="20"/>
        </w:rPr>
        <w:t xml:space="preserve">ight to receive four (4) ordinary shares, from December 18, 2014, the right to receive sixteen (16) ordinary shares and from December 28, 2017, the right to receive forty-eight (48) ordinary shares. </w:t>
      </w:r>
    </w:p>
    <w:p w14:paraId="68A5227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2284829" w14:textId="77777777" w:rsidR="00000000" w:rsidRDefault="00EB4933">
      <w:pPr>
        <w:pStyle w:val="NormalWeb"/>
        <w:spacing w:before="0" w:beforeAutospacing="0" w:after="0" w:afterAutospacing="0"/>
        <w:jc w:val="both"/>
        <w:divId w:val="98525094"/>
        <w:rPr>
          <w:sz w:val="20"/>
          <w:szCs w:val="20"/>
        </w:rPr>
      </w:pPr>
      <w:r>
        <w:rPr>
          <w:rStyle w:val="Strong"/>
          <w:sz w:val="20"/>
          <w:szCs w:val="20"/>
        </w:rPr>
        <w:t>B. Plan of Distribution</w:t>
      </w:r>
      <w:r>
        <w:rPr>
          <w:sz w:val="20"/>
          <w:szCs w:val="20"/>
        </w:rPr>
        <w:t xml:space="preserve"> </w:t>
      </w:r>
    </w:p>
    <w:p w14:paraId="7E651C5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7FC3DF3" w14:textId="77777777" w:rsidR="00000000" w:rsidRDefault="00EB4933">
      <w:pPr>
        <w:pStyle w:val="NormalWeb"/>
        <w:spacing w:before="0" w:beforeAutospacing="0" w:after="0" w:afterAutospacing="0"/>
        <w:ind w:firstLine="675"/>
        <w:jc w:val="both"/>
        <w:divId w:val="98525094"/>
        <w:rPr>
          <w:sz w:val="20"/>
          <w:szCs w:val="20"/>
        </w:rPr>
      </w:pPr>
      <w:r>
        <w:rPr>
          <w:sz w:val="20"/>
          <w:szCs w:val="20"/>
        </w:rPr>
        <w:t>Not applicable.</w:t>
      </w:r>
    </w:p>
    <w:p w14:paraId="72E143C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6F130F5" w14:textId="77777777" w:rsidR="00000000" w:rsidRDefault="00EB4933">
      <w:pPr>
        <w:pStyle w:val="NormalWeb"/>
        <w:spacing w:before="0" w:beforeAutospacing="0" w:after="0" w:afterAutospacing="0"/>
        <w:jc w:val="both"/>
        <w:divId w:val="98525094"/>
        <w:rPr>
          <w:sz w:val="20"/>
          <w:szCs w:val="20"/>
        </w:rPr>
      </w:pPr>
      <w:r>
        <w:rPr>
          <w:rStyle w:val="Strong"/>
          <w:sz w:val="20"/>
          <w:szCs w:val="20"/>
        </w:rPr>
        <w:t>C. Market</w:t>
      </w:r>
      <w:r>
        <w:rPr>
          <w:rStyle w:val="Strong"/>
          <w:sz w:val="20"/>
          <w:szCs w:val="20"/>
        </w:rPr>
        <w:t>s</w:t>
      </w:r>
      <w:r>
        <w:rPr>
          <w:sz w:val="20"/>
          <w:szCs w:val="20"/>
        </w:rPr>
        <w:t xml:space="preserve"> </w:t>
      </w:r>
    </w:p>
    <w:p w14:paraId="2DF00BE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D069CF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Our ADSs were listed on the NYSE on November 23, 2010 and transitioned to the NYSE American on December 28, 2017. We have been trading under the symbol “XNY” until we changed to “DXF” on March 5, 2018. </w:t>
      </w:r>
      <w:r>
        <w:rPr>
          <w:sz w:val="20"/>
          <w:szCs w:val="20"/>
        </w:rPr>
        <w:lastRenderedPageBreak/>
        <w:t xml:space="preserve">Prior to December 17, 2014, each ADS represented </w:t>
      </w:r>
      <w:r>
        <w:rPr>
          <w:sz w:val="20"/>
          <w:szCs w:val="20"/>
        </w:rPr>
        <w:t>the right to receive four (4) ordinary shares, from December 18, 2014, the right to receive sixteen (16) ordinary shares and from December 28, 2017, the right to receive forty-eight (48) ordinary shares.</w:t>
      </w:r>
    </w:p>
    <w:p w14:paraId="31C1E64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6AC5DE6" w14:textId="77777777" w:rsidR="00000000" w:rsidRDefault="00EB4933">
      <w:pPr>
        <w:pStyle w:val="NormalWeb"/>
        <w:spacing w:before="0" w:beforeAutospacing="0" w:after="0" w:afterAutospacing="0"/>
        <w:jc w:val="both"/>
        <w:divId w:val="98525094"/>
        <w:rPr>
          <w:sz w:val="20"/>
          <w:szCs w:val="20"/>
        </w:rPr>
      </w:pPr>
      <w:r>
        <w:rPr>
          <w:rStyle w:val="Strong"/>
          <w:sz w:val="20"/>
          <w:szCs w:val="20"/>
        </w:rPr>
        <w:t>D. Selling Shareholders</w:t>
      </w:r>
      <w:r>
        <w:rPr>
          <w:sz w:val="20"/>
          <w:szCs w:val="20"/>
        </w:rPr>
        <w:t xml:space="preserve"> </w:t>
      </w:r>
    </w:p>
    <w:p w14:paraId="4D9B498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9607504" w14:textId="77777777" w:rsidR="00000000" w:rsidRDefault="00EB4933">
      <w:pPr>
        <w:pStyle w:val="NormalWeb"/>
        <w:spacing w:before="0" w:beforeAutospacing="0" w:after="0" w:afterAutospacing="0"/>
        <w:ind w:firstLine="675"/>
        <w:jc w:val="both"/>
        <w:divId w:val="98525094"/>
        <w:rPr>
          <w:sz w:val="20"/>
          <w:szCs w:val="20"/>
        </w:rPr>
      </w:pPr>
      <w:r>
        <w:rPr>
          <w:sz w:val="20"/>
          <w:szCs w:val="20"/>
        </w:rPr>
        <w:t>Not applicable.</w:t>
      </w:r>
    </w:p>
    <w:p w14:paraId="6476046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E93B71E"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E. </w:t>
      </w:r>
      <w:r>
        <w:rPr>
          <w:rStyle w:val="Strong"/>
          <w:sz w:val="20"/>
          <w:szCs w:val="20"/>
        </w:rPr>
        <w:t>Dilution</w:t>
      </w:r>
      <w:r>
        <w:rPr>
          <w:sz w:val="20"/>
          <w:szCs w:val="20"/>
        </w:rPr>
        <w:t xml:space="preserve"> </w:t>
      </w:r>
    </w:p>
    <w:p w14:paraId="23E4A94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63DF4AA" w14:textId="77777777" w:rsidR="00000000" w:rsidRDefault="00EB4933">
      <w:pPr>
        <w:pStyle w:val="NormalWeb"/>
        <w:spacing w:before="0" w:beforeAutospacing="0" w:after="0" w:afterAutospacing="0"/>
        <w:ind w:firstLine="675"/>
        <w:jc w:val="both"/>
        <w:divId w:val="98525094"/>
        <w:rPr>
          <w:sz w:val="20"/>
          <w:szCs w:val="20"/>
        </w:rPr>
      </w:pPr>
      <w:r>
        <w:rPr>
          <w:sz w:val="20"/>
          <w:szCs w:val="20"/>
        </w:rPr>
        <w:t>Not applicable.</w:t>
      </w:r>
    </w:p>
    <w:p w14:paraId="61DFCD4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1D26352" w14:textId="77777777" w:rsidR="00000000" w:rsidRDefault="00EB4933">
      <w:pPr>
        <w:pStyle w:val="NormalWeb"/>
        <w:spacing w:before="0" w:beforeAutospacing="0" w:after="0" w:afterAutospacing="0"/>
        <w:jc w:val="both"/>
        <w:divId w:val="98525094"/>
        <w:rPr>
          <w:sz w:val="20"/>
          <w:szCs w:val="20"/>
        </w:rPr>
      </w:pPr>
      <w:r>
        <w:rPr>
          <w:rStyle w:val="Strong"/>
          <w:sz w:val="20"/>
          <w:szCs w:val="20"/>
        </w:rPr>
        <w:t>F. Expenses of the Issue</w:t>
      </w:r>
      <w:r>
        <w:rPr>
          <w:sz w:val="20"/>
          <w:szCs w:val="20"/>
        </w:rPr>
        <w:t xml:space="preserve"> </w:t>
      </w:r>
    </w:p>
    <w:p w14:paraId="5F3934C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0AA9707" w14:textId="77777777" w:rsidR="00000000" w:rsidRDefault="00EB4933">
      <w:pPr>
        <w:pStyle w:val="NormalWeb"/>
        <w:spacing w:before="0" w:beforeAutospacing="0" w:after="0" w:afterAutospacing="0"/>
        <w:ind w:firstLine="675"/>
        <w:jc w:val="both"/>
        <w:divId w:val="98525094"/>
        <w:rPr>
          <w:sz w:val="20"/>
          <w:szCs w:val="20"/>
        </w:rPr>
      </w:pPr>
      <w:r>
        <w:rPr>
          <w:sz w:val="20"/>
          <w:szCs w:val="20"/>
        </w:rPr>
        <w:t>Not applicable.</w:t>
      </w:r>
    </w:p>
    <w:p w14:paraId="1B70AE21"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D8F6EEC" w14:textId="77777777">
        <w:trPr>
          <w:divId w:val="98525094"/>
          <w:trHeight w:val="225"/>
          <w:tblCellSpacing w:w="15" w:type="dxa"/>
        </w:trPr>
        <w:tc>
          <w:tcPr>
            <w:tcW w:w="0" w:type="auto"/>
            <w:vAlign w:val="center"/>
            <w:hideMark/>
          </w:tcPr>
          <w:p w14:paraId="4CD4DF82" w14:textId="77777777" w:rsidR="00000000" w:rsidRDefault="00EB4933">
            <w:pPr>
              <w:rPr>
                <w:rFonts w:eastAsia="Times New Roman"/>
                <w:sz w:val="20"/>
                <w:szCs w:val="20"/>
              </w:rPr>
            </w:pPr>
            <w:r>
              <w:rPr>
                <w:rFonts w:eastAsia="Times New Roman"/>
                <w:sz w:val="20"/>
                <w:szCs w:val="20"/>
              </w:rPr>
              <w:t> </w:t>
            </w:r>
          </w:p>
        </w:tc>
      </w:tr>
      <w:tr w:rsidR="00000000" w14:paraId="4AF867E0" w14:textId="77777777">
        <w:trPr>
          <w:divId w:val="98525094"/>
          <w:trHeight w:val="225"/>
          <w:tblCellSpacing w:w="15" w:type="dxa"/>
        </w:trPr>
        <w:tc>
          <w:tcPr>
            <w:tcW w:w="0" w:type="auto"/>
            <w:tcBorders>
              <w:bottom w:val="single" w:sz="6" w:space="0" w:color="000000"/>
            </w:tcBorders>
            <w:vAlign w:val="center"/>
            <w:hideMark/>
          </w:tcPr>
          <w:p w14:paraId="229F0E68" w14:textId="77777777" w:rsidR="00000000" w:rsidRDefault="00EB4933">
            <w:pPr>
              <w:jc w:val="center"/>
              <w:rPr>
                <w:rFonts w:eastAsia="Times New Roman"/>
                <w:sz w:val="20"/>
                <w:szCs w:val="20"/>
              </w:rPr>
            </w:pPr>
            <w:r>
              <w:rPr>
                <w:rFonts w:eastAsia="Times New Roman"/>
                <w:sz w:val="20"/>
                <w:szCs w:val="20"/>
              </w:rPr>
              <w:t>90</w:t>
            </w:r>
          </w:p>
        </w:tc>
      </w:tr>
      <w:tr w:rsidR="00000000" w14:paraId="770AA31E" w14:textId="77777777">
        <w:trPr>
          <w:divId w:val="98525094"/>
          <w:trHeight w:val="225"/>
          <w:tblCellSpacing w:w="15" w:type="dxa"/>
        </w:trPr>
        <w:tc>
          <w:tcPr>
            <w:tcW w:w="0" w:type="auto"/>
            <w:vAlign w:val="center"/>
            <w:hideMark/>
          </w:tcPr>
          <w:p w14:paraId="36B5C9C7" w14:textId="77777777" w:rsidR="00000000" w:rsidRDefault="00EB4933">
            <w:pPr>
              <w:rPr>
                <w:rFonts w:eastAsia="Times New Roman"/>
                <w:sz w:val="20"/>
                <w:szCs w:val="20"/>
              </w:rPr>
            </w:pPr>
          </w:p>
        </w:tc>
      </w:tr>
      <w:tr w:rsidR="00000000" w14:paraId="76EE6116" w14:textId="77777777">
        <w:trPr>
          <w:divId w:val="98525094"/>
          <w:trHeight w:val="225"/>
          <w:tblCellSpacing w:w="15" w:type="dxa"/>
        </w:trPr>
        <w:tc>
          <w:tcPr>
            <w:tcW w:w="0" w:type="auto"/>
            <w:vAlign w:val="center"/>
            <w:hideMark/>
          </w:tcPr>
          <w:p w14:paraId="6E20AF34" w14:textId="77777777" w:rsidR="00000000" w:rsidRDefault="00EB4933">
            <w:pPr>
              <w:rPr>
                <w:rFonts w:eastAsia="Times New Roman"/>
                <w:sz w:val="20"/>
                <w:szCs w:val="20"/>
              </w:rPr>
            </w:pPr>
            <w:hyperlink r:id="rId150" w:anchor="toc" w:history="1">
              <w:r>
                <w:rPr>
                  <w:rStyle w:val="Hyperlink"/>
                  <w:rFonts w:eastAsia="Times New Roman"/>
                  <w:i/>
                  <w:iCs/>
                  <w:sz w:val="20"/>
                  <w:szCs w:val="20"/>
                </w:rPr>
                <w:t>Table of Contents</w:t>
              </w:r>
            </w:hyperlink>
          </w:p>
        </w:tc>
      </w:tr>
    </w:tbl>
    <w:p w14:paraId="320F8B4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95F914B" w14:textId="77777777" w:rsidR="00000000" w:rsidRDefault="00EB4933">
      <w:pPr>
        <w:pStyle w:val="NormalWeb"/>
        <w:spacing w:before="0" w:beforeAutospacing="0" w:after="0" w:afterAutospacing="0"/>
        <w:jc w:val="both"/>
        <w:divId w:val="98525094"/>
        <w:rPr>
          <w:sz w:val="20"/>
          <w:szCs w:val="20"/>
        </w:rPr>
      </w:pPr>
      <w:bookmarkStart w:id="14" w:name="i10"/>
      <w:r>
        <w:rPr>
          <w:rStyle w:val="Strong"/>
          <w:sz w:val="20"/>
          <w:szCs w:val="20"/>
        </w:rPr>
        <w:t>ITEM 10. ADDITIONAL INFORMATION</w:t>
      </w:r>
      <w:bookmarkEnd w:id="14"/>
    </w:p>
    <w:p w14:paraId="0255A3F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A7F2925" w14:textId="77777777" w:rsidR="00000000" w:rsidRDefault="00EB4933">
      <w:pPr>
        <w:pStyle w:val="NormalWeb"/>
        <w:spacing w:before="0" w:beforeAutospacing="0" w:after="0" w:afterAutospacing="0"/>
        <w:jc w:val="both"/>
        <w:divId w:val="98525094"/>
        <w:rPr>
          <w:sz w:val="20"/>
          <w:szCs w:val="20"/>
        </w:rPr>
      </w:pPr>
      <w:r>
        <w:rPr>
          <w:rStyle w:val="Strong"/>
          <w:sz w:val="20"/>
          <w:szCs w:val="20"/>
        </w:rPr>
        <w:t>A. Share Capital</w:t>
      </w:r>
      <w:r>
        <w:rPr>
          <w:sz w:val="20"/>
          <w:szCs w:val="20"/>
        </w:rPr>
        <w:t xml:space="preserve"> </w:t>
      </w:r>
    </w:p>
    <w:p w14:paraId="6B5A4D0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24AF00D" w14:textId="77777777" w:rsidR="00000000" w:rsidRDefault="00EB4933">
      <w:pPr>
        <w:pStyle w:val="NormalWeb"/>
        <w:spacing w:before="0" w:beforeAutospacing="0" w:after="0" w:afterAutospacing="0"/>
        <w:ind w:firstLine="675"/>
        <w:jc w:val="both"/>
        <w:divId w:val="98525094"/>
        <w:rPr>
          <w:sz w:val="20"/>
          <w:szCs w:val="20"/>
        </w:rPr>
      </w:pPr>
      <w:r>
        <w:rPr>
          <w:sz w:val="20"/>
          <w:szCs w:val="20"/>
        </w:rPr>
        <w:t>Not applicable.</w:t>
      </w:r>
    </w:p>
    <w:p w14:paraId="0FE7CDC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ACF42B0"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B. </w:t>
      </w:r>
      <w:r>
        <w:rPr>
          <w:rStyle w:val="Strong"/>
          <w:sz w:val="20"/>
          <w:szCs w:val="20"/>
        </w:rPr>
        <w:t xml:space="preserve">Memorandum and Articles of Association </w:t>
      </w:r>
    </w:p>
    <w:p w14:paraId="0C3E252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724A42F"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incorporate by reference into this annual report the description of our amended and restated memorandum and articles of association contained in our registration statement on Form F-1 (File No. 333-170368), as a</w:t>
      </w:r>
      <w:r>
        <w:rPr>
          <w:sz w:val="20"/>
          <w:szCs w:val="20"/>
        </w:rPr>
        <w:t>mended. On November 3, 2010, our shareholders adopted our first amended and restated memorandum and articles of association by special resolutions which became effective on November 29, 2010. On March 1, 2018, our shareholders adopted our second amended an</w:t>
      </w:r>
      <w:r>
        <w:rPr>
          <w:sz w:val="20"/>
          <w:szCs w:val="20"/>
        </w:rPr>
        <w:t>d restated memorandum and articles of association by special resolutions which became effective on March 1, 2018.</w:t>
      </w:r>
    </w:p>
    <w:p w14:paraId="63BB767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9BB9EF3" w14:textId="77777777" w:rsidR="00000000" w:rsidRDefault="00EB4933">
      <w:pPr>
        <w:pStyle w:val="NormalWeb"/>
        <w:spacing w:before="0" w:beforeAutospacing="0" w:after="0" w:afterAutospacing="0"/>
        <w:jc w:val="both"/>
        <w:divId w:val="98525094"/>
        <w:rPr>
          <w:sz w:val="20"/>
          <w:szCs w:val="20"/>
        </w:rPr>
      </w:pPr>
      <w:r>
        <w:rPr>
          <w:rStyle w:val="Strong"/>
          <w:sz w:val="20"/>
          <w:szCs w:val="20"/>
        </w:rPr>
        <w:t>C. Material Contracts</w:t>
      </w:r>
      <w:r>
        <w:rPr>
          <w:sz w:val="20"/>
          <w:szCs w:val="20"/>
        </w:rPr>
        <w:t xml:space="preserve"> </w:t>
      </w:r>
    </w:p>
    <w:p w14:paraId="1DCD983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355117A"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We have not entered into any material contracts other than in the ordinary course of business and other than those </w:t>
      </w:r>
      <w:r>
        <w:rPr>
          <w:sz w:val="20"/>
          <w:szCs w:val="20"/>
        </w:rPr>
        <w:t>described in “Item 4. Information on the Company” or elsewhere in this annual report.</w:t>
      </w:r>
    </w:p>
    <w:p w14:paraId="218C689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2941DE0" w14:textId="77777777" w:rsidR="00000000" w:rsidRDefault="00EB4933">
      <w:pPr>
        <w:pStyle w:val="NormalWeb"/>
        <w:spacing w:before="0" w:beforeAutospacing="0" w:after="0" w:afterAutospacing="0"/>
        <w:jc w:val="both"/>
        <w:divId w:val="98525094"/>
        <w:rPr>
          <w:sz w:val="20"/>
          <w:szCs w:val="20"/>
        </w:rPr>
      </w:pPr>
      <w:r>
        <w:rPr>
          <w:rStyle w:val="Strong"/>
          <w:sz w:val="20"/>
          <w:szCs w:val="20"/>
        </w:rPr>
        <w:t>D. Exchange Controls</w:t>
      </w:r>
      <w:r>
        <w:rPr>
          <w:sz w:val="20"/>
          <w:szCs w:val="20"/>
        </w:rPr>
        <w:t xml:space="preserve"> </w:t>
      </w:r>
    </w:p>
    <w:p w14:paraId="274AF1B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128D7ED"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Cayman Islands currently has no exchange control restrictions. See also “Item 4. Information on the Company—B. Business Overview — Regulatio</w:t>
      </w:r>
      <w:r>
        <w:rPr>
          <w:sz w:val="20"/>
          <w:szCs w:val="20"/>
        </w:rPr>
        <w:t>n — Foreign Currency Exchange” for information regarding foreign exchange controls in the PRC.</w:t>
      </w:r>
    </w:p>
    <w:p w14:paraId="16F040A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9EDA1FD" w14:textId="77777777" w:rsidR="00000000" w:rsidRDefault="00EB4933">
      <w:pPr>
        <w:pStyle w:val="NormalWeb"/>
        <w:spacing w:before="0" w:beforeAutospacing="0" w:after="0" w:afterAutospacing="0"/>
        <w:jc w:val="both"/>
        <w:divId w:val="98525094"/>
        <w:rPr>
          <w:sz w:val="20"/>
          <w:szCs w:val="20"/>
        </w:rPr>
      </w:pPr>
      <w:r>
        <w:rPr>
          <w:rStyle w:val="Strong"/>
          <w:sz w:val="20"/>
          <w:szCs w:val="20"/>
        </w:rPr>
        <w:t>E. Taxation</w:t>
      </w:r>
      <w:r>
        <w:rPr>
          <w:sz w:val="20"/>
          <w:szCs w:val="20"/>
        </w:rPr>
        <w:t xml:space="preserve"> </w:t>
      </w:r>
    </w:p>
    <w:p w14:paraId="4C6C18E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A050C28" w14:textId="77777777" w:rsidR="00000000" w:rsidRDefault="00EB4933">
      <w:pPr>
        <w:pStyle w:val="NormalWeb"/>
        <w:spacing w:before="0" w:beforeAutospacing="0" w:after="0" w:afterAutospacing="0"/>
        <w:jc w:val="both"/>
        <w:divId w:val="98525094"/>
        <w:rPr>
          <w:sz w:val="20"/>
          <w:szCs w:val="20"/>
        </w:rPr>
      </w:pPr>
      <w:r>
        <w:rPr>
          <w:rStyle w:val="Strong"/>
          <w:sz w:val="20"/>
          <w:szCs w:val="20"/>
        </w:rPr>
        <w:t>Cayman Islands Taxation</w:t>
      </w:r>
    </w:p>
    <w:p w14:paraId="5EB04AC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C316B84"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Cayman Islands currently levies no taxes on individuals or corporations based upon profits, income, gains or appreciation and there is no taxation in the nature of inheritance tax or estate duty. There are no other taxes likely to be material to us lev</w:t>
      </w:r>
      <w:r>
        <w:rPr>
          <w:sz w:val="20"/>
          <w:szCs w:val="20"/>
        </w:rPr>
        <w:t xml:space="preserve">ied by the Government of the Cayman Islands except for stamp duties which may be applicable on instruments executed in, or brought within, the jurisdiction of the Cayman Islands. The Cayman Islands is not party </w:t>
      </w:r>
      <w:r>
        <w:rPr>
          <w:sz w:val="20"/>
          <w:szCs w:val="20"/>
        </w:rPr>
        <w:lastRenderedPageBreak/>
        <w:t>to any double tax treaties that are applicabl</w:t>
      </w:r>
      <w:r>
        <w:rPr>
          <w:sz w:val="20"/>
          <w:szCs w:val="20"/>
        </w:rPr>
        <w:t>e to any payments made to or by our company. There are no exchange control regulations or currency restrictions in the Cayman Islands.</w:t>
      </w:r>
    </w:p>
    <w:p w14:paraId="7EF67BC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0F72615" w14:textId="77777777" w:rsidR="00000000" w:rsidRDefault="00EB4933">
      <w:pPr>
        <w:pStyle w:val="NormalWeb"/>
        <w:spacing w:before="0" w:beforeAutospacing="0" w:after="0" w:afterAutospacing="0"/>
        <w:jc w:val="both"/>
        <w:divId w:val="98525094"/>
        <w:rPr>
          <w:sz w:val="20"/>
          <w:szCs w:val="20"/>
        </w:rPr>
      </w:pPr>
      <w:r>
        <w:rPr>
          <w:rStyle w:val="Strong"/>
          <w:sz w:val="20"/>
          <w:szCs w:val="20"/>
        </w:rPr>
        <w:t>PRC Taxation</w:t>
      </w:r>
    </w:p>
    <w:p w14:paraId="347CD4A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3F739DA"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following discussion describes the material PRC tax consequences of an investment in the ADSs or ord</w:t>
      </w:r>
      <w:r>
        <w:rPr>
          <w:sz w:val="20"/>
          <w:szCs w:val="20"/>
        </w:rPr>
        <w:t>inary shares under present PRC law. Under the EIT Law and its implementation rules, both of which became effective on January 1, 2008, as subsequently amended on February 24, 2017 and December 29, 2018, an enterprise established outside the PRC with its “a</w:t>
      </w:r>
      <w:r>
        <w:rPr>
          <w:sz w:val="20"/>
          <w:szCs w:val="20"/>
        </w:rPr>
        <w:t xml:space="preserve">ctual management” within the PRC is considered a PRC tax resident enterprise. The “actual management” of an enterprise is defined as the organizational body that effectively exercises overall management and control over production and business operations, </w:t>
      </w:r>
      <w:r>
        <w:rPr>
          <w:sz w:val="20"/>
          <w:szCs w:val="20"/>
        </w:rPr>
        <w:t>personnel, finance and accounting and properties of the enterprise. It remains unclear how the PRC tax authorities will interpret such a broad definition. Although we are incorporated in the Cayman Islands and the immediate holding company of our PRC subsi</w:t>
      </w:r>
      <w:r>
        <w:rPr>
          <w:sz w:val="20"/>
          <w:szCs w:val="20"/>
        </w:rPr>
        <w:t xml:space="preserve">diaries is incorporated in Hong Kong, substantially all of our management members are based in the PRC. It remains unclear how the PRC tax authorities will interpret the PRC tax resident treatment of an offshore company, like us, having indirect ownership </w:t>
      </w:r>
      <w:r>
        <w:rPr>
          <w:sz w:val="20"/>
          <w:szCs w:val="20"/>
        </w:rPr>
        <w:t>interests in PRC enterprises through intermediary holding vehicles. If we are classified as a PRC tax resident enterprise, dividends on our ADSs and ordinary shares and capital gains from sales of our ADSs and ordinary shares realized by non-PRC enterprise</w:t>
      </w:r>
      <w:r>
        <w:rPr>
          <w:sz w:val="20"/>
          <w:szCs w:val="20"/>
        </w:rPr>
        <w:t xml:space="preserve"> shareholders may be regarded as income from “sources within the PRC” and may be subject to 10% PRC withholding tax, subject to reduction by an applicable treaty.</w:t>
      </w:r>
    </w:p>
    <w:p w14:paraId="2E732D99"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8341917" w14:textId="77777777">
        <w:trPr>
          <w:divId w:val="98525094"/>
          <w:trHeight w:val="225"/>
          <w:tblCellSpacing w:w="15" w:type="dxa"/>
        </w:trPr>
        <w:tc>
          <w:tcPr>
            <w:tcW w:w="0" w:type="auto"/>
            <w:vAlign w:val="center"/>
            <w:hideMark/>
          </w:tcPr>
          <w:p w14:paraId="13A9126A" w14:textId="77777777" w:rsidR="00000000" w:rsidRDefault="00EB4933">
            <w:pPr>
              <w:rPr>
                <w:rFonts w:eastAsia="Times New Roman"/>
                <w:sz w:val="20"/>
                <w:szCs w:val="20"/>
              </w:rPr>
            </w:pPr>
            <w:r>
              <w:rPr>
                <w:rFonts w:eastAsia="Times New Roman"/>
                <w:sz w:val="20"/>
                <w:szCs w:val="20"/>
              </w:rPr>
              <w:t> </w:t>
            </w:r>
          </w:p>
        </w:tc>
      </w:tr>
      <w:tr w:rsidR="00000000" w14:paraId="3A14A7CB" w14:textId="77777777">
        <w:trPr>
          <w:divId w:val="98525094"/>
          <w:trHeight w:val="225"/>
          <w:tblCellSpacing w:w="15" w:type="dxa"/>
        </w:trPr>
        <w:tc>
          <w:tcPr>
            <w:tcW w:w="0" w:type="auto"/>
            <w:tcBorders>
              <w:bottom w:val="single" w:sz="6" w:space="0" w:color="000000"/>
            </w:tcBorders>
            <w:vAlign w:val="center"/>
            <w:hideMark/>
          </w:tcPr>
          <w:p w14:paraId="61B3641D" w14:textId="77777777" w:rsidR="00000000" w:rsidRDefault="00EB4933">
            <w:pPr>
              <w:jc w:val="center"/>
              <w:rPr>
                <w:rFonts w:eastAsia="Times New Roman"/>
                <w:sz w:val="20"/>
                <w:szCs w:val="20"/>
              </w:rPr>
            </w:pPr>
            <w:r>
              <w:rPr>
                <w:rFonts w:eastAsia="Times New Roman"/>
                <w:sz w:val="20"/>
                <w:szCs w:val="20"/>
              </w:rPr>
              <w:t>91</w:t>
            </w:r>
          </w:p>
        </w:tc>
      </w:tr>
      <w:tr w:rsidR="00000000" w14:paraId="5773697C" w14:textId="77777777">
        <w:trPr>
          <w:divId w:val="98525094"/>
          <w:trHeight w:val="225"/>
          <w:tblCellSpacing w:w="15" w:type="dxa"/>
        </w:trPr>
        <w:tc>
          <w:tcPr>
            <w:tcW w:w="0" w:type="auto"/>
            <w:vAlign w:val="center"/>
            <w:hideMark/>
          </w:tcPr>
          <w:p w14:paraId="4575E8DE" w14:textId="77777777" w:rsidR="00000000" w:rsidRDefault="00EB4933">
            <w:pPr>
              <w:rPr>
                <w:rFonts w:eastAsia="Times New Roman"/>
                <w:sz w:val="20"/>
                <w:szCs w:val="20"/>
              </w:rPr>
            </w:pPr>
          </w:p>
        </w:tc>
      </w:tr>
      <w:tr w:rsidR="00000000" w14:paraId="555DD9A5" w14:textId="77777777">
        <w:trPr>
          <w:divId w:val="98525094"/>
          <w:trHeight w:val="225"/>
          <w:tblCellSpacing w:w="15" w:type="dxa"/>
        </w:trPr>
        <w:tc>
          <w:tcPr>
            <w:tcW w:w="0" w:type="auto"/>
            <w:vAlign w:val="center"/>
            <w:hideMark/>
          </w:tcPr>
          <w:p w14:paraId="01A295EA" w14:textId="77777777" w:rsidR="00000000" w:rsidRDefault="00EB4933">
            <w:pPr>
              <w:rPr>
                <w:rFonts w:eastAsia="Times New Roman"/>
                <w:sz w:val="20"/>
                <w:szCs w:val="20"/>
              </w:rPr>
            </w:pPr>
            <w:hyperlink r:id="rId151" w:anchor="toc" w:history="1">
              <w:r>
                <w:rPr>
                  <w:rStyle w:val="Hyperlink"/>
                  <w:rFonts w:eastAsia="Times New Roman"/>
                  <w:i/>
                  <w:iCs/>
                  <w:sz w:val="20"/>
                  <w:szCs w:val="20"/>
                </w:rPr>
                <w:t>Table of Contents</w:t>
              </w:r>
            </w:hyperlink>
          </w:p>
        </w:tc>
      </w:tr>
    </w:tbl>
    <w:p w14:paraId="0C736C28"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4308F7F9" w14:textId="77777777" w:rsidR="00000000" w:rsidRDefault="00EB4933">
      <w:pPr>
        <w:pStyle w:val="NormalWeb"/>
        <w:spacing w:before="0" w:beforeAutospacing="0" w:after="0" w:afterAutospacing="0"/>
        <w:jc w:val="both"/>
        <w:divId w:val="98525094"/>
        <w:rPr>
          <w:sz w:val="20"/>
          <w:szCs w:val="20"/>
        </w:rPr>
      </w:pPr>
      <w:r>
        <w:rPr>
          <w:rStyle w:val="Strong"/>
          <w:sz w:val="20"/>
          <w:szCs w:val="20"/>
        </w:rPr>
        <w:t>U.S. Federal Income Ta</w:t>
      </w:r>
      <w:r>
        <w:rPr>
          <w:rStyle w:val="Strong"/>
          <w:sz w:val="20"/>
          <w:szCs w:val="20"/>
        </w:rPr>
        <w:t>xation</w:t>
      </w:r>
    </w:p>
    <w:p w14:paraId="4A1DE33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7A1E9E6"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following discussion is a summary of United States federal income tax considerations generally applicable to the ownership and disposition of our ADSs or ordinary shares by a U.S. Holder (as defined below) that holds our ADSs or ordinary shares as “cap</w:t>
      </w:r>
      <w:r>
        <w:rPr>
          <w:sz w:val="20"/>
          <w:szCs w:val="20"/>
        </w:rPr>
        <w:t>ital assets” (generally, property held for investment) under the United States Internal Revenue Code of 1986, as amended (the “Code”). This discussion is based upon existing United States federal income tax law, which is subject to differing interpretation</w:t>
      </w:r>
      <w:r>
        <w:rPr>
          <w:sz w:val="20"/>
          <w:szCs w:val="20"/>
        </w:rPr>
        <w:t>s and may be changed, possibly with retroactive effect. No ruling has been sought from the Internal Revenue Service (the “IRS”) with respect to any United States federal income tax consequences described below, and there can be no assurance that the IRS or</w:t>
      </w:r>
      <w:r>
        <w:rPr>
          <w:sz w:val="20"/>
          <w:szCs w:val="20"/>
        </w:rPr>
        <w:t xml:space="preserve"> a court will not take a contrary position. </w:t>
      </w:r>
    </w:p>
    <w:p w14:paraId="19971C9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531507B"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following discussion does not deal with the tax consequences to any particular investor or to persons in special tax situations such as:</w:t>
      </w:r>
    </w:p>
    <w:p w14:paraId="5FE96748"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4DF939DD" w14:textId="77777777">
        <w:trPr>
          <w:divId w:val="98525094"/>
          <w:trHeight w:val="225"/>
          <w:tblCellSpacing w:w="15" w:type="dxa"/>
        </w:trPr>
        <w:tc>
          <w:tcPr>
            <w:tcW w:w="200" w:type="pct"/>
            <w:vAlign w:val="center"/>
            <w:hideMark/>
          </w:tcPr>
          <w:p w14:paraId="182C24E1"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708F788B"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B105E29" w14:textId="77777777" w:rsidR="00000000" w:rsidRDefault="00EB4933">
            <w:pPr>
              <w:pStyle w:val="NormalWeb"/>
              <w:spacing w:before="0" w:beforeAutospacing="0" w:after="0" w:afterAutospacing="0"/>
              <w:rPr>
                <w:sz w:val="20"/>
                <w:szCs w:val="20"/>
              </w:rPr>
            </w:pPr>
            <w:r>
              <w:rPr>
                <w:sz w:val="20"/>
                <w:szCs w:val="20"/>
              </w:rPr>
              <w:t>banks;</w:t>
            </w:r>
          </w:p>
        </w:tc>
      </w:tr>
    </w:tbl>
    <w:p w14:paraId="6D2DAD7F"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66B1248E" w14:textId="77777777">
        <w:trPr>
          <w:divId w:val="98525094"/>
          <w:trHeight w:val="225"/>
          <w:tblCellSpacing w:w="15" w:type="dxa"/>
        </w:trPr>
        <w:tc>
          <w:tcPr>
            <w:tcW w:w="200" w:type="pct"/>
            <w:vAlign w:val="center"/>
            <w:hideMark/>
          </w:tcPr>
          <w:p w14:paraId="0C65D5A7"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39C22C87"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9330E1C" w14:textId="77777777" w:rsidR="00000000" w:rsidRDefault="00EB4933">
            <w:pPr>
              <w:pStyle w:val="NormalWeb"/>
              <w:spacing w:before="0" w:beforeAutospacing="0" w:after="0" w:afterAutospacing="0"/>
              <w:rPr>
                <w:sz w:val="20"/>
                <w:szCs w:val="20"/>
              </w:rPr>
            </w:pPr>
            <w:r>
              <w:rPr>
                <w:sz w:val="20"/>
                <w:szCs w:val="20"/>
              </w:rPr>
              <w:t>certain financial institutions;</w:t>
            </w:r>
          </w:p>
        </w:tc>
      </w:tr>
    </w:tbl>
    <w:p w14:paraId="34D45A5E"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02F1889B" w14:textId="77777777">
        <w:trPr>
          <w:divId w:val="98525094"/>
          <w:trHeight w:val="225"/>
          <w:tblCellSpacing w:w="15" w:type="dxa"/>
        </w:trPr>
        <w:tc>
          <w:tcPr>
            <w:tcW w:w="200" w:type="pct"/>
            <w:vAlign w:val="center"/>
            <w:hideMark/>
          </w:tcPr>
          <w:p w14:paraId="519B8883"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56D0E48D"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26DCE2B2" w14:textId="77777777" w:rsidR="00000000" w:rsidRDefault="00EB4933">
            <w:pPr>
              <w:pStyle w:val="NormalWeb"/>
              <w:spacing w:before="0" w:beforeAutospacing="0" w:after="0" w:afterAutospacing="0"/>
              <w:rPr>
                <w:sz w:val="20"/>
                <w:szCs w:val="20"/>
              </w:rPr>
            </w:pPr>
            <w:r>
              <w:rPr>
                <w:sz w:val="20"/>
                <w:szCs w:val="20"/>
              </w:rPr>
              <w:t>insurance</w:t>
            </w:r>
            <w:r>
              <w:rPr>
                <w:sz w:val="20"/>
                <w:szCs w:val="20"/>
              </w:rPr>
              <w:t xml:space="preserve"> companies;</w:t>
            </w:r>
          </w:p>
        </w:tc>
      </w:tr>
    </w:tbl>
    <w:p w14:paraId="07124FCB"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5AD40485" w14:textId="77777777">
        <w:trPr>
          <w:divId w:val="98525094"/>
          <w:trHeight w:val="225"/>
          <w:tblCellSpacing w:w="15" w:type="dxa"/>
        </w:trPr>
        <w:tc>
          <w:tcPr>
            <w:tcW w:w="200" w:type="pct"/>
            <w:vAlign w:val="center"/>
            <w:hideMark/>
          </w:tcPr>
          <w:p w14:paraId="648BDC0A"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64854C6E"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8D1FC96" w14:textId="77777777" w:rsidR="00000000" w:rsidRDefault="00EB4933">
            <w:pPr>
              <w:pStyle w:val="NormalWeb"/>
              <w:spacing w:before="0" w:beforeAutospacing="0" w:after="0" w:afterAutospacing="0"/>
              <w:rPr>
                <w:sz w:val="20"/>
                <w:szCs w:val="20"/>
              </w:rPr>
            </w:pPr>
            <w:r>
              <w:rPr>
                <w:sz w:val="20"/>
                <w:szCs w:val="20"/>
              </w:rPr>
              <w:t>broker dealers;</w:t>
            </w:r>
          </w:p>
        </w:tc>
      </w:tr>
    </w:tbl>
    <w:p w14:paraId="12BE5017"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33F74B82" w14:textId="77777777">
        <w:trPr>
          <w:divId w:val="98525094"/>
          <w:trHeight w:val="225"/>
          <w:tblCellSpacing w:w="15" w:type="dxa"/>
        </w:trPr>
        <w:tc>
          <w:tcPr>
            <w:tcW w:w="200" w:type="pct"/>
            <w:vAlign w:val="center"/>
            <w:hideMark/>
          </w:tcPr>
          <w:p w14:paraId="2A1339CE"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3E9D5732"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3526FE51" w14:textId="77777777" w:rsidR="00000000" w:rsidRDefault="00EB4933">
            <w:pPr>
              <w:pStyle w:val="NormalWeb"/>
              <w:spacing w:before="0" w:beforeAutospacing="0" w:after="0" w:afterAutospacing="0"/>
              <w:rPr>
                <w:sz w:val="20"/>
                <w:szCs w:val="20"/>
              </w:rPr>
            </w:pPr>
            <w:r>
              <w:rPr>
                <w:sz w:val="20"/>
                <w:szCs w:val="20"/>
              </w:rPr>
              <w:t>U.S. expatriates;</w:t>
            </w:r>
          </w:p>
        </w:tc>
      </w:tr>
    </w:tbl>
    <w:p w14:paraId="31188B26"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6D3EAAB" w14:textId="77777777">
        <w:trPr>
          <w:divId w:val="98525094"/>
          <w:trHeight w:val="225"/>
          <w:tblCellSpacing w:w="15" w:type="dxa"/>
        </w:trPr>
        <w:tc>
          <w:tcPr>
            <w:tcW w:w="200" w:type="pct"/>
            <w:vAlign w:val="center"/>
            <w:hideMark/>
          </w:tcPr>
          <w:p w14:paraId="159F113E"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1265223C"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CDF1FCD" w14:textId="77777777" w:rsidR="00000000" w:rsidRDefault="00EB4933">
            <w:pPr>
              <w:pStyle w:val="NormalWeb"/>
              <w:spacing w:before="0" w:beforeAutospacing="0" w:after="0" w:afterAutospacing="0"/>
              <w:rPr>
                <w:sz w:val="20"/>
                <w:szCs w:val="20"/>
              </w:rPr>
            </w:pPr>
            <w:r>
              <w:rPr>
                <w:sz w:val="20"/>
                <w:szCs w:val="20"/>
              </w:rPr>
              <w:t>traders that elect to mark to market;</w:t>
            </w:r>
          </w:p>
        </w:tc>
      </w:tr>
    </w:tbl>
    <w:p w14:paraId="2ADE6AE1"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4657AC67" w14:textId="77777777">
        <w:trPr>
          <w:divId w:val="98525094"/>
          <w:trHeight w:val="225"/>
          <w:tblCellSpacing w:w="15" w:type="dxa"/>
        </w:trPr>
        <w:tc>
          <w:tcPr>
            <w:tcW w:w="200" w:type="pct"/>
            <w:vAlign w:val="center"/>
            <w:hideMark/>
          </w:tcPr>
          <w:p w14:paraId="31B6FB87"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53DC2FF3"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128692D" w14:textId="77777777" w:rsidR="00000000" w:rsidRDefault="00EB4933">
            <w:pPr>
              <w:pStyle w:val="NormalWeb"/>
              <w:spacing w:before="0" w:beforeAutospacing="0" w:after="0" w:afterAutospacing="0"/>
              <w:rPr>
                <w:sz w:val="20"/>
                <w:szCs w:val="20"/>
              </w:rPr>
            </w:pPr>
            <w:r>
              <w:rPr>
                <w:sz w:val="20"/>
                <w:szCs w:val="20"/>
              </w:rPr>
              <w:t>tax-exempt entities;</w:t>
            </w:r>
          </w:p>
        </w:tc>
      </w:tr>
    </w:tbl>
    <w:p w14:paraId="2C7DC914"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58AACF66" w14:textId="77777777">
        <w:trPr>
          <w:divId w:val="98525094"/>
          <w:trHeight w:val="225"/>
          <w:tblCellSpacing w:w="15" w:type="dxa"/>
        </w:trPr>
        <w:tc>
          <w:tcPr>
            <w:tcW w:w="200" w:type="pct"/>
            <w:vAlign w:val="center"/>
            <w:hideMark/>
          </w:tcPr>
          <w:p w14:paraId="7097E00D" w14:textId="77777777" w:rsidR="00000000" w:rsidRDefault="00EB4933">
            <w:pPr>
              <w:pStyle w:val="NormalWeb"/>
              <w:spacing w:before="0" w:beforeAutospacing="0" w:after="0" w:afterAutospacing="0"/>
              <w:rPr>
                <w:sz w:val="20"/>
                <w:szCs w:val="20"/>
              </w:rPr>
            </w:pPr>
            <w:r>
              <w:rPr>
                <w:sz w:val="20"/>
                <w:szCs w:val="20"/>
              </w:rPr>
              <w:lastRenderedPageBreak/>
              <w:t> </w:t>
            </w:r>
          </w:p>
        </w:tc>
        <w:tc>
          <w:tcPr>
            <w:tcW w:w="200" w:type="pct"/>
            <w:hideMark/>
          </w:tcPr>
          <w:p w14:paraId="0D7B401F"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C57A03B" w14:textId="77777777" w:rsidR="00000000" w:rsidRDefault="00EB4933">
            <w:pPr>
              <w:pStyle w:val="NormalWeb"/>
              <w:spacing w:before="0" w:beforeAutospacing="0" w:after="0" w:afterAutospacing="0"/>
              <w:rPr>
                <w:sz w:val="20"/>
                <w:szCs w:val="20"/>
              </w:rPr>
            </w:pPr>
            <w:r>
              <w:rPr>
                <w:sz w:val="20"/>
                <w:szCs w:val="20"/>
              </w:rPr>
              <w:t>persons liable for alternative minimum tax;</w:t>
            </w:r>
          </w:p>
        </w:tc>
      </w:tr>
    </w:tbl>
    <w:p w14:paraId="2BE35F56"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56C6924C" w14:textId="77777777">
        <w:trPr>
          <w:divId w:val="98525094"/>
          <w:trHeight w:val="225"/>
          <w:tblCellSpacing w:w="15" w:type="dxa"/>
        </w:trPr>
        <w:tc>
          <w:tcPr>
            <w:tcW w:w="200" w:type="pct"/>
            <w:vAlign w:val="center"/>
            <w:hideMark/>
          </w:tcPr>
          <w:p w14:paraId="4CCD3391"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77402CE5"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74074A9E" w14:textId="77777777" w:rsidR="00000000" w:rsidRDefault="00EB4933">
            <w:pPr>
              <w:pStyle w:val="NormalWeb"/>
              <w:spacing w:before="0" w:beforeAutospacing="0" w:after="0" w:afterAutospacing="0"/>
              <w:rPr>
                <w:sz w:val="20"/>
                <w:szCs w:val="20"/>
              </w:rPr>
            </w:pPr>
            <w:r>
              <w:rPr>
                <w:sz w:val="20"/>
                <w:szCs w:val="20"/>
              </w:rPr>
              <w:t>persons holding an ADS or ordinary share as part of a straddle, hedging, conversion or integrated transaction; or</w:t>
            </w:r>
          </w:p>
        </w:tc>
      </w:tr>
    </w:tbl>
    <w:p w14:paraId="1AE7540A"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6E523E93" w14:textId="77777777">
        <w:trPr>
          <w:divId w:val="98525094"/>
          <w:trHeight w:val="225"/>
          <w:tblCellSpacing w:w="15" w:type="dxa"/>
        </w:trPr>
        <w:tc>
          <w:tcPr>
            <w:tcW w:w="200" w:type="pct"/>
            <w:vAlign w:val="center"/>
            <w:hideMark/>
          </w:tcPr>
          <w:p w14:paraId="378FC2B9"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212E0ACD"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7E611AE8" w14:textId="77777777" w:rsidR="00000000" w:rsidRDefault="00EB4933">
            <w:pPr>
              <w:pStyle w:val="NormalWeb"/>
              <w:spacing w:before="0" w:beforeAutospacing="0" w:after="0" w:afterAutospacing="0"/>
              <w:rPr>
                <w:sz w:val="20"/>
                <w:szCs w:val="20"/>
              </w:rPr>
            </w:pPr>
            <w:r>
              <w:rPr>
                <w:sz w:val="20"/>
                <w:szCs w:val="20"/>
              </w:rPr>
              <w:t>persons that actually or constructively own 10% or more of our voting stock.</w:t>
            </w:r>
          </w:p>
        </w:tc>
      </w:tr>
    </w:tbl>
    <w:p w14:paraId="643776D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ED66C5F"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addition, this discussion does not discuss any non-U</w:t>
      </w:r>
      <w:r>
        <w:rPr>
          <w:sz w:val="20"/>
          <w:szCs w:val="20"/>
        </w:rPr>
        <w:t xml:space="preserve">nited States, alternative minimum tax, state, or local tax or any non-income tax (such as the U.S. federal gift or estate tax) considerations, or the Medicare tax on net investment income. </w:t>
      </w:r>
    </w:p>
    <w:p w14:paraId="43084BAF"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8D4D744" w14:textId="77777777">
        <w:trPr>
          <w:divId w:val="98525094"/>
          <w:trHeight w:val="225"/>
          <w:tblCellSpacing w:w="15" w:type="dxa"/>
        </w:trPr>
        <w:tc>
          <w:tcPr>
            <w:tcW w:w="0" w:type="auto"/>
            <w:vAlign w:val="center"/>
            <w:hideMark/>
          </w:tcPr>
          <w:p w14:paraId="304C43E1" w14:textId="77777777" w:rsidR="00000000" w:rsidRDefault="00EB4933">
            <w:pPr>
              <w:rPr>
                <w:rFonts w:eastAsia="Times New Roman"/>
                <w:sz w:val="20"/>
                <w:szCs w:val="20"/>
              </w:rPr>
            </w:pPr>
            <w:r>
              <w:rPr>
                <w:rFonts w:eastAsia="Times New Roman"/>
                <w:sz w:val="20"/>
                <w:szCs w:val="20"/>
              </w:rPr>
              <w:t> </w:t>
            </w:r>
          </w:p>
        </w:tc>
      </w:tr>
      <w:tr w:rsidR="00000000" w14:paraId="4D96E068" w14:textId="77777777">
        <w:trPr>
          <w:divId w:val="98525094"/>
          <w:trHeight w:val="225"/>
          <w:tblCellSpacing w:w="15" w:type="dxa"/>
        </w:trPr>
        <w:tc>
          <w:tcPr>
            <w:tcW w:w="0" w:type="auto"/>
            <w:tcBorders>
              <w:bottom w:val="single" w:sz="6" w:space="0" w:color="000000"/>
            </w:tcBorders>
            <w:vAlign w:val="center"/>
            <w:hideMark/>
          </w:tcPr>
          <w:p w14:paraId="18534551" w14:textId="77777777" w:rsidR="00000000" w:rsidRDefault="00EB4933">
            <w:pPr>
              <w:jc w:val="center"/>
              <w:rPr>
                <w:rFonts w:eastAsia="Times New Roman"/>
                <w:sz w:val="20"/>
                <w:szCs w:val="20"/>
              </w:rPr>
            </w:pPr>
            <w:r>
              <w:rPr>
                <w:rFonts w:eastAsia="Times New Roman"/>
                <w:sz w:val="20"/>
                <w:szCs w:val="20"/>
              </w:rPr>
              <w:t>92</w:t>
            </w:r>
          </w:p>
        </w:tc>
      </w:tr>
      <w:tr w:rsidR="00000000" w14:paraId="1F5DCF2E" w14:textId="77777777">
        <w:trPr>
          <w:divId w:val="98525094"/>
          <w:trHeight w:val="225"/>
          <w:tblCellSpacing w:w="15" w:type="dxa"/>
        </w:trPr>
        <w:tc>
          <w:tcPr>
            <w:tcW w:w="0" w:type="auto"/>
            <w:vAlign w:val="center"/>
            <w:hideMark/>
          </w:tcPr>
          <w:p w14:paraId="302BE786" w14:textId="77777777" w:rsidR="00000000" w:rsidRDefault="00EB4933">
            <w:pPr>
              <w:rPr>
                <w:rFonts w:eastAsia="Times New Roman"/>
                <w:sz w:val="20"/>
                <w:szCs w:val="20"/>
              </w:rPr>
            </w:pPr>
          </w:p>
        </w:tc>
      </w:tr>
      <w:tr w:rsidR="00000000" w14:paraId="31617264" w14:textId="77777777">
        <w:trPr>
          <w:divId w:val="98525094"/>
          <w:trHeight w:val="225"/>
          <w:tblCellSpacing w:w="15" w:type="dxa"/>
        </w:trPr>
        <w:tc>
          <w:tcPr>
            <w:tcW w:w="0" w:type="auto"/>
            <w:vAlign w:val="center"/>
            <w:hideMark/>
          </w:tcPr>
          <w:p w14:paraId="6CE1E6D5" w14:textId="77777777" w:rsidR="00000000" w:rsidRDefault="00EB4933">
            <w:pPr>
              <w:rPr>
                <w:rFonts w:eastAsia="Times New Roman"/>
                <w:sz w:val="20"/>
                <w:szCs w:val="20"/>
              </w:rPr>
            </w:pPr>
            <w:hyperlink r:id="rId152" w:anchor="toc" w:history="1">
              <w:r>
                <w:rPr>
                  <w:rStyle w:val="Hyperlink"/>
                  <w:rFonts w:eastAsia="Times New Roman"/>
                  <w:i/>
                  <w:iCs/>
                  <w:sz w:val="20"/>
                  <w:szCs w:val="20"/>
                </w:rPr>
                <w:t>Table of Contents</w:t>
              </w:r>
            </w:hyperlink>
          </w:p>
        </w:tc>
      </w:tr>
    </w:tbl>
    <w:p w14:paraId="026E274C"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56E62E3A"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discussion below of the U.S. federal income tax consequences to “U.S. Holders” will apply to you if you are a beneficial owner of ADSs or ordinary shares and you are:</w:t>
      </w:r>
    </w:p>
    <w:p w14:paraId="578859F0"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6CAC3769" w14:textId="77777777">
        <w:trPr>
          <w:divId w:val="98525094"/>
          <w:trHeight w:val="225"/>
          <w:tblCellSpacing w:w="15" w:type="dxa"/>
        </w:trPr>
        <w:tc>
          <w:tcPr>
            <w:tcW w:w="200" w:type="pct"/>
            <w:vAlign w:val="center"/>
            <w:hideMark/>
          </w:tcPr>
          <w:p w14:paraId="24EF2820"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05E32899"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7699284E" w14:textId="77777777" w:rsidR="00000000" w:rsidRDefault="00EB4933">
            <w:pPr>
              <w:jc w:val="both"/>
              <w:rPr>
                <w:rFonts w:eastAsia="Times New Roman"/>
                <w:sz w:val="20"/>
                <w:szCs w:val="20"/>
              </w:rPr>
            </w:pPr>
            <w:r>
              <w:rPr>
                <w:rFonts w:eastAsia="Times New Roman"/>
                <w:sz w:val="20"/>
                <w:szCs w:val="20"/>
              </w:rPr>
              <w:t>an individual citiz</w:t>
            </w:r>
            <w:r>
              <w:rPr>
                <w:rFonts w:eastAsia="Times New Roman"/>
                <w:sz w:val="20"/>
                <w:szCs w:val="20"/>
              </w:rPr>
              <w:t>en or resident of the United States for U.S. federal income tax purposes;</w:t>
            </w:r>
          </w:p>
        </w:tc>
      </w:tr>
      <w:tr w:rsidR="00000000" w14:paraId="74C7C8B7" w14:textId="77777777">
        <w:trPr>
          <w:divId w:val="98525094"/>
          <w:trHeight w:val="225"/>
          <w:tblCellSpacing w:w="15" w:type="dxa"/>
        </w:trPr>
        <w:tc>
          <w:tcPr>
            <w:tcW w:w="0" w:type="auto"/>
            <w:vAlign w:val="center"/>
            <w:hideMark/>
          </w:tcPr>
          <w:p w14:paraId="25D6B9BF"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39A09EF1"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1FE531F"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1AC0C68" w14:textId="77777777">
        <w:trPr>
          <w:divId w:val="98525094"/>
          <w:trHeight w:val="225"/>
          <w:tblCellSpacing w:w="15" w:type="dxa"/>
        </w:trPr>
        <w:tc>
          <w:tcPr>
            <w:tcW w:w="0" w:type="auto"/>
            <w:vAlign w:val="center"/>
            <w:hideMark/>
          </w:tcPr>
          <w:p w14:paraId="2F6C095F"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5EB042C6"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2AFE87CA" w14:textId="77777777" w:rsidR="00000000" w:rsidRDefault="00EB4933">
            <w:pPr>
              <w:jc w:val="both"/>
              <w:rPr>
                <w:rFonts w:eastAsia="Times New Roman"/>
                <w:sz w:val="20"/>
                <w:szCs w:val="20"/>
              </w:rPr>
            </w:pPr>
            <w:r>
              <w:rPr>
                <w:rFonts w:eastAsia="Times New Roman"/>
                <w:sz w:val="20"/>
                <w:szCs w:val="20"/>
              </w:rPr>
              <w:t>a corporation (or other entity treated as a corporation for U.S. federal income tax purposes) located or organized in or under the laws of the United States, any State thereof or the District of Columbia;</w:t>
            </w:r>
          </w:p>
        </w:tc>
      </w:tr>
      <w:tr w:rsidR="00000000" w14:paraId="33E359BF" w14:textId="77777777">
        <w:trPr>
          <w:divId w:val="98525094"/>
          <w:trHeight w:val="225"/>
          <w:tblCellSpacing w:w="15" w:type="dxa"/>
        </w:trPr>
        <w:tc>
          <w:tcPr>
            <w:tcW w:w="0" w:type="auto"/>
            <w:vAlign w:val="center"/>
            <w:hideMark/>
          </w:tcPr>
          <w:p w14:paraId="406491DA"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6D3C2825"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7DCFD04"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C983A62" w14:textId="77777777">
        <w:trPr>
          <w:divId w:val="98525094"/>
          <w:trHeight w:val="225"/>
          <w:tblCellSpacing w:w="15" w:type="dxa"/>
        </w:trPr>
        <w:tc>
          <w:tcPr>
            <w:tcW w:w="0" w:type="auto"/>
            <w:vAlign w:val="center"/>
            <w:hideMark/>
          </w:tcPr>
          <w:p w14:paraId="33F6BF51"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1C16527B"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1F66FA2C" w14:textId="77777777" w:rsidR="00000000" w:rsidRDefault="00EB4933">
            <w:pPr>
              <w:jc w:val="both"/>
              <w:rPr>
                <w:rFonts w:eastAsia="Times New Roman"/>
                <w:sz w:val="20"/>
                <w:szCs w:val="20"/>
              </w:rPr>
            </w:pPr>
            <w:r>
              <w:rPr>
                <w:rFonts w:eastAsia="Times New Roman"/>
                <w:sz w:val="20"/>
                <w:szCs w:val="20"/>
              </w:rPr>
              <w:t>an estate whose income is subject to U.</w:t>
            </w:r>
            <w:r>
              <w:rPr>
                <w:rFonts w:eastAsia="Times New Roman"/>
                <w:sz w:val="20"/>
                <w:szCs w:val="20"/>
              </w:rPr>
              <w:t>S. federal income taxation regardless of its source; or</w:t>
            </w:r>
          </w:p>
        </w:tc>
      </w:tr>
      <w:tr w:rsidR="00000000" w14:paraId="54A39277" w14:textId="77777777">
        <w:trPr>
          <w:divId w:val="98525094"/>
          <w:trHeight w:val="225"/>
          <w:tblCellSpacing w:w="15" w:type="dxa"/>
        </w:trPr>
        <w:tc>
          <w:tcPr>
            <w:tcW w:w="0" w:type="auto"/>
            <w:vAlign w:val="center"/>
            <w:hideMark/>
          </w:tcPr>
          <w:p w14:paraId="0704979F"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56397651"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757CED2B"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9F5A9CD" w14:textId="77777777">
        <w:trPr>
          <w:divId w:val="98525094"/>
          <w:trHeight w:val="225"/>
          <w:tblCellSpacing w:w="15" w:type="dxa"/>
        </w:trPr>
        <w:tc>
          <w:tcPr>
            <w:tcW w:w="0" w:type="auto"/>
            <w:vAlign w:val="center"/>
            <w:hideMark/>
          </w:tcPr>
          <w:p w14:paraId="2236C536"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2A386443"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506B284B" w14:textId="77777777" w:rsidR="00000000" w:rsidRDefault="00EB4933">
            <w:pPr>
              <w:jc w:val="both"/>
              <w:rPr>
                <w:rFonts w:eastAsia="Times New Roman"/>
                <w:sz w:val="20"/>
                <w:szCs w:val="20"/>
              </w:rPr>
            </w:pPr>
            <w:r>
              <w:rPr>
                <w:rFonts w:eastAsia="Times New Roman"/>
                <w:sz w:val="20"/>
                <w:szCs w:val="20"/>
              </w:rPr>
              <w:t>a trust that (1) is subject to the supervision of a court within the United States and the control of one or more U.S. persons or (2) has a valid election in effect under applicable U.S. T</w:t>
            </w:r>
            <w:r>
              <w:rPr>
                <w:rFonts w:eastAsia="Times New Roman"/>
                <w:sz w:val="20"/>
                <w:szCs w:val="20"/>
              </w:rPr>
              <w:t>reasury regulations to be treated as a U.S. person.</w:t>
            </w:r>
          </w:p>
        </w:tc>
      </w:tr>
    </w:tbl>
    <w:p w14:paraId="207FEE2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6E0D983" w14:textId="77777777" w:rsidR="00000000" w:rsidRDefault="00EB4933">
      <w:pPr>
        <w:pStyle w:val="NormalWeb"/>
        <w:spacing w:before="0" w:beforeAutospacing="0" w:after="0" w:afterAutospacing="0"/>
        <w:ind w:firstLine="675"/>
        <w:jc w:val="both"/>
        <w:divId w:val="98525094"/>
        <w:rPr>
          <w:sz w:val="20"/>
          <w:szCs w:val="20"/>
        </w:rPr>
      </w:pPr>
      <w:r>
        <w:rPr>
          <w:sz w:val="20"/>
          <w:szCs w:val="20"/>
        </w:rPr>
        <w:t>If you are a partner in a partnership (including any entity treated as a partnership for U.S. federal income tax purposes) that holds ADSs or ordinary shares, your tax treatment generally will depend o</w:t>
      </w:r>
      <w:r>
        <w:rPr>
          <w:sz w:val="20"/>
          <w:szCs w:val="20"/>
        </w:rPr>
        <w:t>n your status and the activities of the partnership. Partners in partnerships holding ADSs or ordinary shares should consult their own tax advisors as to the U.S. federal income tax consequences of their investment in ADSs or ordinary shares.</w:t>
      </w:r>
    </w:p>
    <w:p w14:paraId="5B055406" w14:textId="77777777" w:rsidR="00000000" w:rsidRDefault="00EB4933">
      <w:pPr>
        <w:pStyle w:val="NormalWeb"/>
        <w:spacing w:before="0" w:beforeAutospacing="0" w:after="0" w:afterAutospacing="0"/>
        <w:ind w:firstLine="675"/>
        <w:jc w:val="center"/>
        <w:divId w:val="98525094"/>
        <w:rPr>
          <w:sz w:val="20"/>
          <w:szCs w:val="20"/>
        </w:rPr>
      </w:pPr>
      <w:r>
        <w:rPr>
          <w:sz w:val="20"/>
          <w:szCs w:val="20"/>
        </w:rPr>
        <w:t> </w:t>
      </w:r>
    </w:p>
    <w:p w14:paraId="7675576C"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discussion below assumes that the representations contained in the deposit agreement are true and that the obligations in the deposit agreement and any related agreement will be complied with in accordance with their terms. If you hold ADSs, you should</w:t>
      </w:r>
      <w:r>
        <w:rPr>
          <w:sz w:val="20"/>
          <w:szCs w:val="20"/>
        </w:rPr>
        <w:t xml:space="preserve"> be treated as the holder of the underlying ordinary shares represented by those ADSs for U.S. federal income tax purposes.</w:t>
      </w:r>
    </w:p>
    <w:p w14:paraId="0EA7C3F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5516C78E" w14:textId="77777777" w:rsidR="00000000" w:rsidRDefault="00EB4933">
      <w:pPr>
        <w:pStyle w:val="NormalWeb"/>
        <w:spacing w:before="0" w:beforeAutospacing="0" w:after="0" w:afterAutospacing="0"/>
        <w:ind w:firstLine="675"/>
        <w:jc w:val="both"/>
        <w:divId w:val="98525094"/>
        <w:rPr>
          <w:sz w:val="20"/>
          <w:szCs w:val="20"/>
        </w:rPr>
      </w:pPr>
      <w:r>
        <w:rPr>
          <w:sz w:val="20"/>
          <w:szCs w:val="20"/>
        </w:rPr>
        <w:t>Each U.S. Holder is urged to consult its tax advisor regarding the United States federal, state, local, and non-United States inco</w:t>
      </w:r>
      <w:r>
        <w:rPr>
          <w:sz w:val="20"/>
          <w:szCs w:val="20"/>
        </w:rPr>
        <w:t>me and other tax considerations of an investment in our ADSs or ordinary shares.</w:t>
      </w:r>
    </w:p>
    <w:p w14:paraId="65F27C15"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9079A9A" w14:textId="77777777">
        <w:trPr>
          <w:divId w:val="98525094"/>
          <w:trHeight w:val="225"/>
          <w:tblCellSpacing w:w="15" w:type="dxa"/>
        </w:trPr>
        <w:tc>
          <w:tcPr>
            <w:tcW w:w="0" w:type="auto"/>
            <w:vAlign w:val="center"/>
            <w:hideMark/>
          </w:tcPr>
          <w:p w14:paraId="228F283E" w14:textId="77777777" w:rsidR="00000000" w:rsidRDefault="00EB4933">
            <w:pPr>
              <w:rPr>
                <w:rFonts w:eastAsia="Times New Roman"/>
                <w:sz w:val="20"/>
                <w:szCs w:val="20"/>
              </w:rPr>
            </w:pPr>
            <w:r>
              <w:rPr>
                <w:rFonts w:eastAsia="Times New Roman"/>
                <w:sz w:val="20"/>
                <w:szCs w:val="20"/>
              </w:rPr>
              <w:t> </w:t>
            </w:r>
          </w:p>
        </w:tc>
      </w:tr>
      <w:tr w:rsidR="00000000" w14:paraId="4A4E82CE" w14:textId="77777777">
        <w:trPr>
          <w:divId w:val="98525094"/>
          <w:trHeight w:val="225"/>
          <w:tblCellSpacing w:w="15" w:type="dxa"/>
        </w:trPr>
        <w:tc>
          <w:tcPr>
            <w:tcW w:w="0" w:type="auto"/>
            <w:tcBorders>
              <w:bottom w:val="single" w:sz="6" w:space="0" w:color="000000"/>
            </w:tcBorders>
            <w:vAlign w:val="center"/>
            <w:hideMark/>
          </w:tcPr>
          <w:p w14:paraId="63C2FC1B" w14:textId="77777777" w:rsidR="00000000" w:rsidRDefault="00EB4933">
            <w:pPr>
              <w:jc w:val="center"/>
              <w:rPr>
                <w:rFonts w:eastAsia="Times New Roman"/>
                <w:sz w:val="20"/>
                <w:szCs w:val="20"/>
              </w:rPr>
            </w:pPr>
            <w:r>
              <w:rPr>
                <w:rFonts w:eastAsia="Times New Roman"/>
                <w:sz w:val="20"/>
                <w:szCs w:val="20"/>
              </w:rPr>
              <w:t>93</w:t>
            </w:r>
          </w:p>
        </w:tc>
      </w:tr>
      <w:tr w:rsidR="00000000" w14:paraId="452A0F2C" w14:textId="77777777">
        <w:trPr>
          <w:divId w:val="98525094"/>
          <w:trHeight w:val="225"/>
          <w:tblCellSpacing w:w="15" w:type="dxa"/>
        </w:trPr>
        <w:tc>
          <w:tcPr>
            <w:tcW w:w="0" w:type="auto"/>
            <w:vAlign w:val="center"/>
            <w:hideMark/>
          </w:tcPr>
          <w:p w14:paraId="40FD015C" w14:textId="77777777" w:rsidR="00000000" w:rsidRDefault="00EB4933">
            <w:pPr>
              <w:rPr>
                <w:rFonts w:eastAsia="Times New Roman"/>
                <w:sz w:val="20"/>
                <w:szCs w:val="20"/>
              </w:rPr>
            </w:pPr>
          </w:p>
        </w:tc>
      </w:tr>
      <w:tr w:rsidR="00000000" w14:paraId="5FB988B8" w14:textId="77777777">
        <w:trPr>
          <w:divId w:val="98525094"/>
          <w:trHeight w:val="225"/>
          <w:tblCellSpacing w:w="15" w:type="dxa"/>
        </w:trPr>
        <w:tc>
          <w:tcPr>
            <w:tcW w:w="0" w:type="auto"/>
            <w:vAlign w:val="center"/>
            <w:hideMark/>
          </w:tcPr>
          <w:p w14:paraId="7994E246" w14:textId="77777777" w:rsidR="00000000" w:rsidRDefault="00EB4933">
            <w:pPr>
              <w:rPr>
                <w:rFonts w:eastAsia="Times New Roman"/>
                <w:sz w:val="20"/>
                <w:szCs w:val="20"/>
              </w:rPr>
            </w:pPr>
            <w:hyperlink r:id="rId153" w:anchor="toc" w:history="1">
              <w:r>
                <w:rPr>
                  <w:rStyle w:val="Hyperlink"/>
                  <w:rFonts w:eastAsia="Times New Roman"/>
                  <w:i/>
                  <w:iCs/>
                  <w:sz w:val="20"/>
                  <w:szCs w:val="20"/>
                </w:rPr>
                <w:t>Table of Contents</w:t>
              </w:r>
            </w:hyperlink>
          </w:p>
        </w:tc>
      </w:tr>
    </w:tbl>
    <w:p w14:paraId="6BBEED42"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16A0E4D4"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Taxation of Dividends and Other Distributions on the ADSs or Ordinary Shares</w:t>
      </w:r>
    </w:p>
    <w:p w14:paraId="3577699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1199D44"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Subject to the PFIC rules discussed below, the gross amount of all of our distributions to you with respect to the ADSs or ordinary shares will be included in your gross income as dividend income on the date of receipt by the </w:t>
      </w:r>
      <w:r>
        <w:rPr>
          <w:sz w:val="20"/>
          <w:szCs w:val="20"/>
        </w:rPr>
        <w:lastRenderedPageBreak/>
        <w:t>depositary, in the case of ADS</w:t>
      </w:r>
      <w:r>
        <w:rPr>
          <w:sz w:val="20"/>
          <w:szCs w:val="20"/>
        </w:rPr>
        <w:t>s, or by you, in the case of ordinary shares, to the extent that the distribution is paid out of our current or accumulated earnings and profits (as determined under U.S. federal income tax principles). The dividends will not be eligible for the dividends-</w:t>
      </w:r>
      <w:r>
        <w:rPr>
          <w:sz w:val="20"/>
          <w:szCs w:val="20"/>
        </w:rPr>
        <w:t>received deduction allowed to corporations in respect of dividends received from other U.S. corporations.</w:t>
      </w:r>
    </w:p>
    <w:p w14:paraId="0EB31F62"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8C7B8BD" w14:textId="77777777" w:rsidR="00000000" w:rsidRDefault="00EB4933">
      <w:pPr>
        <w:pStyle w:val="NormalWeb"/>
        <w:spacing w:before="0" w:beforeAutospacing="0" w:after="0" w:afterAutospacing="0"/>
        <w:ind w:firstLine="675"/>
        <w:jc w:val="both"/>
        <w:divId w:val="98525094"/>
        <w:rPr>
          <w:sz w:val="20"/>
          <w:szCs w:val="20"/>
        </w:rPr>
      </w:pPr>
      <w:r>
        <w:rPr>
          <w:sz w:val="20"/>
          <w:szCs w:val="20"/>
        </w:rPr>
        <w:t>With respect to non-corporate U.S. Holders, including individual U.S. Holders, dividends on the ADSs would constitute “qualified dividend income” an</w:t>
      </w:r>
      <w:r>
        <w:rPr>
          <w:sz w:val="20"/>
          <w:szCs w:val="20"/>
        </w:rPr>
        <w:t>d, thus, be taxed at the lower applicable capital gains rate, provided that (1) either (a) the ADSs are readily tradable on an established securities market in the United States or (b) we are eligible for the benefits of a qualifying income tax treaty with</w:t>
      </w:r>
      <w:r>
        <w:rPr>
          <w:sz w:val="20"/>
          <w:szCs w:val="20"/>
        </w:rPr>
        <w:t xml:space="preserve"> the United States that includes an exchange of information program and which the U.S. Treasury Department has determined is satisfactory for these purposes, (2) we are not a PFIC (as discussed below) for either our taxable year in which the dividend was p</w:t>
      </w:r>
      <w:r>
        <w:rPr>
          <w:sz w:val="20"/>
          <w:szCs w:val="20"/>
        </w:rPr>
        <w:t>aid or the preceding taxable year and (3) certain holding period requirements are met. Under U.S. Internal Revenue Service authority, ADSs representing ordinary shares are considered for the purpose of clause (1) above to be readily tradable on an establis</w:t>
      </w:r>
      <w:r>
        <w:rPr>
          <w:sz w:val="20"/>
          <w:szCs w:val="20"/>
        </w:rPr>
        <w:t>hed securities market in the United States if they are listed on NYSE, as our ADSs are. If we are treated as a “resident enterprise” for PRC tax purposes, we may also be eligible for the benefits of the income tax treaty between the United States and the P</w:t>
      </w:r>
      <w:r>
        <w:rPr>
          <w:sz w:val="20"/>
          <w:szCs w:val="20"/>
        </w:rPr>
        <w:t>RC. You should consult your tax advisors regarding the availability of the lower rate for dividends paid with respect to our ADSs or ordinary shares.</w:t>
      </w:r>
    </w:p>
    <w:p w14:paraId="7106DEBC" w14:textId="77777777" w:rsidR="00000000" w:rsidRDefault="00EB4933">
      <w:pPr>
        <w:pStyle w:val="NormalWeb"/>
        <w:spacing w:before="0" w:beforeAutospacing="0" w:after="0" w:afterAutospacing="0"/>
        <w:ind w:firstLine="675"/>
        <w:jc w:val="center"/>
        <w:divId w:val="98525094"/>
        <w:rPr>
          <w:sz w:val="20"/>
          <w:szCs w:val="20"/>
        </w:rPr>
      </w:pPr>
      <w:r>
        <w:rPr>
          <w:sz w:val="20"/>
          <w:szCs w:val="20"/>
        </w:rPr>
        <w:t> </w:t>
      </w:r>
    </w:p>
    <w:p w14:paraId="2F9BB55A"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Dividends will constitute foreign source income for U.S. foreign tax credit limitation purposes. If the </w:t>
      </w:r>
      <w:r>
        <w:rPr>
          <w:sz w:val="20"/>
          <w:szCs w:val="20"/>
        </w:rPr>
        <w:t>dividends are qualified dividend income (as discussed above), the amount of the dividend taken into account for purposes of calculating the U.S. foreign tax credit limitation will be limited to the gross amount of the dividend, multiplied by the reduced ra</w:t>
      </w:r>
      <w:r>
        <w:rPr>
          <w:sz w:val="20"/>
          <w:szCs w:val="20"/>
        </w:rPr>
        <w:t>te divided by the highest rate of tax normally applicable to dividends. The limitation on foreign taxes eligible for credit is calculated separately with respect to specific classes of income. Dividends distributed by us with respect to ADSs or ordinary sh</w:t>
      </w:r>
      <w:r>
        <w:rPr>
          <w:sz w:val="20"/>
          <w:szCs w:val="20"/>
        </w:rPr>
        <w:t>ares will generally constitute “passive category income” but could, in the case of certain U.S. Holders, constitute “general category income.”</w:t>
      </w:r>
    </w:p>
    <w:p w14:paraId="03891CA2"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E1C2BA6" w14:textId="77777777" w:rsidR="00000000" w:rsidRDefault="00EB4933">
      <w:pPr>
        <w:pStyle w:val="NormalWeb"/>
        <w:spacing w:before="0" w:beforeAutospacing="0" w:after="0" w:afterAutospacing="0"/>
        <w:ind w:firstLine="675"/>
        <w:jc w:val="both"/>
        <w:divId w:val="98525094"/>
        <w:rPr>
          <w:sz w:val="20"/>
          <w:szCs w:val="20"/>
        </w:rPr>
      </w:pPr>
      <w:r>
        <w:rPr>
          <w:sz w:val="20"/>
          <w:szCs w:val="20"/>
        </w:rPr>
        <w:t>If PRC withholding taxes apply to dividends paid to you with respect to the ADSs or ordinary shares, as describ</w:t>
      </w:r>
      <w:r>
        <w:rPr>
          <w:sz w:val="20"/>
          <w:szCs w:val="20"/>
        </w:rPr>
        <w:t>ed under “-PRC Taxation,” such withholding taxes may be treated as foreign taxes eligible for credit against your U.S. federal income tax liability. You should consult your own tax advisors regarding the creditability of any PRC tax.</w:t>
      </w:r>
    </w:p>
    <w:p w14:paraId="59C34D0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46E0711" w14:textId="77777777" w:rsidR="00000000" w:rsidRDefault="00EB4933">
      <w:pPr>
        <w:pStyle w:val="NormalWeb"/>
        <w:spacing w:before="0" w:beforeAutospacing="0" w:after="0" w:afterAutospacing="0"/>
        <w:ind w:firstLine="675"/>
        <w:jc w:val="both"/>
        <w:divId w:val="98525094"/>
        <w:rPr>
          <w:sz w:val="20"/>
          <w:szCs w:val="20"/>
        </w:rPr>
      </w:pPr>
      <w:r>
        <w:rPr>
          <w:sz w:val="20"/>
          <w:szCs w:val="20"/>
        </w:rPr>
        <w:t>To the extent that t</w:t>
      </w:r>
      <w:r>
        <w:rPr>
          <w:sz w:val="20"/>
          <w:szCs w:val="20"/>
        </w:rPr>
        <w:t>he amount of any distribution exceeds our current and accumulated earnings and profits, it will be treated first as a tax-free return of your tax basis in your ADSs or ordinary shares, and to the extent the amount of the distribution exceeds your tax basis</w:t>
      </w:r>
      <w:r>
        <w:rPr>
          <w:sz w:val="20"/>
          <w:szCs w:val="20"/>
        </w:rPr>
        <w:t xml:space="preserve"> in the ADSs or ordinary shares, the excess will be taxed as capital gain. We do not intend to calculate our earnings and profits under U.S. federal income tax principles. Therefore, you should expect that a distribution with respect to the ADSs or ordinar</w:t>
      </w:r>
      <w:r>
        <w:rPr>
          <w:sz w:val="20"/>
          <w:szCs w:val="20"/>
        </w:rPr>
        <w:t>y shares will generally be treated as a dividend.</w:t>
      </w:r>
    </w:p>
    <w:p w14:paraId="7C11D9A2"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F05AF46" w14:textId="77777777">
        <w:trPr>
          <w:divId w:val="98525094"/>
          <w:trHeight w:val="225"/>
          <w:tblCellSpacing w:w="15" w:type="dxa"/>
        </w:trPr>
        <w:tc>
          <w:tcPr>
            <w:tcW w:w="0" w:type="auto"/>
            <w:vAlign w:val="center"/>
            <w:hideMark/>
          </w:tcPr>
          <w:p w14:paraId="53D72079" w14:textId="77777777" w:rsidR="00000000" w:rsidRDefault="00EB4933">
            <w:pPr>
              <w:rPr>
                <w:rFonts w:eastAsia="Times New Roman"/>
                <w:sz w:val="20"/>
                <w:szCs w:val="20"/>
              </w:rPr>
            </w:pPr>
            <w:r>
              <w:rPr>
                <w:rFonts w:eastAsia="Times New Roman"/>
                <w:sz w:val="20"/>
                <w:szCs w:val="20"/>
              </w:rPr>
              <w:t> </w:t>
            </w:r>
          </w:p>
        </w:tc>
      </w:tr>
      <w:tr w:rsidR="00000000" w14:paraId="6DF907C4" w14:textId="77777777">
        <w:trPr>
          <w:divId w:val="98525094"/>
          <w:trHeight w:val="225"/>
          <w:tblCellSpacing w:w="15" w:type="dxa"/>
        </w:trPr>
        <w:tc>
          <w:tcPr>
            <w:tcW w:w="0" w:type="auto"/>
            <w:tcBorders>
              <w:bottom w:val="single" w:sz="6" w:space="0" w:color="000000"/>
            </w:tcBorders>
            <w:vAlign w:val="center"/>
            <w:hideMark/>
          </w:tcPr>
          <w:p w14:paraId="18221129" w14:textId="77777777" w:rsidR="00000000" w:rsidRDefault="00EB4933">
            <w:pPr>
              <w:jc w:val="center"/>
              <w:rPr>
                <w:rFonts w:eastAsia="Times New Roman"/>
                <w:sz w:val="20"/>
                <w:szCs w:val="20"/>
              </w:rPr>
            </w:pPr>
            <w:r>
              <w:rPr>
                <w:rFonts w:eastAsia="Times New Roman"/>
                <w:sz w:val="20"/>
                <w:szCs w:val="20"/>
              </w:rPr>
              <w:t>94</w:t>
            </w:r>
          </w:p>
        </w:tc>
      </w:tr>
      <w:tr w:rsidR="00000000" w14:paraId="2CFF241E" w14:textId="77777777">
        <w:trPr>
          <w:divId w:val="98525094"/>
          <w:trHeight w:val="225"/>
          <w:tblCellSpacing w:w="15" w:type="dxa"/>
        </w:trPr>
        <w:tc>
          <w:tcPr>
            <w:tcW w:w="0" w:type="auto"/>
            <w:vAlign w:val="center"/>
            <w:hideMark/>
          </w:tcPr>
          <w:p w14:paraId="05ABDB0D" w14:textId="77777777" w:rsidR="00000000" w:rsidRDefault="00EB4933">
            <w:pPr>
              <w:rPr>
                <w:rFonts w:eastAsia="Times New Roman"/>
                <w:sz w:val="20"/>
                <w:szCs w:val="20"/>
              </w:rPr>
            </w:pPr>
          </w:p>
        </w:tc>
      </w:tr>
      <w:tr w:rsidR="00000000" w14:paraId="0DD2A9D9" w14:textId="77777777">
        <w:trPr>
          <w:divId w:val="98525094"/>
          <w:trHeight w:val="225"/>
          <w:tblCellSpacing w:w="15" w:type="dxa"/>
        </w:trPr>
        <w:tc>
          <w:tcPr>
            <w:tcW w:w="0" w:type="auto"/>
            <w:vAlign w:val="center"/>
            <w:hideMark/>
          </w:tcPr>
          <w:p w14:paraId="531954AF" w14:textId="77777777" w:rsidR="00000000" w:rsidRDefault="00EB4933">
            <w:pPr>
              <w:rPr>
                <w:rFonts w:eastAsia="Times New Roman"/>
                <w:sz w:val="20"/>
                <w:szCs w:val="20"/>
              </w:rPr>
            </w:pPr>
            <w:hyperlink r:id="rId154" w:anchor="toc" w:history="1">
              <w:r>
                <w:rPr>
                  <w:rStyle w:val="Hyperlink"/>
                  <w:rFonts w:eastAsia="Times New Roman"/>
                  <w:i/>
                  <w:iCs/>
                  <w:sz w:val="20"/>
                  <w:szCs w:val="20"/>
                </w:rPr>
                <w:t>Table of Contents</w:t>
              </w:r>
            </w:hyperlink>
          </w:p>
        </w:tc>
      </w:tr>
    </w:tbl>
    <w:p w14:paraId="65CAAF5D"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2BB67235"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Taxation of Disposition of ADSs or Ordinary Shares</w:t>
      </w:r>
    </w:p>
    <w:p w14:paraId="1148128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4FC870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Subject to the PFIC rules discussed below, you will recognize taxable gain or loss on any sale, exchange or other taxable disposition of an ADS or ordinary share equal to the difference between the amount realized (in U.S. dollars) for the ADS or ordinary </w:t>
      </w:r>
      <w:r>
        <w:rPr>
          <w:sz w:val="20"/>
          <w:szCs w:val="20"/>
        </w:rPr>
        <w:t>share and your tax basis (in U.S. dollars) in the ADS or ordinary share. The gain or loss generally will be capital gain or loss. If you are a non-corporate U.S. Holder, including an individual U.S. Holder, who has held the ADS or ordinary share for more t</w:t>
      </w:r>
      <w:r>
        <w:rPr>
          <w:sz w:val="20"/>
          <w:szCs w:val="20"/>
        </w:rPr>
        <w:t>han one year, you may be eligible for reduced tax rates under current law. The deductibility of capital losses is subject to limitations. Any such gain or loss that you recognize will generally be treated as U.S. source income or loss for foreign tax credi</w:t>
      </w:r>
      <w:r>
        <w:rPr>
          <w:sz w:val="20"/>
          <w:szCs w:val="20"/>
        </w:rPr>
        <w:t>t limitation purposes. If PRC tax were to be imposed on any gain from the disposition of the ADSs or ordinary shares, as described under “—PRC Taxation,” you would only be able to claim a foreign tax credit for the amount withheld to the extent that you ha</w:t>
      </w:r>
      <w:r>
        <w:rPr>
          <w:sz w:val="20"/>
          <w:szCs w:val="20"/>
        </w:rPr>
        <w:t xml:space="preserve">ve foreign source income. However, if you are eligible for the benefits of the income tax treaty between the United States and the PRC, </w:t>
      </w:r>
      <w:r>
        <w:rPr>
          <w:sz w:val="20"/>
          <w:szCs w:val="20"/>
        </w:rPr>
        <w:lastRenderedPageBreak/>
        <w:t>you may elect to treat such gain as PRC source income. You should consult your own tax advisors regarding the creditabil</w:t>
      </w:r>
      <w:r>
        <w:rPr>
          <w:sz w:val="20"/>
          <w:szCs w:val="20"/>
        </w:rPr>
        <w:t>ity of any PRC tax.</w:t>
      </w:r>
    </w:p>
    <w:p w14:paraId="36D4451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86C9799"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 xml:space="preserve">PFIC Considerations </w:t>
      </w:r>
    </w:p>
    <w:p w14:paraId="49007A2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25C405B" w14:textId="77777777" w:rsidR="00000000" w:rsidRDefault="00EB4933">
      <w:pPr>
        <w:pStyle w:val="NormalWeb"/>
        <w:spacing w:before="0" w:beforeAutospacing="0" w:after="0" w:afterAutospacing="0"/>
        <w:ind w:firstLine="675"/>
        <w:jc w:val="both"/>
        <w:divId w:val="98525094"/>
        <w:rPr>
          <w:sz w:val="20"/>
          <w:szCs w:val="20"/>
        </w:rPr>
      </w:pPr>
      <w:r>
        <w:rPr>
          <w:sz w:val="20"/>
          <w:szCs w:val="20"/>
        </w:rPr>
        <w:t>A non-U.S. corporation is considered to be a PFIC for any taxable year if either:</w:t>
      </w:r>
    </w:p>
    <w:p w14:paraId="181DB063"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146F91DA" w14:textId="77777777">
        <w:trPr>
          <w:divId w:val="98525094"/>
          <w:trHeight w:val="225"/>
          <w:tblCellSpacing w:w="15" w:type="dxa"/>
        </w:trPr>
        <w:tc>
          <w:tcPr>
            <w:tcW w:w="200" w:type="pct"/>
            <w:vAlign w:val="center"/>
            <w:hideMark/>
          </w:tcPr>
          <w:p w14:paraId="46048AD3"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374E97B8"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5D1F4A3B" w14:textId="77777777" w:rsidR="00000000" w:rsidRDefault="00EB4933">
            <w:pPr>
              <w:rPr>
                <w:rFonts w:eastAsia="Times New Roman"/>
                <w:sz w:val="20"/>
                <w:szCs w:val="20"/>
              </w:rPr>
            </w:pPr>
            <w:r>
              <w:rPr>
                <w:rFonts w:eastAsia="Times New Roman"/>
                <w:sz w:val="20"/>
                <w:szCs w:val="20"/>
              </w:rPr>
              <w:t>at least 75% of its gross income for such year is passive income; or</w:t>
            </w:r>
          </w:p>
        </w:tc>
      </w:tr>
      <w:tr w:rsidR="00000000" w14:paraId="517CB8D6" w14:textId="77777777">
        <w:trPr>
          <w:divId w:val="98525094"/>
          <w:trHeight w:val="225"/>
          <w:tblCellSpacing w:w="15" w:type="dxa"/>
        </w:trPr>
        <w:tc>
          <w:tcPr>
            <w:tcW w:w="0" w:type="auto"/>
            <w:vAlign w:val="center"/>
            <w:hideMark/>
          </w:tcPr>
          <w:p w14:paraId="173B1890"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512A00E9"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5371D81D" w14:textId="77777777" w:rsidR="00000000" w:rsidRDefault="00EB4933">
            <w:pPr>
              <w:pStyle w:val="NormalWeb"/>
              <w:spacing w:before="0" w:beforeAutospacing="0" w:after="0" w:afterAutospacing="0"/>
              <w:rPr>
                <w:sz w:val="20"/>
                <w:szCs w:val="20"/>
              </w:rPr>
            </w:pPr>
            <w:r>
              <w:rPr>
                <w:sz w:val="20"/>
                <w:szCs w:val="20"/>
              </w:rPr>
              <w:t> </w:t>
            </w:r>
          </w:p>
        </w:tc>
      </w:tr>
      <w:tr w:rsidR="00000000" w14:paraId="4AEA655D" w14:textId="77777777">
        <w:trPr>
          <w:divId w:val="98525094"/>
          <w:trHeight w:val="225"/>
          <w:tblCellSpacing w:w="15" w:type="dxa"/>
        </w:trPr>
        <w:tc>
          <w:tcPr>
            <w:tcW w:w="0" w:type="auto"/>
            <w:vAlign w:val="center"/>
            <w:hideMark/>
          </w:tcPr>
          <w:p w14:paraId="38CBBD96"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7B350725"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3C60069C" w14:textId="77777777" w:rsidR="00000000" w:rsidRDefault="00EB4933">
            <w:pPr>
              <w:rPr>
                <w:rFonts w:eastAsia="Times New Roman"/>
                <w:sz w:val="20"/>
                <w:szCs w:val="20"/>
              </w:rPr>
            </w:pPr>
            <w:r>
              <w:rPr>
                <w:rFonts w:eastAsia="Times New Roman"/>
                <w:sz w:val="20"/>
                <w:szCs w:val="20"/>
              </w:rPr>
              <w:t>at least 50% of the value of its assets (based on an average of the quarterly values of the assets during a taxable year) is attributable to assets that produce or are held for the production of passive income.</w:t>
            </w:r>
          </w:p>
        </w:tc>
      </w:tr>
    </w:tbl>
    <w:p w14:paraId="1D3F80B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838F353" w14:textId="77777777" w:rsidR="00000000" w:rsidRDefault="00EB4933">
      <w:pPr>
        <w:pStyle w:val="NormalWeb"/>
        <w:spacing w:before="0" w:beforeAutospacing="0" w:after="0" w:afterAutospacing="0"/>
        <w:ind w:firstLine="675"/>
        <w:jc w:val="both"/>
        <w:divId w:val="98525094"/>
        <w:rPr>
          <w:sz w:val="20"/>
          <w:szCs w:val="20"/>
        </w:rPr>
      </w:pPr>
      <w:r>
        <w:rPr>
          <w:sz w:val="20"/>
          <w:szCs w:val="20"/>
        </w:rPr>
        <w:t>Although the law in this regard is unclear</w:t>
      </w:r>
      <w:r>
        <w:rPr>
          <w:sz w:val="20"/>
          <w:szCs w:val="20"/>
        </w:rPr>
        <w:t>, we intend to treat Chutian as being owned by us for United States federal income tax purposes, and we treat it that way, not only because we exercise effective control over the operation of such entity but also because we are entitled to eighty percent (</w:t>
      </w:r>
      <w:r>
        <w:rPr>
          <w:sz w:val="20"/>
          <w:szCs w:val="20"/>
        </w:rPr>
        <w:t xml:space="preserve">80%) of Chutian’s economic benefits, and, as a result, we consolidate their results of operations in our consolidated financial statements. Assuming that we are the owner of Chutian for United States federal income tax purposes, and based upon our current </w:t>
      </w:r>
      <w:r>
        <w:rPr>
          <w:sz w:val="20"/>
          <w:szCs w:val="20"/>
        </w:rPr>
        <w:t>and expected income and assets and the market price of our ADSs at the end of our 2019 taxable year, we do not presently expect to be a PFIC for the current taxable year or the foreseeable future. However, a separate determination must be made at the close</w:t>
      </w:r>
      <w:r>
        <w:rPr>
          <w:sz w:val="20"/>
          <w:szCs w:val="20"/>
        </w:rPr>
        <w:t xml:space="preserve"> of each year as to whether we are a PFIC for such year. In particular, our PFIC status may be determined in large part based on the market price of our ADSs and ordinary shares, which is likely to fluctuate. Our PFIC status will also be affected by how, a</w:t>
      </w:r>
      <w:r>
        <w:rPr>
          <w:sz w:val="20"/>
          <w:szCs w:val="20"/>
        </w:rPr>
        <w:t>nd how quickly, we spend the cash we hold. Accordingly, there can be no assurance that we will not be a PFIC for our current taxable year ending December 31, 2019 or any future taxable year. If we are a PFIC for any year during which you hold ADSs or ordin</w:t>
      </w:r>
      <w:r>
        <w:rPr>
          <w:sz w:val="20"/>
          <w:szCs w:val="20"/>
        </w:rPr>
        <w:t>ary shares, unless you make a “mark-to-market” election or a “deemed sale” election, as discussed below, we will continue to be treated as a PFIC for all succeeding years during which you hold ADSs or ordinary shares. In addition, for the purposes of the P</w:t>
      </w:r>
      <w:r>
        <w:rPr>
          <w:sz w:val="20"/>
          <w:szCs w:val="20"/>
        </w:rPr>
        <w:t>FIC rules, you would be deemed to own your proportionate share of any of our subsidiaries that are treated as PFICs.</w:t>
      </w:r>
    </w:p>
    <w:p w14:paraId="2BDB75A5"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861F036" w14:textId="77777777">
        <w:trPr>
          <w:divId w:val="98525094"/>
          <w:trHeight w:val="225"/>
          <w:tblCellSpacing w:w="15" w:type="dxa"/>
        </w:trPr>
        <w:tc>
          <w:tcPr>
            <w:tcW w:w="0" w:type="auto"/>
            <w:vAlign w:val="center"/>
            <w:hideMark/>
          </w:tcPr>
          <w:p w14:paraId="1D3D0127" w14:textId="77777777" w:rsidR="00000000" w:rsidRDefault="00EB4933">
            <w:pPr>
              <w:rPr>
                <w:rFonts w:eastAsia="Times New Roman"/>
                <w:sz w:val="20"/>
                <w:szCs w:val="20"/>
              </w:rPr>
            </w:pPr>
            <w:r>
              <w:rPr>
                <w:rFonts w:eastAsia="Times New Roman"/>
                <w:sz w:val="20"/>
                <w:szCs w:val="20"/>
              </w:rPr>
              <w:t> </w:t>
            </w:r>
          </w:p>
        </w:tc>
      </w:tr>
      <w:tr w:rsidR="00000000" w14:paraId="4158CE62" w14:textId="77777777">
        <w:trPr>
          <w:divId w:val="98525094"/>
          <w:trHeight w:val="225"/>
          <w:tblCellSpacing w:w="15" w:type="dxa"/>
        </w:trPr>
        <w:tc>
          <w:tcPr>
            <w:tcW w:w="0" w:type="auto"/>
            <w:tcBorders>
              <w:bottom w:val="single" w:sz="6" w:space="0" w:color="000000"/>
            </w:tcBorders>
            <w:vAlign w:val="center"/>
            <w:hideMark/>
          </w:tcPr>
          <w:p w14:paraId="7049268C" w14:textId="77777777" w:rsidR="00000000" w:rsidRDefault="00EB4933">
            <w:pPr>
              <w:jc w:val="center"/>
              <w:rPr>
                <w:rFonts w:eastAsia="Times New Roman"/>
                <w:sz w:val="20"/>
                <w:szCs w:val="20"/>
              </w:rPr>
            </w:pPr>
            <w:r>
              <w:rPr>
                <w:rFonts w:eastAsia="Times New Roman"/>
                <w:sz w:val="20"/>
                <w:szCs w:val="20"/>
              </w:rPr>
              <w:t>95</w:t>
            </w:r>
          </w:p>
        </w:tc>
      </w:tr>
      <w:tr w:rsidR="00000000" w14:paraId="1978586B" w14:textId="77777777">
        <w:trPr>
          <w:divId w:val="98525094"/>
          <w:trHeight w:val="225"/>
          <w:tblCellSpacing w:w="15" w:type="dxa"/>
        </w:trPr>
        <w:tc>
          <w:tcPr>
            <w:tcW w:w="0" w:type="auto"/>
            <w:vAlign w:val="center"/>
            <w:hideMark/>
          </w:tcPr>
          <w:p w14:paraId="06F25375" w14:textId="77777777" w:rsidR="00000000" w:rsidRDefault="00EB4933">
            <w:pPr>
              <w:rPr>
                <w:rFonts w:eastAsia="Times New Roman"/>
                <w:sz w:val="20"/>
                <w:szCs w:val="20"/>
              </w:rPr>
            </w:pPr>
          </w:p>
        </w:tc>
      </w:tr>
      <w:tr w:rsidR="00000000" w14:paraId="39EA405E" w14:textId="77777777">
        <w:trPr>
          <w:divId w:val="98525094"/>
          <w:trHeight w:val="225"/>
          <w:tblCellSpacing w:w="15" w:type="dxa"/>
        </w:trPr>
        <w:tc>
          <w:tcPr>
            <w:tcW w:w="0" w:type="auto"/>
            <w:vAlign w:val="center"/>
            <w:hideMark/>
          </w:tcPr>
          <w:p w14:paraId="38E4BB17" w14:textId="77777777" w:rsidR="00000000" w:rsidRDefault="00EB4933">
            <w:pPr>
              <w:rPr>
                <w:rFonts w:eastAsia="Times New Roman"/>
                <w:sz w:val="20"/>
                <w:szCs w:val="20"/>
              </w:rPr>
            </w:pPr>
            <w:hyperlink r:id="rId155" w:anchor="toc" w:history="1">
              <w:r>
                <w:rPr>
                  <w:rStyle w:val="Hyperlink"/>
                  <w:rFonts w:eastAsia="Times New Roman"/>
                  <w:i/>
                  <w:iCs/>
                  <w:sz w:val="20"/>
                  <w:szCs w:val="20"/>
                </w:rPr>
                <w:t>Table of Contents</w:t>
              </w:r>
            </w:hyperlink>
          </w:p>
        </w:tc>
      </w:tr>
    </w:tbl>
    <w:p w14:paraId="6AB415E9"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19B97B97"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If we are a PFIC for any taxable year during which you hold ADSs or ordinary shares, you will be subject to special tax rules with respect to any “excess distribution” that you receive and any gain you realize from a sale or other disposition (including a </w:t>
      </w:r>
      <w:r>
        <w:rPr>
          <w:sz w:val="20"/>
          <w:szCs w:val="20"/>
        </w:rPr>
        <w:t>pledge) of the ADSs or ordinary shares, unless you make a “mark-to-market” election or a “deemed sale” election as discussed below. Distributions you receive in a taxable year that are greater than 125% of the average annual distributions you received duri</w:t>
      </w:r>
      <w:r>
        <w:rPr>
          <w:sz w:val="20"/>
          <w:szCs w:val="20"/>
        </w:rPr>
        <w:t>ng the shorter of the three preceding taxable years or your holding period for the ADSs or ordinary shares will be treated as an excess distribution. Under these special tax rules:</w:t>
      </w:r>
    </w:p>
    <w:p w14:paraId="7BC71190"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38A5125A" w14:textId="77777777">
        <w:trPr>
          <w:divId w:val="98525094"/>
          <w:trHeight w:val="225"/>
          <w:tblCellSpacing w:w="15" w:type="dxa"/>
        </w:trPr>
        <w:tc>
          <w:tcPr>
            <w:tcW w:w="200" w:type="pct"/>
            <w:vAlign w:val="center"/>
            <w:hideMark/>
          </w:tcPr>
          <w:p w14:paraId="1EF9CCFB"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703982D6"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95D3AC9" w14:textId="77777777" w:rsidR="00000000" w:rsidRDefault="00EB4933">
            <w:pPr>
              <w:rPr>
                <w:rFonts w:eastAsia="Times New Roman"/>
                <w:sz w:val="20"/>
                <w:szCs w:val="20"/>
              </w:rPr>
            </w:pPr>
            <w:r>
              <w:rPr>
                <w:rFonts w:eastAsia="Times New Roman"/>
                <w:sz w:val="20"/>
                <w:szCs w:val="20"/>
              </w:rPr>
              <w:t>the excess distribution or gain will be allocated ratably over your h</w:t>
            </w:r>
            <w:r>
              <w:rPr>
                <w:rFonts w:eastAsia="Times New Roman"/>
                <w:sz w:val="20"/>
                <w:szCs w:val="20"/>
              </w:rPr>
              <w:t>olding period for the ADSs or ordinary shares;</w:t>
            </w:r>
          </w:p>
        </w:tc>
      </w:tr>
      <w:tr w:rsidR="00000000" w14:paraId="46C4D135" w14:textId="77777777">
        <w:trPr>
          <w:divId w:val="98525094"/>
          <w:trHeight w:val="225"/>
          <w:tblCellSpacing w:w="15" w:type="dxa"/>
        </w:trPr>
        <w:tc>
          <w:tcPr>
            <w:tcW w:w="0" w:type="auto"/>
            <w:vAlign w:val="center"/>
            <w:hideMark/>
          </w:tcPr>
          <w:p w14:paraId="2FBDDEAA"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2213DCAD"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6F05A62C" w14:textId="77777777" w:rsidR="00000000" w:rsidRDefault="00EB4933">
            <w:pPr>
              <w:pStyle w:val="NormalWeb"/>
              <w:spacing w:before="0" w:beforeAutospacing="0" w:after="0" w:afterAutospacing="0"/>
              <w:rPr>
                <w:sz w:val="20"/>
                <w:szCs w:val="20"/>
              </w:rPr>
            </w:pPr>
            <w:r>
              <w:rPr>
                <w:sz w:val="20"/>
                <w:szCs w:val="20"/>
              </w:rPr>
              <w:t> </w:t>
            </w:r>
          </w:p>
        </w:tc>
      </w:tr>
      <w:tr w:rsidR="00000000" w14:paraId="41124CC5" w14:textId="77777777">
        <w:trPr>
          <w:divId w:val="98525094"/>
          <w:trHeight w:val="225"/>
          <w:tblCellSpacing w:w="15" w:type="dxa"/>
        </w:trPr>
        <w:tc>
          <w:tcPr>
            <w:tcW w:w="0" w:type="auto"/>
            <w:vAlign w:val="center"/>
            <w:hideMark/>
          </w:tcPr>
          <w:p w14:paraId="079AB566"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552DC70C"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5839EBA7" w14:textId="77777777" w:rsidR="00000000" w:rsidRDefault="00EB4933">
            <w:pPr>
              <w:rPr>
                <w:rFonts w:eastAsia="Times New Roman"/>
                <w:sz w:val="20"/>
                <w:szCs w:val="20"/>
              </w:rPr>
            </w:pPr>
            <w:r>
              <w:rPr>
                <w:rFonts w:eastAsia="Times New Roman"/>
                <w:sz w:val="20"/>
                <w:szCs w:val="20"/>
              </w:rPr>
              <w:t>the amount allocated to the current taxable year, and any taxable year prior to the first taxable year in which we became a PFIC, will be treated as ordinary income; and</w:t>
            </w:r>
          </w:p>
        </w:tc>
      </w:tr>
      <w:tr w:rsidR="00000000" w14:paraId="0E421DE3" w14:textId="77777777">
        <w:trPr>
          <w:divId w:val="98525094"/>
          <w:trHeight w:val="225"/>
          <w:tblCellSpacing w:w="15" w:type="dxa"/>
        </w:trPr>
        <w:tc>
          <w:tcPr>
            <w:tcW w:w="0" w:type="auto"/>
            <w:vAlign w:val="center"/>
            <w:hideMark/>
          </w:tcPr>
          <w:p w14:paraId="7617F901"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10B89A98"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150F7D2F" w14:textId="77777777" w:rsidR="00000000" w:rsidRDefault="00EB4933">
            <w:pPr>
              <w:pStyle w:val="NormalWeb"/>
              <w:spacing w:before="0" w:beforeAutospacing="0" w:after="0" w:afterAutospacing="0"/>
              <w:rPr>
                <w:sz w:val="20"/>
                <w:szCs w:val="20"/>
              </w:rPr>
            </w:pPr>
            <w:r>
              <w:rPr>
                <w:sz w:val="20"/>
                <w:szCs w:val="20"/>
              </w:rPr>
              <w:t> </w:t>
            </w:r>
          </w:p>
        </w:tc>
      </w:tr>
      <w:tr w:rsidR="00000000" w14:paraId="7B53CD35" w14:textId="77777777">
        <w:trPr>
          <w:divId w:val="98525094"/>
          <w:trHeight w:val="225"/>
          <w:tblCellSpacing w:w="15" w:type="dxa"/>
        </w:trPr>
        <w:tc>
          <w:tcPr>
            <w:tcW w:w="0" w:type="auto"/>
            <w:vAlign w:val="center"/>
            <w:hideMark/>
          </w:tcPr>
          <w:p w14:paraId="19814E95"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10B057B0"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5820BF32" w14:textId="77777777" w:rsidR="00000000" w:rsidRDefault="00EB4933">
            <w:pPr>
              <w:rPr>
                <w:rFonts w:eastAsia="Times New Roman"/>
                <w:sz w:val="20"/>
                <w:szCs w:val="20"/>
              </w:rPr>
            </w:pPr>
            <w:r>
              <w:rPr>
                <w:rFonts w:eastAsia="Times New Roman"/>
                <w:sz w:val="20"/>
                <w:szCs w:val="20"/>
              </w:rPr>
              <w:t>the amount allocated to each other year will be subject to the highest tax</w:t>
            </w:r>
            <w:r>
              <w:rPr>
                <w:rFonts w:eastAsia="Times New Roman"/>
                <w:sz w:val="20"/>
                <w:szCs w:val="20"/>
              </w:rPr>
              <w:t xml:space="preserve"> rate in effect for that year and the interest charge generally applicable to underpayments of tax will be imposed on the resulting tax attributable to each such year.</w:t>
            </w:r>
          </w:p>
        </w:tc>
      </w:tr>
    </w:tbl>
    <w:p w14:paraId="58F4679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337A12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The tax liability for amounts allocated to years prior to the year of disposition or </w:t>
      </w:r>
      <w:r>
        <w:rPr>
          <w:sz w:val="20"/>
          <w:szCs w:val="20"/>
        </w:rPr>
        <w:t>“excess distribution” cannot be offset by any net operating losses for such years, and gains (but not losses) realized on the sale of the ADSs or ordinary shares cannot be treated as capital gain, even if you hold the ADSs or ordinary shares as capital ass</w:t>
      </w:r>
      <w:r>
        <w:rPr>
          <w:sz w:val="20"/>
          <w:szCs w:val="20"/>
        </w:rPr>
        <w:t>ets.</w:t>
      </w:r>
    </w:p>
    <w:p w14:paraId="782EABC2"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1803A12"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If we are treated as a PFIC with respect to you for any taxable year, to the extent any of our subsidiaries are also PFICs or we make direct or indirect equity investments in other entities that are PFICs, you will be deemed to own shares in such lo</w:t>
      </w:r>
      <w:r>
        <w:rPr>
          <w:sz w:val="20"/>
          <w:szCs w:val="20"/>
        </w:rPr>
        <w:t>wer-tier PFICs that are directly or indirectly owned by us in that proportion that the value of our equity that you own bears to the value of all of our equity, and you may be subject to the rules described above with respect to the shares of such lower-ti</w:t>
      </w:r>
      <w:r>
        <w:rPr>
          <w:sz w:val="20"/>
          <w:szCs w:val="20"/>
        </w:rPr>
        <w:t>er PFICs that you would be deemed to own. You should consult your tax advisors regarding the application of the PFIC rules to any of our subsidiaries.</w:t>
      </w:r>
    </w:p>
    <w:p w14:paraId="1F40A37A"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E91A499" w14:textId="77777777">
        <w:trPr>
          <w:divId w:val="98525094"/>
          <w:trHeight w:val="225"/>
          <w:tblCellSpacing w:w="15" w:type="dxa"/>
        </w:trPr>
        <w:tc>
          <w:tcPr>
            <w:tcW w:w="0" w:type="auto"/>
            <w:vAlign w:val="center"/>
            <w:hideMark/>
          </w:tcPr>
          <w:p w14:paraId="0DCC381F" w14:textId="77777777" w:rsidR="00000000" w:rsidRDefault="00EB4933">
            <w:pPr>
              <w:rPr>
                <w:rFonts w:eastAsia="Times New Roman"/>
                <w:sz w:val="20"/>
                <w:szCs w:val="20"/>
              </w:rPr>
            </w:pPr>
            <w:r>
              <w:rPr>
                <w:rFonts w:eastAsia="Times New Roman"/>
                <w:sz w:val="20"/>
                <w:szCs w:val="20"/>
              </w:rPr>
              <w:t> </w:t>
            </w:r>
          </w:p>
        </w:tc>
      </w:tr>
      <w:tr w:rsidR="00000000" w14:paraId="7B27D7FA" w14:textId="77777777">
        <w:trPr>
          <w:divId w:val="98525094"/>
          <w:trHeight w:val="225"/>
          <w:tblCellSpacing w:w="15" w:type="dxa"/>
        </w:trPr>
        <w:tc>
          <w:tcPr>
            <w:tcW w:w="0" w:type="auto"/>
            <w:tcBorders>
              <w:bottom w:val="single" w:sz="6" w:space="0" w:color="000000"/>
            </w:tcBorders>
            <w:vAlign w:val="center"/>
            <w:hideMark/>
          </w:tcPr>
          <w:p w14:paraId="64646948" w14:textId="77777777" w:rsidR="00000000" w:rsidRDefault="00EB4933">
            <w:pPr>
              <w:jc w:val="center"/>
              <w:rPr>
                <w:rFonts w:eastAsia="Times New Roman"/>
                <w:sz w:val="20"/>
                <w:szCs w:val="20"/>
              </w:rPr>
            </w:pPr>
            <w:r>
              <w:rPr>
                <w:rFonts w:eastAsia="Times New Roman"/>
                <w:sz w:val="20"/>
                <w:szCs w:val="20"/>
              </w:rPr>
              <w:t>96</w:t>
            </w:r>
          </w:p>
        </w:tc>
      </w:tr>
      <w:tr w:rsidR="00000000" w14:paraId="7FB95A5E" w14:textId="77777777">
        <w:trPr>
          <w:divId w:val="98525094"/>
          <w:trHeight w:val="225"/>
          <w:tblCellSpacing w:w="15" w:type="dxa"/>
        </w:trPr>
        <w:tc>
          <w:tcPr>
            <w:tcW w:w="0" w:type="auto"/>
            <w:vAlign w:val="center"/>
            <w:hideMark/>
          </w:tcPr>
          <w:p w14:paraId="42959672" w14:textId="77777777" w:rsidR="00000000" w:rsidRDefault="00EB4933">
            <w:pPr>
              <w:rPr>
                <w:rFonts w:eastAsia="Times New Roman"/>
                <w:sz w:val="20"/>
                <w:szCs w:val="20"/>
              </w:rPr>
            </w:pPr>
          </w:p>
        </w:tc>
      </w:tr>
      <w:tr w:rsidR="00000000" w14:paraId="3F43159D" w14:textId="77777777">
        <w:trPr>
          <w:divId w:val="98525094"/>
          <w:trHeight w:val="225"/>
          <w:tblCellSpacing w:w="15" w:type="dxa"/>
        </w:trPr>
        <w:tc>
          <w:tcPr>
            <w:tcW w:w="0" w:type="auto"/>
            <w:vAlign w:val="center"/>
            <w:hideMark/>
          </w:tcPr>
          <w:p w14:paraId="04CCC8E1" w14:textId="77777777" w:rsidR="00000000" w:rsidRDefault="00EB4933">
            <w:pPr>
              <w:rPr>
                <w:rFonts w:eastAsia="Times New Roman"/>
                <w:sz w:val="20"/>
                <w:szCs w:val="20"/>
              </w:rPr>
            </w:pPr>
            <w:hyperlink r:id="rId156" w:anchor="toc" w:history="1">
              <w:r>
                <w:rPr>
                  <w:rStyle w:val="Hyperlink"/>
                  <w:rFonts w:eastAsia="Times New Roman"/>
                  <w:i/>
                  <w:iCs/>
                  <w:sz w:val="20"/>
                  <w:szCs w:val="20"/>
                </w:rPr>
                <w:t>Table of Contents</w:t>
              </w:r>
            </w:hyperlink>
          </w:p>
        </w:tc>
      </w:tr>
    </w:tbl>
    <w:p w14:paraId="0BA0F284"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38847A8F" w14:textId="77777777" w:rsidR="00000000" w:rsidRDefault="00EB4933">
      <w:pPr>
        <w:pStyle w:val="NormalWeb"/>
        <w:spacing w:before="0" w:beforeAutospacing="0" w:after="0" w:afterAutospacing="0"/>
        <w:ind w:firstLine="675"/>
        <w:jc w:val="both"/>
        <w:divId w:val="98525094"/>
        <w:rPr>
          <w:sz w:val="20"/>
          <w:szCs w:val="20"/>
        </w:rPr>
      </w:pPr>
      <w:r>
        <w:rPr>
          <w:sz w:val="20"/>
          <w:szCs w:val="20"/>
        </w:rPr>
        <w:t>Alternatively, you may make a mark-to-market election to potentially mitigate the adverse U.S. federal income tax consequences of holding an equity interest in a PFIC. If you make a timely mark-to-market election for the ADSs or ordinary shares, the tax tr</w:t>
      </w:r>
      <w:r>
        <w:rPr>
          <w:sz w:val="20"/>
          <w:szCs w:val="20"/>
        </w:rPr>
        <w:t>eatment described in the three preceding paragraphs would not apply to you. Instead, you will include in income each year an amount equal to the excess, if any, of the fair market value of the ADSs or ordinary shares as of the close of your taxable year ov</w:t>
      </w:r>
      <w:r>
        <w:rPr>
          <w:sz w:val="20"/>
          <w:szCs w:val="20"/>
        </w:rPr>
        <w:t>er your adjusted tax basis in such ADSs or ordinary shares. You are allowed a deduction for the excess, if any, of the adjusted tax basis of the ADSs or ordinary shares over their fair market value as of the close of the taxable year. However, deductions a</w:t>
      </w:r>
      <w:r>
        <w:rPr>
          <w:sz w:val="20"/>
          <w:szCs w:val="20"/>
        </w:rPr>
        <w:t>re allowable only to the extent of any net mark-to-market gains on the ADSs or ordinary shares included in your income for prior taxable years. Amounts included in your income under a mark-to-market election, as well as gain on the actual sale or other dis</w:t>
      </w:r>
      <w:r>
        <w:rPr>
          <w:sz w:val="20"/>
          <w:szCs w:val="20"/>
        </w:rPr>
        <w:t>position of the ADSs or ordinary shares, are treated as ordinary income. Ordinary loss treatment also applies to the deductible portion of any mark-to-market loss on the ADSs or ordinary shares, as well as to any loss realized on the actual sale or disposi</w:t>
      </w:r>
      <w:r>
        <w:rPr>
          <w:sz w:val="20"/>
          <w:szCs w:val="20"/>
        </w:rPr>
        <w:t>tion of the ADSs or ordinary shares, to the extent that the amount of such loss does not exceed the net mark-to-market gains previously included for such ADSs or ordinary shares. Your tax basis in the ADSs or ordinary shares will be adjusted to reflect any</w:t>
      </w:r>
      <w:r>
        <w:rPr>
          <w:sz w:val="20"/>
          <w:szCs w:val="20"/>
        </w:rPr>
        <w:t xml:space="preserve"> such income or loss amounts.</w:t>
      </w:r>
    </w:p>
    <w:p w14:paraId="4D5E9A2A"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14D0B69"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mark-to-market election is available only for “marketable stock,” which is stock that is regularly traded in other than de minimis quantities on at least 15 days during each calendar quarter on a qualified exchange or ot</w:t>
      </w:r>
      <w:r>
        <w:rPr>
          <w:sz w:val="20"/>
          <w:szCs w:val="20"/>
        </w:rPr>
        <w:t>her market, as defined in applicable U.S. Treasury regulations. The ADSs are listed on the NYSE, which is a qualified exchange for this purpose. Consequently, if the ADSs are considered to be regularly traded on the NYSE, the mark-to-market election should</w:t>
      </w:r>
      <w:r>
        <w:rPr>
          <w:sz w:val="20"/>
          <w:szCs w:val="20"/>
        </w:rPr>
        <w:t xml:space="preserve"> be available to you with respect to the ADSs. Although there can be no assurances in this regard, the ADSs should be treated as regularly traded on the NYSE for this purpose for the calendar year ended December 31, 2017. However, because a mark-to-market </w:t>
      </w:r>
      <w:r>
        <w:rPr>
          <w:sz w:val="20"/>
          <w:szCs w:val="20"/>
        </w:rPr>
        <w:t>election cannot be made for equity interests in any lower-tier PFICs that we may own, you may become or continue to be subject to the PFIC rules described above regarding excess distributions and gains with respect to an indirect interest in any investment</w:t>
      </w:r>
      <w:r>
        <w:rPr>
          <w:sz w:val="20"/>
          <w:szCs w:val="20"/>
        </w:rPr>
        <w:t>s held by us that are treated as an equity interest in a PFIC for U.S. federal income tax purposes. A mark-to-market election generally must be made for the first taxable year in which you hold stock of a PFIC, and is made by filing Internal Revenue Servic</w:t>
      </w:r>
      <w:r>
        <w:rPr>
          <w:sz w:val="20"/>
          <w:szCs w:val="20"/>
        </w:rPr>
        <w:t>e Form 8621 with your original or amended U.S. federal income tax return on or before the due date (including extensions) of the return. If you do not make a mark-to-market election for the first taxable year in which you hold stock of a PFIC but you subse</w:t>
      </w:r>
      <w:r>
        <w:rPr>
          <w:sz w:val="20"/>
          <w:szCs w:val="20"/>
        </w:rPr>
        <w:t>quently make the election, the excess distribution rules will generally apply to any appreciation in the stock’s value compared to its tax basis as of the effective date of the election, as well as certain distributions with respect to, and dispositions of</w:t>
      </w:r>
      <w:r>
        <w:rPr>
          <w:sz w:val="20"/>
          <w:szCs w:val="20"/>
        </w:rPr>
        <w:t>, the stock and such consequences will apply during the year of election. You should consult your tax advisors as to the availability and desirability of a mark-to-market election, as well as the impact of such election on interests in any lower-tier PFICs</w:t>
      </w:r>
      <w:r>
        <w:rPr>
          <w:sz w:val="20"/>
          <w:szCs w:val="20"/>
        </w:rPr>
        <w:t>.</w:t>
      </w:r>
    </w:p>
    <w:p w14:paraId="43BB7FEE"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B279D90" w14:textId="77777777" w:rsidR="00000000" w:rsidRDefault="00EB4933">
      <w:pPr>
        <w:pStyle w:val="NormalWeb"/>
        <w:spacing w:before="0" w:beforeAutospacing="0" w:after="0" w:afterAutospacing="0"/>
        <w:ind w:firstLine="675"/>
        <w:jc w:val="both"/>
        <w:divId w:val="98525094"/>
        <w:rPr>
          <w:sz w:val="20"/>
          <w:szCs w:val="20"/>
        </w:rPr>
      </w:pPr>
      <w:r>
        <w:rPr>
          <w:sz w:val="20"/>
          <w:szCs w:val="20"/>
        </w:rPr>
        <w:t>If we have been a PFIC in one or more prior taxable years during which you held ADSs or ordinary shares, but cease to be a PFIC in a later taxable year, and you have not previously made a mark-to-market election, we will continue to be treated as a PFI</w:t>
      </w:r>
      <w:r>
        <w:rPr>
          <w:sz w:val="20"/>
          <w:szCs w:val="20"/>
        </w:rPr>
        <w:t>C with respect to you unless you make a deemed sale election. If you make a deemed sale election, you will be deemed to have sold the ADSs or ordinary shares you hold at their fair market value as on the last day of the last year during which we were a PFI</w:t>
      </w:r>
      <w:r>
        <w:rPr>
          <w:sz w:val="20"/>
          <w:szCs w:val="20"/>
        </w:rPr>
        <w:t>C. Any gain from such deemed sale would be subject to the U.S. federal income tax consequences applicable to excess distributions described above. You should consult your tax advisors as to the availability and desirability of a deemed sale election.</w:t>
      </w:r>
    </w:p>
    <w:p w14:paraId="09D45776"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22BFB8C"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 xml:space="preserve">If </w:t>
      </w:r>
      <w:r>
        <w:rPr>
          <w:sz w:val="20"/>
          <w:szCs w:val="20"/>
        </w:rPr>
        <w:t xml:space="preserve">you hold ADSs or ordinary shares in any year in which we are a PFIC, you will be required to file U.S. Internal Revenue Service Form 8621 (or any other form that may be required by future guidance) with respect to any distributions received on the ADSs or </w:t>
      </w:r>
      <w:r>
        <w:rPr>
          <w:sz w:val="20"/>
          <w:szCs w:val="20"/>
        </w:rPr>
        <w:t xml:space="preserve">ordinary shares, any gain realized on the disposition of ADSs or ordinary shares, any reportable election (including a mark-to-market election) or, for taxable years ending on or after December 31, 2019, on an annual basis as described in the Instructions </w:t>
      </w:r>
      <w:r>
        <w:rPr>
          <w:sz w:val="20"/>
          <w:szCs w:val="20"/>
        </w:rPr>
        <w:t>for Form 8621, subject to certain exceptions based on the value of PFIC stock held. You should consult your tax advisor regarding any reporting requirements that may apply to you. In addition, we do not intend to prepare or provide you with the information</w:t>
      </w:r>
      <w:r>
        <w:rPr>
          <w:sz w:val="20"/>
          <w:szCs w:val="20"/>
        </w:rPr>
        <w:t xml:space="preserve"> necessary to make a “qualified electing fund” election with respect to your ADSs or ordinary shares.</w:t>
      </w:r>
    </w:p>
    <w:p w14:paraId="5C5DEDBE"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A768198" w14:textId="77777777" w:rsidR="00000000" w:rsidRDefault="00EB4933">
      <w:pPr>
        <w:pStyle w:val="NormalWeb"/>
        <w:spacing w:before="0" w:beforeAutospacing="0" w:after="0" w:afterAutospacing="0"/>
        <w:ind w:firstLine="675"/>
        <w:jc w:val="both"/>
        <w:divId w:val="98525094"/>
        <w:rPr>
          <w:sz w:val="20"/>
          <w:szCs w:val="20"/>
        </w:rPr>
      </w:pPr>
      <w:r>
        <w:rPr>
          <w:sz w:val="20"/>
          <w:szCs w:val="20"/>
        </w:rPr>
        <w:t>You are urged to consult your tax advisor regarding the application of the PFIC rules to your investment in ADSs or ordinary shares.</w:t>
      </w:r>
    </w:p>
    <w:p w14:paraId="4F566974"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E5BD9B8" w14:textId="77777777">
        <w:trPr>
          <w:divId w:val="98525094"/>
          <w:trHeight w:val="225"/>
          <w:tblCellSpacing w:w="15" w:type="dxa"/>
        </w:trPr>
        <w:tc>
          <w:tcPr>
            <w:tcW w:w="0" w:type="auto"/>
            <w:vAlign w:val="center"/>
            <w:hideMark/>
          </w:tcPr>
          <w:p w14:paraId="41185AB0" w14:textId="77777777" w:rsidR="00000000" w:rsidRDefault="00EB4933">
            <w:pPr>
              <w:rPr>
                <w:rFonts w:eastAsia="Times New Roman"/>
                <w:sz w:val="20"/>
                <w:szCs w:val="20"/>
              </w:rPr>
            </w:pPr>
            <w:r>
              <w:rPr>
                <w:rFonts w:eastAsia="Times New Roman"/>
                <w:sz w:val="20"/>
                <w:szCs w:val="20"/>
              </w:rPr>
              <w:t> </w:t>
            </w:r>
          </w:p>
        </w:tc>
      </w:tr>
      <w:tr w:rsidR="00000000" w14:paraId="4541E778" w14:textId="77777777">
        <w:trPr>
          <w:divId w:val="98525094"/>
          <w:trHeight w:val="225"/>
          <w:tblCellSpacing w:w="15" w:type="dxa"/>
        </w:trPr>
        <w:tc>
          <w:tcPr>
            <w:tcW w:w="0" w:type="auto"/>
            <w:tcBorders>
              <w:bottom w:val="single" w:sz="6" w:space="0" w:color="000000"/>
            </w:tcBorders>
            <w:vAlign w:val="center"/>
            <w:hideMark/>
          </w:tcPr>
          <w:p w14:paraId="04BC4223" w14:textId="77777777" w:rsidR="00000000" w:rsidRDefault="00EB4933">
            <w:pPr>
              <w:jc w:val="center"/>
              <w:rPr>
                <w:rFonts w:eastAsia="Times New Roman"/>
                <w:sz w:val="20"/>
                <w:szCs w:val="20"/>
              </w:rPr>
            </w:pPr>
            <w:r>
              <w:rPr>
                <w:rFonts w:eastAsia="Times New Roman"/>
                <w:sz w:val="20"/>
                <w:szCs w:val="20"/>
              </w:rPr>
              <w:t>97</w:t>
            </w:r>
          </w:p>
        </w:tc>
      </w:tr>
      <w:tr w:rsidR="00000000" w14:paraId="6C321D3B" w14:textId="77777777">
        <w:trPr>
          <w:divId w:val="98525094"/>
          <w:trHeight w:val="225"/>
          <w:tblCellSpacing w:w="15" w:type="dxa"/>
        </w:trPr>
        <w:tc>
          <w:tcPr>
            <w:tcW w:w="0" w:type="auto"/>
            <w:vAlign w:val="center"/>
            <w:hideMark/>
          </w:tcPr>
          <w:p w14:paraId="0C59CDA0" w14:textId="77777777" w:rsidR="00000000" w:rsidRDefault="00EB4933">
            <w:pPr>
              <w:rPr>
                <w:rFonts w:eastAsia="Times New Roman"/>
                <w:sz w:val="20"/>
                <w:szCs w:val="20"/>
              </w:rPr>
            </w:pPr>
          </w:p>
        </w:tc>
      </w:tr>
      <w:tr w:rsidR="00000000" w14:paraId="4638D988" w14:textId="77777777">
        <w:trPr>
          <w:divId w:val="98525094"/>
          <w:trHeight w:val="225"/>
          <w:tblCellSpacing w:w="15" w:type="dxa"/>
        </w:trPr>
        <w:tc>
          <w:tcPr>
            <w:tcW w:w="0" w:type="auto"/>
            <w:vAlign w:val="center"/>
            <w:hideMark/>
          </w:tcPr>
          <w:p w14:paraId="599863C8" w14:textId="77777777" w:rsidR="00000000" w:rsidRDefault="00EB4933">
            <w:pPr>
              <w:rPr>
                <w:rFonts w:eastAsia="Times New Roman"/>
                <w:sz w:val="20"/>
                <w:szCs w:val="20"/>
              </w:rPr>
            </w:pPr>
            <w:hyperlink r:id="rId157" w:anchor="toc" w:history="1">
              <w:r>
                <w:rPr>
                  <w:rStyle w:val="Hyperlink"/>
                  <w:rFonts w:eastAsia="Times New Roman"/>
                  <w:i/>
                  <w:iCs/>
                  <w:sz w:val="20"/>
                  <w:szCs w:val="20"/>
                </w:rPr>
                <w:t>Table of Contents</w:t>
              </w:r>
            </w:hyperlink>
          </w:p>
        </w:tc>
      </w:tr>
    </w:tbl>
    <w:p w14:paraId="0DFE0323"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64CB0930"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Information Reporting and Backup Withholding</w:t>
      </w:r>
    </w:p>
    <w:p w14:paraId="5C2C6E7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F96F159" w14:textId="77777777" w:rsidR="00000000" w:rsidRDefault="00EB4933">
      <w:pPr>
        <w:pStyle w:val="NormalWeb"/>
        <w:spacing w:before="0" w:beforeAutospacing="0" w:after="0" w:afterAutospacing="0"/>
        <w:ind w:firstLine="675"/>
        <w:jc w:val="both"/>
        <w:divId w:val="98525094"/>
        <w:rPr>
          <w:sz w:val="20"/>
          <w:szCs w:val="20"/>
        </w:rPr>
      </w:pPr>
      <w:r>
        <w:rPr>
          <w:sz w:val="20"/>
          <w:szCs w:val="20"/>
        </w:rPr>
        <w:t>Dividend payments with respect to ADSs or ordinary shares and proceeds from the sale, exchange or redemption of ADSs or ordinary shares may be subjec</w:t>
      </w:r>
      <w:r>
        <w:rPr>
          <w:sz w:val="20"/>
          <w:szCs w:val="20"/>
        </w:rPr>
        <w:t>t to information reporting to the U.S. Internal Revenue Service and possible U.S. backup withholding. Backup withholding will not apply, however, to a U.S. Holder who furnishes a correct taxpayer identification number and makes any other required certifica</w:t>
      </w:r>
      <w:r>
        <w:rPr>
          <w:sz w:val="20"/>
          <w:szCs w:val="20"/>
        </w:rPr>
        <w:t>tion or who is otherwise exempt from backup withholding. If you are required to establish your exempt status, generally you must provide such certification on Internal Revenue Service Form W-9. You should consult your tax advisors regarding the application</w:t>
      </w:r>
      <w:r>
        <w:rPr>
          <w:sz w:val="20"/>
          <w:szCs w:val="20"/>
        </w:rPr>
        <w:t xml:space="preserve"> of the U.S. information reporting and backup withholding rules.</w:t>
      </w:r>
    </w:p>
    <w:p w14:paraId="4CB5B18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16986B3" w14:textId="77777777" w:rsidR="00000000" w:rsidRDefault="00EB4933">
      <w:pPr>
        <w:pStyle w:val="NormalWeb"/>
        <w:spacing w:before="0" w:beforeAutospacing="0" w:after="0" w:afterAutospacing="0"/>
        <w:ind w:firstLine="675"/>
        <w:jc w:val="both"/>
        <w:divId w:val="98525094"/>
        <w:rPr>
          <w:sz w:val="20"/>
          <w:szCs w:val="20"/>
        </w:rPr>
      </w:pPr>
      <w:r>
        <w:rPr>
          <w:sz w:val="20"/>
          <w:szCs w:val="20"/>
        </w:rPr>
        <w:t>Backup withholding is not an additional tax. Amounts withheld as backup withholding may be credited against your U.S. federal income tax liability, and you may obtain a refund of any excess</w:t>
      </w:r>
      <w:r>
        <w:rPr>
          <w:sz w:val="20"/>
          <w:szCs w:val="20"/>
        </w:rPr>
        <w:t xml:space="preserve"> amounts withheld under the backup withholding rules by filing the appropriate claim for refund with the U.S. Internal Revenue Service and furnishing any required information.</w:t>
      </w:r>
    </w:p>
    <w:p w14:paraId="7861735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D93BE2E"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addition, certain U.S. Holders who are individuals that hold certain foreig</w:t>
      </w:r>
      <w:r>
        <w:rPr>
          <w:sz w:val="20"/>
          <w:szCs w:val="20"/>
        </w:rPr>
        <w:t>n financial assets (which may include our ADSs or ordinary shares) may be required to report information relating to such assets, subject to certain exceptions. You should consult your own tax advisors regarding the effect, if any, of this requirement on y</w:t>
      </w:r>
      <w:r>
        <w:rPr>
          <w:sz w:val="20"/>
          <w:szCs w:val="20"/>
        </w:rPr>
        <w:t>our ownership and disposition of our ADSs or ordinary shares.”</w:t>
      </w:r>
    </w:p>
    <w:p w14:paraId="37F3CD3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F1597E5" w14:textId="77777777" w:rsidR="00000000" w:rsidRDefault="00EB4933">
      <w:pPr>
        <w:pStyle w:val="NormalWeb"/>
        <w:spacing w:before="0" w:beforeAutospacing="0" w:after="0" w:afterAutospacing="0"/>
        <w:jc w:val="both"/>
        <w:divId w:val="98525094"/>
        <w:rPr>
          <w:sz w:val="20"/>
          <w:szCs w:val="20"/>
        </w:rPr>
      </w:pPr>
      <w:r>
        <w:rPr>
          <w:rStyle w:val="Emphasis"/>
          <w:b/>
          <w:bCs/>
          <w:sz w:val="20"/>
          <w:szCs w:val="20"/>
        </w:rPr>
        <w:t>Tax Cuts and Jobs Act</w:t>
      </w:r>
    </w:p>
    <w:p w14:paraId="1A70F3E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A4991DF" w14:textId="77777777" w:rsidR="00000000" w:rsidRDefault="00EB4933">
      <w:pPr>
        <w:pStyle w:val="NormalWeb"/>
        <w:spacing w:before="0" w:beforeAutospacing="0" w:after="0" w:afterAutospacing="0"/>
        <w:ind w:firstLine="675"/>
        <w:jc w:val="both"/>
        <w:divId w:val="98525094"/>
        <w:rPr>
          <w:sz w:val="20"/>
          <w:szCs w:val="20"/>
        </w:rPr>
      </w:pPr>
      <w:r>
        <w:rPr>
          <w:sz w:val="20"/>
          <w:szCs w:val="20"/>
        </w:rPr>
        <w:t>On December 22, 2017, President Trump signed into law H.R. 1, “</w:t>
      </w:r>
      <w:r>
        <w:rPr>
          <w:sz w:val="20"/>
          <w:szCs w:val="20"/>
        </w:rPr>
        <w:t>An Act to provide for reconciliation pursuant to titles II and V of the concurrent resolution on the budget for fiscal year 2018” (informally titled the “Tax Cuts and Jobs Act”). The Tax Cuts and Jobs Act broadly changes the taxation of foreign earnings at</w:t>
      </w:r>
      <w:r>
        <w:rPr>
          <w:sz w:val="20"/>
          <w:szCs w:val="20"/>
        </w:rPr>
        <w:t>tributable to certain U.S. Holders from a worldwide tax regime to a territorial regime. The Tax Cuts and Jobs Act created a transition tax that creates a deemed repatriation of previously untaxed foreign earnings and profits. Certain U.S. Holders may be su</w:t>
      </w:r>
      <w:r>
        <w:rPr>
          <w:sz w:val="20"/>
          <w:szCs w:val="20"/>
        </w:rPr>
        <w:t>bject to this transition tax and recognize taxable income due to undistributed earnings and profits of the Company.</w:t>
      </w:r>
    </w:p>
    <w:p w14:paraId="736E179D"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0FEBBE0" w14:textId="77777777">
        <w:trPr>
          <w:divId w:val="98525094"/>
          <w:trHeight w:val="225"/>
          <w:tblCellSpacing w:w="15" w:type="dxa"/>
        </w:trPr>
        <w:tc>
          <w:tcPr>
            <w:tcW w:w="0" w:type="auto"/>
            <w:vAlign w:val="center"/>
            <w:hideMark/>
          </w:tcPr>
          <w:p w14:paraId="618CC8C3" w14:textId="77777777" w:rsidR="00000000" w:rsidRDefault="00EB4933">
            <w:pPr>
              <w:rPr>
                <w:rFonts w:eastAsia="Times New Roman"/>
                <w:sz w:val="20"/>
                <w:szCs w:val="20"/>
              </w:rPr>
            </w:pPr>
            <w:r>
              <w:rPr>
                <w:rFonts w:eastAsia="Times New Roman"/>
                <w:sz w:val="20"/>
                <w:szCs w:val="20"/>
              </w:rPr>
              <w:t> </w:t>
            </w:r>
          </w:p>
        </w:tc>
      </w:tr>
      <w:tr w:rsidR="00000000" w14:paraId="2FE033E5" w14:textId="77777777">
        <w:trPr>
          <w:divId w:val="98525094"/>
          <w:trHeight w:val="225"/>
          <w:tblCellSpacing w:w="15" w:type="dxa"/>
        </w:trPr>
        <w:tc>
          <w:tcPr>
            <w:tcW w:w="0" w:type="auto"/>
            <w:tcBorders>
              <w:bottom w:val="single" w:sz="6" w:space="0" w:color="000000"/>
            </w:tcBorders>
            <w:vAlign w:val="center"/>
            <w:hideMark/>
          </w:tcPr>
          <w:p w14:paraId="777A74CF" w14:textId="77777777" w:rsidR="00000000" w:rsidRDefault="00EB4933">
            <w:pPr>
              <w:jc w:val="center"/>
              <w:rPr>
                <w:rFonts w:eastAsia="Times New Roman"/>
                <w:sz w:val="20"/>
                <w:szCs w:val="20"/>
              </w:rPr>
            </w:pPr>
            <w:r>
              <w:rPr>
                <w:rFonts w:eastAsia="Times New Roman"/>
                <w:sz w:val="20"/>
                <w:szCs w:val="20"/>
              </w:rPr>
              <w:t>98</w:t>
            </w:r>
          </w:p>
        </w:tc>
      </w:tr>
      <w:tr w:rsidR="00000000" w14:paraId="20C3E250" w14:textId="77777777">
        <w:trPr>
          <w:divId w:val="98525094"/>
          <w:trHeight w:val="225"/>
          <w:tblCellSpacing w:w="15" w:type="dxa"/>
        </w:trPr>
        <w:tc>
          <w:tcPr>
            <w:tcW w:w="0" w:type="auto"/>
            <w:vAlign w:val="center"/>
            <w:hideMark/>
          </w:tcPr>
          <w:p w14:paraId="4733940F" w14:textId="77777777" w:rsidR="00000000" w:rsidRDefault="00EB4933">
            <w:pPr>
              <w:rPr>
                <w:rFonts w:eastAsia="Times New Roman"/>
                <w:sz w:val="20"/>
                <w:szCs w:val="20"/>
              </w:rPr>
            </w:pPr>
          </w:p>
        </w:tc>
      </w:tr>
      <w:tr w:rsidR="00000000" w14:paraId="12A0A4A7" w14:textId="77777777">
        <w:trPr>
          <w:divId w:val="98525094"/>
          <w:trHeight w:val="225"/>
          <w:tblCellSpacing w:w="15" w:type="dxa"/>
        </w:trPr>
        <w:tc>
          <w:tcPr>
            <w:tcW w:w="0" w:type="auto"/>
            <w:vAlign w:val="center"/>
            <w:hideMark/>
          </w:tcPr>
          <w:p w14:paraId="15CDC8E5" w14:textId="77777777" w:rsidR="00000000" w:rsidRDefault="00EB4933">
            <w:pPr>
              <w:rPr>
                <w:rFonts w:eastAsia="Times New Roman"/>
                <w:sz w:val="20"/>
                <w:szCs w:val="20"/>
              </w:rPr>
            </w:pPr>
            <w:hyperlink r:id="rId158" w:anchor="toc" w:history="1">
              <w:r>
                <w:rPr>
                  <w:rStyle w:val="Hyperlink"/>
                  <w:rFonts w:eastAsia="Times New Roman"/>
                  <w:i/>
                  <w:iCs/>
                  <w:sz w:val="20"/>
                  <w:szCs w:val="20"/>
                </w:rPr>
                <w:t>Table of Contents</w:t>
              </w:r>
            </w:hyperlink>
          </w:p>
        </w:tc>
      </w:tr>
    </w:tbl>
    <w:p w14:paraId="37D95BA2"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289D1BD6" w14:textId="77777777" w:rsidR="00000000" w:rsidRDefault="00EB4933">
      <w:pPr>
        <w:pStyle w:val="NormalWeb"/>
        <w:spacing w:before="0" w:beforeAutospacing="0" w:after="0" w:afterAutospacing="0"/>
        <w:jc w:val="both"/>
        <w:divId w:val="98525094"/>
        <w:rPr>
          <w:sz w:val="20"/>
          <w:szCs w:val="20"/>
        </w:rPr>
      </w:pPr>
      <w:r>
        <w:rPr>
          <w:rStyle w:val="Strong"/>
          <w:sz w:val="20"/>
          <w:szCs w:val="20"/>
        </w:rPr>
        <w:t>F. Dividends and Paying Agents</w:t>
      </w:r>
      <w:r>
        <w:rPr>
          <w:sz w:val="20"/>
          <w:szCs w:val="20"/>
        </w:rPr>
        <w:t xml:space="preserve"> </w:t>
      </w:r>
    </w:p>
    <w:p w14:paraId="2E41AD3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8A00ED3" w14:textId="77777777" w:rsidR="00000000" w:rsidRDefault="00EB4933">
      <w:pPr>
        <w:pStyle w:val="NormalWeb"/>
        <w:spacing w:before="0" w:beforeAutospacing="0" w:after="0" w:afterAutospacing="0"/>
        <w:ind w:firstLine="675"/>
        <w:jc w:val="both"/>
        <w:divId w:val="98525094"/>
        <w:rPr>
          <w:sz w:val="20"/>
          <w:szCs w:val="20"/>
        </w:rPr>
      </w:pPr>
      <w:r>
        <w:rPr>
          <w:sz w:val="20"/>
          <w:szCs w:val="20"/>
        </w:rPr>
        <w:t>Not applicable.</w:t>
      </w:r>
    </w:p>
    <w:p w14:paraId="1F656C54"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p w14:paraId="10F9846C"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G. </w:t>
      </w:r>
      <w:r>
        <w:rPr>
          <w:rStyle w:val="Strong"/>
          <w:sz w:val="20"/>
          <w:szCs w:val="20"/>
        </w:rPr>
        <w:t>Statement by Experts</w:t>
      </w:r>
      <w:r>
        <w:rPr>
          <w:sz w:val="20"/>
          <w:szCs w:val="20"/>
        </w:rPr>
        <w:t xml:space="preserve"> </w:t>
      </w:r>
    </w:p>
    <w:p w14:paraId="4F59D5A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466979A" w14:textId="77777777" w:rsidR="00000000" w:rsidRDefault="00EB4933">
      <w:pPr>
        <w:pStyle w:val="NormalWeb"/>
        <w:spacing w:before="0" w:beforeAutospacing="0" w:after="0" w:afterAutospacing="0"/>
        <w:ind w:firstLine="675"/>
        <w:jc w:val="both"/>
        <w:divId w:val="98525094"/>
        <w:rPr>
          <w:sz w:val="20"/>
          <w:szCs w:val="20"/>
        </w:rPr>
      </w:pPr>
      <w:r>
        <w:rPr>
          <w:sz w:val="20"/>
          <w:szCs w:val="20"/>
        </w:rPr>
        <w:t>Not applicable.</w:t>
      </w:r>
    </w:p>
    <w:p w14:paraId="2ED2B54E" w14:textId="77777777" w:rsidR="00000000" w:rsidRDefault="00EB4933">
      <w:pPr>
        <w:pStyle w:val="NormalWeb"/>
        <w:spacing w:before="0" w:beforeAutospacing="0" w:after="0" w:afterAutospacing="0"/>
        <w:jc w:val="center"/>
        <w:divId w:val="98525094"/>
        <w:rPr>
          <w:sz w:val="20"/>
          <w:szCs w:val="20"/>
        </w:rPr>
      </w:pPr>
      <w:r>
        <w:rPr>
          <w:sz w:val="20"/>
          <w:szCs w:val="20"/>
        </w:rPr>
        <w:t> </w:t>
      </w:r>
    </w:p>
    <w:p w14:paraId="64823A50" w14:textId="77777777" w:rsidR="00000000" w:rsidRDefault="00EB4933">
      <w:pPr>
        <w:pStyle w:val="NormalWeb"/>
        <w:spacing w:before="0" w:beforeAutospacing="0" w:after="0" w:afterAutospacing="0"/>
        <w:jc w:val="both"/>
        <w:divId w:val="98525094"/>
        <w:rPr>
          <w:sz w:val="20"/>
          <w:szCs w:val="20"/>
        </w:rPr>
      </w:pPr>
      <w:r>
        <w:rPr>
          <w:rStyle w:val="Strong"/>
          <w:sz w:val="20"/>
          <w:szCs w:val="20"/>
        </w:rPr>
        <w:t>H. Documents on Display</w:t>
      </w:r>
      <w:r>
        <w:rPr>
          <w:sz w:val="20"/>
          <w:szCs w:val="20"/>
        </w:rPr>
        <w:t xml:space="preserve"> </w:t>
      </w:r>
    </w:p>
    <w:p w14:paraId="73040C1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D51BACE"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have filed this annual report on Form 20-F, including exhibits, with the SEC. As permitted by the SEC, in Item 19 of this annual report, we incorporate by reference certain information</w:t>
      </w:r>
      <w:r>
        <w:rPr>
          <w:sz w:val="20"/>
          <w:szCs w:val="20"/>
        </w:rPr>
        <w:t xml:space="preserve"> we have filed with the SEC. This means that we can disclose important information to you by referring you to another document filed separately with the SEC. The information incorporated by reference is considered to be part of this annual report.</w:t>
      </w:r>
    </w:p>
    <w:p w14:paraId="43785DD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BB57F7C" w14:textId="77777777" w:rsidR="00000000" w:rsidRDefault="00EB4933">
      <w:pPr>
        <w:pStyle w:val="NormalWeb"/>
        <w:spacing w:before="0" w:beforeAutospacing="0" w:after="0" w:afterAutospacing="0"/>
        <w:ind w:firstLine="675"/>
        <w:jc w:val="both"/>
        <w:divId w:val="98525094"/>
        <w:rPr>
          <w:sz w:val="20"/>
          <w:szCs w:val="20"/>
        </w:rPr>
      </w:pPr>
      <w:r>
        <w:rPr>
          <w:sz w:val="20"/>
          <w:szCs w:val="20"/>
        </w:rPr>
        <w:t>You ma</w:t>
      </w:r>
      <w:r>
        <w:rPr>
          <w:sz w:val="20"/>
          <w:szCs w:val="20"/>
        </w:rPr>
        <w:t>y read and copy this annual report, including the exhibits incorporated by reference in this annual report, at the SEC’s public reference room at 100 F Street, N.E., Washington, D.C. 20549 and at the SEC’s regional offices in New York, New York and Chicago</w:t>
      </w:r>
      <w:r>
        <w:rPr>
          <w:sz w:val="20"/>
          <w:szCs w:val="20"/>
        </w:rPr>
        <w:t>, Illinois. Please call the SEC at 1-800-SEC-0330 for further information on the public reference rooms and their copy charges.</w:t>
      </w:r>
    </w:p>
    <w:p w14:paraId="7CE8AB95"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050B76EF"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a foreign private issuer, we are exempt from the rules under the Exchange Act prescribing the furnishing and content of qua</w:t>
      </w:r>
      <w:r>
        <w:rPr>
          <w:sz w:val="20"/>
          <w:szCs w:val="20"/>
        </w:rPr>
        <w:t>rterly reports and proxy statements, and officers, directors and principal shareholders are exempt from the reporting and short-swing profit recovery provisions contained in Section 16 of the Exchange Act.</w:t>
      </w:r>
    </w:p>
    <w:p w14:paraId="23DE4F6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299963D"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will furnish Deutsche Bank Trust Company Amer</w:t>
      </w:r>
      <w:r>
        <w:rPr>
          <w:sz w:val="20"/>
          <w:szCs w:val="20"/>
        </w:rPr>
        <w:t>icas, the depositary of our ADSs, all notices of shareholders’ meetings and other reports and communications that are made generally available to our shareholders. The depositary will make such notices, reports and communications available to holders of AD</w:t>
      </w:r>
      <w:r>
        <w:rPr>
          <w:sz w:val="20"/>
          <w:szCs w:val="20"/>
        </w:rPr>
        <w:t>Ss and, upon our request, will mail to all record holders of ADSs the information contained in any notice of a shareholders’ meeting received by the depositary from us. We will file our annual report on Form 20-F, including our audited financial statements</w:t>
      </w:r>
      <w:r>
        <w:rPr>
          <w:sz w:val="20"/>
          <w:szCs w:val="20"/>
        </w:rPr>
        <w:t>, with the SEC. Our annual report on Form 20-F can be accessed on the SEC’s website as well the investor relations section of our website. Investors may request a hard copy of our annual report, free of charge, by contacting us.</w:t>
      </w:r>
    </w:p>
    <w:p w14:paraId="792557E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8A95C02"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Our financial statements </w:t>
      </w:r>
      <w:r>
        <w:rPr>
          <w:sz w:val="20"/>
          <w:szCs w:val="20"/>
        </w:rPr>
        <w:t>have been prepared in accordance with IFRS. We will furnish our shareholders with annual reports, which will include a review of operations and annual audited consolidated financial statements prepared in conformity with IFRS.</w:t>
      </w:r>
    </w:p>
    <w:p w14:paraId="043B8994"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7B19A5DD" w14:textId="77777777" w:rsidR="00000000" w:rsidRDefault="00EB4933">
      <w:pPr>
        <w:pStyle w:val="NormalWeb"/>
        <w:spacing w:before="0" w:beforeAutospacing="0" w:after="0" w:afterAutospacing="0"/>
        <w:jc w:val="both"/>
        <w:divId w:val="98525094"/>
        <w:rPr>
          <w:sz w:val="20"/>
          <w:szCs w:val="20"/>
        </w:rPr>
      </w:pPr>
      <w:r>
        <w:rPr>
          <w:rStyle w:val="Strong"/>
          <w:sz w:val="20"/>
          <w:szCs w:val="20"/>
        </w:rPr>
        <w:t>I. Subsidiary Information</w:t>
      </w:r>
      <w:r>
        <w:rPr>
          <w:sz w:val="20"/>
          <w:szCs w:val="20"/>
        </w:rPr>
        <w:t xml:space="preserve"> </w:t>
      </w:r>
    </w:p>
    <w:p w14:paraId="21FD0AD8"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0395C82E" w14:textId="77777777" w:rsidR="00000000" w:rsidRDefault="00EB4933">
      <w:pPr>
        <w:pStyle w:val="NormalWeb"/>
        <w:spacing w:before="0" w:beforeAutospacing="0" w:after="0" w:afterAutospacing="0"/>
        <w:ind w:left="675"/>
        <w:jc w:val="both"/>
        <w:divId w:val="98525094"/>
        <w:rPr>
          <w:sz w:val="20"/>
          <w:szCs w:val="20"/>
        </w:rPr>
      </w:pPr>
      <w:r>
        <w:rPr>
          <w:sz w:val="20"/>
          <w:szCs w:val="20"/>
        </w:rPr>
        <w:t>Not applicable.</w:t>
      </w:r>
    </w:p>
    <w:p w14:paraId="242D39AC"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FA16612" w14:textId="77777777">
        <w:trPr>
          <w:divId w:val="98525094"/>
          <w:trHeight w:val="225"/>
          <w:tblCellSpacing w:w="15" w:type="dxa"/>
        </w:trPr>
        <w:tc>
          <w:tcPr>
            <w:tcW w:w="0" w:type="auto"/>
            <w:vAlign w:val="center"/>
            <w:hideMark/>
          </w:tcPr>
          <w:p w14:paraId="760A2E5C" w14:textId="77777777" w:rsidR="00000000" w:rsidRDefault="00EB4933">
            <w:pPr>
              <w:rPr>
                <w:rFonts w:eastAsia="Times New Roman"/>
                <w:sz w:val="20"/>
                <w:szCs w:val="20"/>
              </w:rPr>
            </w:pPr>
            <w:r>
              <w:rPr>
                <w:rFonts w:eastAsia="Times New Roman"/>
                <w:sz w:val="20"/>
                <w:szCs w:val="20"/>
              </w:rPr>
              <w:t> </w:t>
            </w:r>
          </w:p>
        </w:tc>
      </w:tr>
      <w:tr w:rsidR="00000000" w14:paraId="3B759499" w14:textId="77777777">
        <w:trPr>
          <w:divId w:val="98525094"/>
          <w:trHeight w:val="225"/>
          <w:tblCellSpacing w:w="15" w:type="dxa"/>
        </w:trPr>
        <w:tc>
          <w:tcPr>
            <w:tcW w:w="0" w:type="auto"/>
            <w:tcBorders>
              <w:bottom w:val="single" w:sz="6" w:space="0" w:color="000000"/>
            </w:tcBorders>
            <w:vAlign w:val="center"/>
            <w:hideMark/>
          </w:tcPr>
          <w:p w14:paraId="6DD5BB0B" w14:textId="77777777" w:rsidR="00000000" w:rsidRDefault="00EB4933">
            <w:pPr>
              <w:jc w:val="center"/>
              <w:rPr>
                <w:rFonts w:eastAsia="Times New Roman"/>
                <w:sz w:val="20"/>
                <w:szCs w:val="20"/>
              </w:rPr>
            </w:pPr>
            <w:r>
              <w:rPr>
                <w:rFonts w:eastAsia="Times New Roman"/>
                <w:sz w:val="20"/>
                <w:szCs w:val="20"/>
              </w:rPr>
              <w:t>99</w:t>
            </w:r>
          </w:p>
        </w:tc>
      </w:tr>
      <w:tr w:rsidR="00000000" w14:paraId="3229E9AA" w14:textId="77777777">
        <w:trPr>
          <w:divId w:val="98525094"/>
          <w:trHeight w:val="225"/>
          <w:tblCellSpacing w:w="15" w:type="dxa"/>
        </w:trPr>
        <w:tc>
          <w:tcPr>
            <w:tcW w:w="0" w:type="auto"/>
            <w:vAlign w:val="center"/>
            <w:hideMark/>
          </w:tcPr>
          <w:p w14:paraId="28D2984F" w14:textId="77777777" w:rsidR="00000000" w:rsidRDefault="00EB4933">
            <w:pPr>
              <w:rPr>
                <w:rFonts w:eastAsia="Times New Roman"/>
                <w:sz w:val="20"/>
                <w:szCs w:val="20"/>
              </w:rPr>
            </w:pPr>
          </w:p>
        </w:tc>
      </w:tr>
      <w:tr w:rsidR="00000000" w14:paraId="50803796" w14:textId="77777777">
        <w:trPr>
          <w:divId w:val="98525094"/>
          <w:trHeight w:val="225"/>
          <w:tblCellSpacing w:w="15" w:type="dxa"/>
        </w:trPr>
        <w:tc>
          <w:tcPr>
            <w:tcW w:w="0" w:type="auto"/>
            <w:vAlign w:val="center"/>
            <w:hideMark/>
          </w:tcPr>
          <w:p w14:paraId="0CF5E5DE" w14:textId="77777777" w:rsidR="00000000" w:rsidRDefault="00EB4933">
            <w:pPr>
              <w:rPr>
                <w:rFonts w:eastAsia="Times New Roman"/>
                <w:sz w:val="20"/>
                <w:szCs w:val="20"/>
              </w:rPr>
            </w:pPr>
            <w:hyperlink r:id="rId159" w:anchor="toc" w:history="1">
              <w:r>
                <w:rPr>
                  <w:rStyle w:val="Hyperlink"/>
                  <w:rFonts w:eastAsia="Times New Roman"/>
                  <w:i/>
                  <w:iCs/>
                  <w:sz w:val="20"/>
                  <w:szCs w:val="20"/>
                </w:rPr>
                <w:t>Table of Contents</w:t>
              </w:r>
            </w:hyperlink>
          </w:p>
        </w:tc>
      </w:tr>
    </w:tbl>
    <w:p w14:paraId="61E1495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AC74BE6" w14:textId="77777777" w:rsidR="00000000" w:rsidRDefault="00EB4933">
      <w:pPr>
        <w:pStyle w:val="NormalWeb"/>
        <w:spacing w:before="0" w:beforeAutospacing="0" w:after="0" w:afterAutospacing="0"/>
        <w:jc w:val="both"/>
        <w:divId w:val="98525094"/>
        <w:rPr>
          <w:sz w:val="20"/>
          <w:szCs w:val="20"/>
        </w:rPr>
      </w:pPr>
      <w:bookmarkStart w:id="15" w:name="i11"/>
      <w:r>
        <w:rPr>
          <w:rStyle w:val="Strong"/>
          <w:sz w:val="20"/>
          <w:szCs w:val="20"/>
        </w:rPr>
        <w:t>ITEM 11. QUANTITATIVE AND QUALITATIVE DISCLOSURE ABOUT MARKET RISK</w:t>
      </w:r>
      <w:bookmarkEnd w:id="15"/>
    </w:p>
    <w:p w14:paraId="6AB7805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CC4200B" w14:textId="77777777" w:rsidR="00000000" w:rsidRDefault="00EB4933">
      <w:pPr>
        <w:pStyle w:val="NormalWeb"/>
        <w:spacing w:before="0" w:beforeAutospacing="0" w:after="0" w:afterAutospacing="0"/>
        <w:jc w:val="both"/>
        <w:divId w:val="98525094"/>
        <w:rPr>
          <w:sz w:val="20"/>
          <w:szCs w:val="20"/>
        </w:rPr>
      </w:pPr>
      <w:r>
        <w:rPr>
          <w:rStyle w:val="Strong"/>
          <w:sz w:val="20"/>
          <w:szCs w:val="20"/>
        </w:rPr>
        <w:t>Credit Risk</w:t>
      </w:r>
    </w:p>
    <w:p w14:paraId="2B0DF89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205EA2E" w14:textId="77777777" w:rsidR="00000000" w:rsidRDefault="00EB4933">
      <w:pPr>
        <w:pStyle w:val="NormalWeb"/>
        <w:spacing w:before="0" w:beforeAutospacing="0" w:after="0" w:afterAutospacing="0"/>
        <w:ind w:firstLine="675"/>
        <w:jc w:val="both"/>
        <w:divId w:val="98525094"/>
        <w:rPr>
          <w:sz w:val="20"/>
          <w:szCs w:val="20"/>
        </w:rPr>
      </w:pPr>
      <w:r>
        <w:rPr>
          <w:sz w:val="20"/>
          <w:szCs w:val="20"/>
        </w:rPr>
        <w:t>Credit risk is one of the most significant risks for the Company’s business. Credit risk exposures arise principally in lending activities.</w:t>
      </w:r>
    </w:p>
    <w:p w14:paraId="47F5CB3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B80E088"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credit committee is responsible for managing the credit risk by:</w:t>
      </w:r>
    </w:p>
    <w:p w14:paraId="5A32910E"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45"/>
        <w:gridCol w:w="8815"/>
      </w:tblGrid>
      <w:tr w:rsidR="00000000" w14:paraId="4AD5E041" w14:textId="77777777">
        <w:trPr>
          <w:divId w:val="98525094"/>
          <w:trHeight w:val="225"/>
          <w:tblCellSpacing w:w="15" w:type="dxa"/>
        </w:trPr>
        <w:tc>
          <w:tcPr>
            <w:tcW w:w="200" w:type="pct"/>
            <w:hideMark/>
          </w:tcPr>
          <w:p w14:paraId="60F3A325" w14:textId="77777777" w:rsidR="00000000" w:rsidRDefault="00EB4933">
            <w:pPr>
              <w:pStyle w:val="NormalWeb"/>
              <w:spacing w:before="0" w:beforeAutospacing="0" w:after="0" w:afterAutospacing="0"/>
              <w:jc w:val="center"/>
              <w:rPr>
                <w:sz w:val="20"/>
                <w:szCs w:val="20"/>
              </w:rPr>
            </w:pPr>
            <w:r>
              <w:rPr>
                <w:sz w:val="20"/>
                <w:szCs w:val="20"/>
              </w:rPr>
              <w:t>-</w:t>
            </w:r>
          </w:p>
        </w:tc>
        <w:tc>
          <w:tcPr>
            <w:tcW w:w="0" w:type="auto"/>
            <w:hideMark/>
          </w:tcPr>
          <w:p w14:paraId="7DC6B334" w14:textId="77777777" w:rsidR="00000000" w:rsidRDefault="00EB4933">
            <w:pPr>
              <w:pStyle w:val="NormalWeb"/>
              <w:spacing w:before="0" w:beforeAutospacing="0" w:after="0" w:afterAutospacing="0"/>
              <w:jc w:val="both"/>
              <w:rPr>
                <w:sz w:val="20"/>
                <w:szCs w:val="20"/>
              </w:rPr>
            </w:pPr>
            <w:r>
              <w:rPr>
                <w:sz w:val="20"/>
                <w:szCs w:val="20"/>
              </w:rPr>
              <w:t>Ensuring that we have appropriate credit risk practices, including an effective system of internal control, to consistently determine adequate allowances in accordance with the Group’s stated policies and procedures, IFRS and relevant supervisory guidance.</w:t>
            </w:r>
          </w:p>
        </w:tc>
      </w:tr>
      <w:tr w:rsidR="00000000" w14:paraId="119C4C65" w14:textId="77777777">
        <w:trPr>
          <w:divId w:val="98525094"/>
          <w:trHeight w:val="225"/>
          <w:tblCellSpacing w:w="15" w:type="dxa"/>
        </w:trPr>
        <w:tc>
          <w:tcPr>
            <w:tcW w:w="0" w:type="auto"/>
            <w:vAlign w:val="center"/>
            <w:hideMark/>
          </w:tcPr>
          <w:p w14:paraId="0A08FBF4" w14:textId="77777777" w:rsidR="00000000" w:rsidRDefault="00EB4933">
            <w:pPr>
              <w:pStyle w:val="NormalWeb"/>
              <w:spacing w:before="0" w:beforeAutospacing="0" w:after="0" w:afterAutospacing="0"/>
              <w:ind w:firstLine="450"/>
              <w:jc w:val="both"/>
              <w:rPr>
                <w:sz w:val="20"/>
                <w:szCs w:val="20"/>
              </w:rPr>
            </w:pPr>
            <w:r>
              <w:rPr>
                <w:sz w:val="20"/>
                <w:szCs w:val="20"/>
              </w:rPr>
              <w:lastRenderedPageBreak/>
              <w:t> </w:t>
            </w:r>
          </w:p>
        </w:tc>
        <w:tc>
          <w:tcPr>
            <w:tcW w:w="0" w:type="auto"/>
            <w:vAlign w:val="center"/>
            <w:hideMark/>
          </w:tcPr>
          <w:p w14:paraId="15B6670E"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5A31E9C8" w14:textId="77777777">
        <w:trPr>
          <w:divId w:val="98525094"/>
          <w:trHeight w:val="225"/>
          <w:tblCellSpacing w:w="15" w:type="dxa"/>
        </w:trPr>
        <w:tc>
          <w:tcPr>
            <w:tcW w:w="0" w:type="auto"/>
            <w:hideMark/>
          </w:tcPr>
          <w:p w14:paraId="342B7D08" w14:textId="77777777" w:rsidR="00000000" w:rsidRDefault="00EB4933">
            <w:pPr>
              <w:pStyle w:val="NormalWeb"/>
              <w:spacing w:before="0" w:beforeAutospacing="0" w:after="0" w:afterAutospacing="0"/>
              <w:jc w:val="center"/>
              <w:rPr>
                <w:sz w:val="20"/>
                <w:szCs w:val="20"/>
              </w:rPr>
            </w:pPr>
            <w:r>
              <w:rPr>
                <w:sz w:val="20"/>
                <w:szCs w:val="20"/>
              </w:rPr>
              <w:t>-</w:t>
            </w:r>
          </w:p>
        </w:tc>
        <w:tc>
          <w:tcPr>
            <w:tcW w:w="0" w:type="auto"/>
            <w:hideMark/>
          </w:tcPr>
          <w:p w14:paraId="03687A8B" w14:textId="77777777" w:rsidR="00000000" w:rsidRDefault="00EB4933">
            <w:pPr>
              <w:pStyle w:val="NormalWeb"/>
              <w:spacing w:before="0" w:beforeAutospacing="0" w:after="0" w:afterAutospacing="0"/>
              <w:jc w:val="both"/>
              <w:rPr>
                <w:sz w:val="20"/>
                <w:szCs w:val="20"/>
              </w:rPr>
            </w:pPr>
            <w:r>
              <w:rPr>
                <w:sz w:val="20"/>
                <w:szCs w:val="20"/>
              </w:rPr>
              <w:t>Identifying, assessing and measuring credit risk from an individual loan to a portfolio level.</w:t>
            </w:r>
          </w:p>
        </w:tc>
      </w:tr>
      <w:tr w:rsidR="00000000" w14:paraId="17922040" w14:textId="77777777">
        <w:trPr>
          <w:divId w:val="98525094"/>
          <w:trHeight w:val="225"/>
          <w:tblCellSpacing w:w="15" w:type="dxa"/>
        </w:trPr>
        <w:tc>
          <w:tcPr>
            <w:tcW w:w="0" w:type="auto"/>
            <w:vAlign w:val="center"/>
            <w:hideMark/>
          </w:tcPr>
          <w:p w14:paraId="47E27BD7"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56B5CD4E"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18430228" w14:textId="77777777">
        <w:trPr>
          <w:divId w:val="98525094"/>
          <w:trHeight w:val="225"/>
          <w:tblCellSpacing w:w="15" w:type="dxa"/>
        </w:trPr>
        <w:tc>
          <w:tcPr>
            <w:tcW w:w="0" w:type="auto"/>
            <w:hideMark/>
          </w:tcPr>
          <w:p w14:paraId="5BEBF4D7" w14:textId="77777777" w:rsidR="00000000" w:rsidRDefault="00EB4933">
            <w:pPr>
              <w:pStyle w:val="NormalWeb"/>
              <w:spacing w:before="0" w:beforeAutospacing="0" w:after="0" w:afterAutospacing="0"/>
              <w:jc w:val="center"/>
              <w:rPr>
                <w:sz w:val="20"/>
                <w:szCs w:val="20"/>
              </w:rPr>
            </w:pPr>
            <w:r>
              <w:rPr>
                <w:sz w:val="20"/>
                <w:szCs w:val="20"/>
              </w:rPr>
              <w:t>-</w:t>
            </w:r>
          </w:p>
        </w:tc>
        <w:tc>
          <w:tcPr>
            <w:tcW w:w="0" w:type="auto"/>
            <w:hideMark/>
          </w:tcPr>
          <w:p w14:paraId="061CC1C9" w14:textId="77777777" w:rsidR="00000000" w:rsidRDefault="00EB4933">
            <w:pPr>
              <w:pStyle w:val="NormalWeb"/>
              <w:spacing w:before="0" w:beforeAutospacing="0" w:after="0" w:afterAutospacing="0"/>
              <w:jc w:val="both"/>
              <w:rPr>
                <w:sz w:val="20"/>
                <w:szCs w:val="20"/>
              </w:rPr>
            </w:pPr>
            <w:r>
              <w:rPr>
                <w:sz w:val="20"/>
                <w:szCs w:val="20"/>
              </w:rPr>
              <w:t>creating credit policies to protect us against the identified risks including the requirements to obtain collateral from borrowers, to perform r</w:t>
            </w:r>
            <w:r>
              <w:rPr>
                <w:sz w:val="20"/>
                <w:szCs w:val="20"/>
              </w:rPr>
              <w:t>obust ongoing credit assessment of borrowers and to continually monitor exposures against internal risk limits.</w:t>
            </w:r>
          </w:p>
        </w:tc>
      </w:tr>
      <w:tr w:rsidR="00000000" w14:paraId="297E2392" w14:textId="77777777">
        <w:trPr>
          <w:divId w:val="98525094"/>
          <w:trHeight w:val="225"/>
          <w:tblCellSpacing w:w="15" w:type="dxa"/>
        </w:trPr>
        <w:tc>
          <w:tcPr>
            <w:tcW w:w="0" w:type="auto"/>
            <w:vAlign w:val="center"/>
            <w:hideMark/>
          </w:tcPr>
          <w:p w14:paraId="5DB66C9B"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A71595D"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51D821C" w14:textId="77777777">
        <w:trPr>
          <w:divId w:val="98525094"/>
          <w:trHeight w:val="225"/>
          <w:tblCellSpacing w:w="15" w:type="dxa"/>
        </w:trPr>
        <w:tc>
          <w:tcPr>
            <w:tcW w:w="0" w:type="auto"/>
            <w:hideMark/>
          </w:tcPr>
          <w:p w14:paraId="67276942" w14:textId="77777777" w:rsidR="00000000" w:rsidRDefault="00EB4933">
            <w:pPr>
              <w:pStyle w:val="NormalWeb"/>
              <w:spacing w:before="0" w:beforeAutospacing="0" w:after="0" w:afterAutospacing="0"/>
              <w:jc w:val="center"/>
              <w:rPr>
                <w:sz w:val="20"/>
                <w:szCs w:val="20"/>
              </w:rPr>
            </w:pPr>
            <w:r>
              <w:rPr>
                <w:sz w:val="20"/>
                <w:szCs w:val="20"/>
              </w:rPr>
              <w:t>-</w:t>
            </w:r>
          </w:p>
        </w:tc>
        <w:tc>
          <w:tcPr>
            <w:tcW w:w="0" w:type="auto"/>
            <w:hideMark/>
          </w:tcPr>
          <w:p w14:paraId="6DFE0548" w14:textId="77777777" w:rsidR="00000000" w:rsidRDefault="00EB4933">
            <w:pPr>
              <w:pStyle w:val="NormalWeb"/>
              <w:spacing w:before="0" w:beforeAutospacing="0" w:after="0" w:afterAutospacing="0"/>
              <w:jc w:val="both"/>
              <w:rPr>
                <w:sz w:val="20"/>
                <w:szCs w:val="20"/>
              </w:rPr>
            </w:pPr>
            <w:r>
              <w:rPr>
                <w:sz w:val="20"/>
                <w:szCs w:val="20"/>
              </w:rPr>
              <w:t>Establishing a robust control framework regarding the authorization structure for the approval and renewal of credit facilities.</w:t>
            </w:r>
          </w:p>
        </w:tc>
      </w:tr>
      <w:tr w:rsidR="00000000" w14:paraId="330C63D9" w14:textId="77777777">
        <w:trPr>
          <w:divId w:val="98525094"/>
          <w:trHeight w:val="225"/>
          <w:tblCellSpacing w:w="15" w:type="dxa"/>
        </w:trPr>
        <w:tc>
          <w:tcPr>
            <w:tcW w:w="0" w:type="auto"/>
            <w:vAlign w:val="center"/>
            <w:hideMark/>
          </w:tcPr>
          <w:p w14:paraId="181535D4"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00BECEB3"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CF2C241" w14:textId="77777777">
        <w:trPr>
          <w:divId w:val="98525094"/>
          <w:trHeight w:val="225"/>
          <w:tblCellSpacing w:w="15" w:type="dxa"/>
        </w:trPr>
        <w:tc>
          <w:tcPr>
            <w:tcW w:w="0" w:type="auto"/>
            <w:hideMark/>
          </w:tcPr>
          <w:p w14:paraId="7D5F45DC" w14:textId="77777777" w:rsidR="00000000" w:rsidRDefault="00EB4933">
            <w:pPr>
              <w:pStyle w:val="NormalWeb"/>
              <w:spacing w:before="0" w:beforeAutospacing="0" w:after="0" w:afterAutospacing="0"/>
              <w:jc w:val="center"/>
              <w:rPr>
                <w:sz w:val="20"/>
                <w:szCs w:val="20"/>
              </w:rPr>
            </w:pPr>
            <w:r>
              <w:rPr>
                <w:sz w:val="20"/>
                <w:szCs w:val="20"/>
              </w:rPr>
              <w:t>-</w:t>
            </w:r>
          </w:p>
        </w:tc>
        <w:tc>
          <w:tcPr>
            <w:tcW w:w="0" w:type="auto"/>
            <w:hideMark/>
          </w:tcPr>
          <w:p w14:paraId="4B07FFF2" w14:textId="77777777" w:rsidR="00000000" w:rsidRDefault="00EB4933">
            <w:pPr>
              <w:pStyle w:val="NormalWeb"/>
              <w:spacing w:before="0" w:beforeAutospacing="0" w:after="0" w:afterAutospacing="0"/>
              <w:jc w:val="both"/>
              <w:rPr>
                <w:sz w:val="20"/>
                <w:szCs w:val="20"/>
              </w:rPr>
            </w:pPr>
            <w:r>
              <w:rPr>
                <w:sz w:val="20"/>
                <w:szCs w:val="20"/>
              </w:rPr>
              <w:t>Developing and maintaining our processes for measuring expected credit loss including monitoring of credit risk, incorp</w:t>
            </w:r>
            <w:r>
              <w:rPr>
                <w:sz w:val="20"/>
                <w:szCs w:val="20"/>
              </w:rPr>
              <w:t>oration of forward-looking information and the method used to measure expected credit loss.</w:t>
            </w:r>
          </w:p>
        </w:tc>
      </w:tr>
      <w:tr w:rsidR="00000000" w14:paraId="6A8B0B6C" w14:textId="77777777">
        <w:trPr>
          <w:divId w:val="98525094"/>
          <w:trHeight w:val="225"/>
          <w:tblCellSpacing w:w="15" w:type="dxa"/>
        </w:trPr>
        <w:tc>
          <w:tcPr>
            <w:tcW w:w="0" w:type="auto"/>
            <w:vAlign w:val="center"/>
            <w:hideMark/>
          </w:tcPr>
          <w:p w14:paraId="5812FB33"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B3BA738"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A08AE55" w14:textId="77777777">
        <w:trPr>
          <w:divId w:val="98525094"/>
          <w:trHeight w:val="225"/>
          <w:tblCellSpacing w:w="15" w:type="dxa"/>
        </w:trPr>
        <w:tc>
          <w:tcPr>
            <w:tcW w:w="0" w:type="auto"/>
            <w:hideMark/>
          </w:tcPr>
          <w:p w14:paraId="734226A4" w14:textId="77777777" w:rsidR="00000000" w:rsidRDefault="00EB4933">
            <w:pPr>
              <w:pStyle w:val="NormalWeb"/>
              <w:spacing w:before="0" w:beforeAutospacing="0" w:after="0" w:afterAutospacing="0"/>
              <w:jc w:val="center"/>
              <w:rPr>
                <w:sz w:val="20"/>
                <w:szCs w:val="20"/>
              </w:rPr>
            </w:pPr>
            <w:r>
              <w:rPr>
                <w:sz w:val="20"/>
                <w:szCs w:val="20"/>
              </w:rPr>
              <w:t>-</w:t>
            </w:r>
          </w:p>
        </w:tc>
        <w:tc>
          <w:tcPr>
            <w:tcW w:w="0" w:type="auto"/>
            <w:hideMark/>
          </w:tcPr>
          <w:p w14:paraId="4BD15DCF" w14:textId="77777777" w:rsidR="00000000" w:rsidRDefault="00EB4933">
            <w:pPr>
              <w:pStyle w:val="NormalWeb"/>
              <w:spacing w:before="0" w:beforeAutospacing="0" w:after="0" w:afterAutospacing="0"/>
              <w:jc w:val="both"/>
              <w:rPr>
                <w:sz w:val="20"/>
                <w:szCs w:val="20"/>
              </w:rPr>
            </w:pPr>
            <w:r>
              <w:rPr>
                <w:sz w:val="20"/>
                <w:szCs w:val="20"/>
              </w:rPr>
              <w:t>Ensuring that we have policies and procedures in place to appropriately maintain and validate methods used to assess and measure expected credit loss.</w:t>
            </w:r>
          </w:p>
        </w:tc>
      </w:tr>
      <w:tr w:rsidR="00000000" w14:paraId="48E8A4E7" w14:textId="77777777">
        <w:trPr>
          <w:divId w:val="98525094"/>
          <w:trHeight w:val="225"/>
          <w:tblCellSpacing w:w="15" w:type="dxa"/>
        </w:trPr>
        <w:tc>
          <w:tcPr>
            <w:tcW w:w="0" w:type="auto"/>
            <w:vAlign w:val="center"/>
            <w:hideMark/>
          </w:tcPr>
          <w:p w14:paraId="7A14CE70"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0B409D8B"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A80EE67" w14:textId="77777777">
        <w:trPr>
          <w:divId w:val="98525094"/>
          <w:trHeight w:val="225"/>
          <w:tblCellSpacing w:w="15" w:type="dxa"/>
        </w:trPr>
        <w:tc>
          <w:tcPr>
            <w:tcW w:w="0" w:type="auto"/>
            <w:hideMark/>
          </w:tcPr>
          <w:p w14:paraId="200B0FBB" w14:textId="77777777" w:rsidR="00000000" w:rsidRDefault="00EB4933">
            <w:pPr>
              <w:pStyle w:val="NormalWeb"/>
              <w:spacing w:before="0" w:beforeAutospacing="0" w:after="0" w:afterAutospacing="0"/>
              <w:jc w:val="center"/>
              <w:rPr>
                <w:sz w:val="20"/>
                <w:szCs w:val="20"/>
              </w:rPr>
            </w:pPr>
            <w:r>
              <w:rPr>
                <w:sz w:val="20"/>
                <w:szCs w:val="20"/>
              </w:rPr>
              <w:t>-</w:t>
            </w:r>
          </w:p>
        </w:tc>
        <w:tc>
          <w:tcPr>
            <w:tcW w:w="0" w:type="auto"/>
            <w:hideMark/>
          </w:tcPr>
          <w:p w14:paraId="63673C4B" w14:textId="77777777" w:rsidR="00000000" w:rsidRDefault="00EB4933">
            <w:pPr>
              <w:pStyle w:val="NormalWeb"/>
              <w:spacing w:before="0" w:beforeAutospacing="0" w:after="0" w:afterAutospacing="0"/>
              <w:jc w:val="both"/>
              <w:rPr>
                <w:sz w:val="20"/>
                <w:szCs w:val="20"/>
              </w:rPr>
            </w:pPr>
            <w:r>
              <w:rPr>
                <w:sz w:val="20"/>
                <w:szCs w:val="20"/>
              </w:rPr>
              <w:t>Establishing a sound credit risk accounting assessment and measurement process that provides it with a strong basis for common systems, tools and data to assess credit risk and to account for expected credit loss. Providing advice, guidance and speciali</w:t>
            </w:r>
            <w:r>
              <w:rPr>
                <w:sz w:val="20"/>
                <w:szCs w:val="20"/>
              </w:rPr>
              <w:t>st skills to business units to promote best practice in the management of credit risk.</w:t>
            </w:r>
          </w:p>
        </w:tc>
      </w:tr>
    </w:tbl>
    <w:p w14:paraId="0F46A12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3A08CA4" w14:textId="77777777" w:rsidR="00000000" w:rsidRDefault="00EB4933">
      <w:pPr>
        <w:pStyle w:val="NormalWeb"/>
        <w:spacing w:before="0" w:beforeAutospacing="0" w:after="0" w:afterAutospacing="0"/>
        <w:jc w:val="both"/>
        <w:divId w:val="98525094"/>
        <w:rPr>
          <w:sz w:val="20"/>
          <w:szCs w:val="20"/>
        </w:rPr>
      </w:pPr>
      <w:r>
        <w:rPr>
          <w:rStyle w:val="Strong"/>
          <w:sz w:val="20"/>
          <w:szCs w:val="20"/>
        </w:rPr>
        <w:t>Liquidity Risk</w:t>
      </w:r>
    </w:p>
    <w:p w14:paraId="614029A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58A9660" w14:textId="77777777" w:rsidR="00000000" w:rsidRDefault="00EB4933">
      <w:pPr>
        <w:pStyle w:val="NormalWeb"/>
        <w:spacing w:before="0" w:beforeAutospacing="0" w:after="0" w:afterAutospacing="0"/>
        <w:ind w:firstLine="675"/>
        <w:jc w:val="both"/>
        <w:divId w:val="98525094"/>
        <w:rPr>
          <w:sz w:val="20"/>
          <w:szCs w:val="20"/>
        </w:rPr>
      </w:pPr>
      <w:r>
        <w:rPr>
          <w:sz w:val="20"/>
          <w:szCs w:val="20"/>
        </w:rPr>
        <w:t>Liquidity risk is the risk that we do not have sufficient financial resources to meet its obligations as they fall due, or will have to do so at an excessive cost. This risk arises from mismatches in the timing of cash flows which is inherent in lending op</w:t>
      </w:r>
      <w:r>
        <w:rPr>
          <w:sz w:val="20"/>
          <w:szCs w:val="20"/>
        </w:rPr>
        <w:t>erations and can be affected by a range of Group-specific and market-wide events.</w:t>
      </w:r>
    </w:p>
    <w:p w14:paraId="60B7CF3E"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3D87778" w14:textId="77777777">
        <w:trPr>
          <w:divId w:val="98525094"/>
          <w:trHeight w:val="225"/>
          <w:tblCellSpacing w:w="15" w:type="dxa"/>
        </w:trPr>
        <w:tc>
          <w:tcPr>
            <w:tcW w:w="0" w:type="auto"/>
            <w:vAlign w:val="center"/>
            <w:hideMark/>
          </w:tcPr>
          <w:p w14:paraId="06966CCC" w14:textId="77777777" w:rsidR="00000000" w:rsidRDefault="00EB4933">
            <w:pPr>
              <w:rPr>
                <w:rFonts w:eastAsia="Times New Roman"/>
                <w:sz w:val="20"/>
                <w:szCs w:val="20"/>
              </w:rPr>
            </w:pPr>
            <w:r>
              <w:rPr>
                <w:rFonts w:eastAsia="Times New Roman"/>
                <w:sz w:val="20"/>
                <w:szCs w:val="20"/>
              </w:rPr>
              <w:t> </w:t>
            </w:r>
          </w:p>
        </w:tc>
      </w:tr>
      <w:tr w:rsidR="00000000" w14:paraId="78463268" w14:textId="77777777">
        <w:trPr>
          <w:divId w:val="98525094"/>
          <w:trHeight w:val="225"/>
          <w:tblCellSpacing w:w="15" w:type="dxa"/>
        </w:trPr>
        <w:tc>
          <w:tcPr>
            <w:tcW w:w="0" w:type="auto"/>
            <w:tcBorders>
              <w:bottom w:val="single" w:sz="6" w:space="0" w:color="000000"/>
            </w:tcBorders>
            <w:vAlign w:val="center"/>
            <w:hideMark/>
          </w:tcPr>
          <w:p w14:paraId="326C1AA0" w14:textId="77777777" w:rsidR="00000000" w:rsidRDefault="00EB4933">
            <w:pPr>
              <w:jc w:val="center"/>
              <w:rPr>
                <w:rFonts w:eastAsia="Times New Roman"/>
                <w:sz w:val="20"/>
                <w:szCs w:val="20"/>
              </w:rPr>
            </w:pPr>
            <w:r>
              <w:rPr>
                <w:rFonts w:eastAsia="Times New Roman"/>
                <w:sz w:val="20"/>
                <w:szCs w:val="20"/>
              </w:rPr>
              <w:t>100</w:t>
            </w:r>
          </w:p>
        </w:tc>
      </w:tr>
      <w:tr w:rsidR="00000000" w14:paraId="3F27E16B" w14:textId="77777777">
        <w:trPr>
          <w:divId w:val="98525094"/>
          <w:trHeight w:val="225"/>
          <w:tblCellSpacing w:w="15" w:type="dxa"/>
        </w:trPr>
        <w:tc>
          <w:tcPr>
            <w:tcW w:w="0" w:type="auto"/>
            <w:vAlign w:val="center"/>
            <w:hideMark/>
          </w:tcPr>
          <w:p w14:paraId="3808A828" w14:textId="77777777" w:rsidR="00000000" w:rsidRDefault="00EB4933">
            <w:pPr>
              <w:rPr>
                <w:rFonts w:eastAsia="Times New Roman"/>
                <w:sz w:val="20"/>
                <w:szCs w:val="20"/>
              </w:rPr>
            </w:pPr>
          </w:p>
        </w:tc>
      </w:tr>
      <w:tr w:rsidR="00000000" w14:paraId="2684A4EF" w14:textId="77777777">
        <w:trPr>
          <w:divId w:val="98525094"/>
          <w:trHeight w:val="225"/>
          <w:tblCellSpacing w:w="15" w:type="dxa"/>
        </w:trPr>
        <w:tc>
          <w:tcPr>
            <w:tcW w:w="0" w:type="auto"/>
            <w:vAlign w:val="center"/>
            <w:hideMark/>
          </w:tcPr>
          <w:p w14:paraId="77FFAC5F" w14:textId="77777777" w:rsidR="00000000" w:rsidRDefault="00EB4933">
            <w:pPr>
              <w:rPr>
                <w:rFonts w:eastAsia="Times New Roman"/>
                <w:sz w:val="20"/>
                <w:szCs w:val="20"/>
              </w:rPr>
            </w:pPr>
            <w:hyperlink r:id="rId160" w:anchor="toc" w:history="1">
              <w:r>
                <w:rPr>
                  <w:rStyle w:val="Hyperlink"/>
                  <w:rFonts w:eastAsia="Times New Roman"/>
                  <w:i/>
                  <w:iCs/>
                  <w:sz w:val="20"/>
                  <w:szCs w:val="20"/>
                </w:rPr>
                <w:t>Table of Contents</w:t>
              </w:r>
            </w:hyperlink>
          </w:p>
        </w:tc>
      </w:tr>
    </w:tbl>
    <w:p w14:paraId="49B8385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B575C4B"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Foreign Currency Risk</w:t>
      </w:r>
    </w:p>
    <w:p w14:paraId="217C838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0CEF3E3" w14:textId="77777777" w:rsidR="00000000" w:rsidRDefault="00EB4933">
      <w:pPr>
        <w:pStyle w:val="NormalWeb"/>
        <w:spacing w:before="0" w:beforeAutospacing="0" w:after="0" w:afterAutospacing="0"/>
        <w:ind w:firstLine="675"/>
        <w:jc w:val="both"/>
        <w:divId w:val="98525094"/>
        <w:rPr>
          <w:sz w:val="20"/>
          <w:szCs w:val="20"/>
        </w:rPr>
      </w:pPr>
      <w:r>
        <w:rPr>
          <w:sz w:val="20"/>
          <w:szCs w:val="20"/>
        </w:rPr>
        <w:t>All of our revenues and substantially all of our expenses are denominated in RMB, which is not freely convertible into foreign currencies. We do not believe that we currently have any significant direct foreign exchange risk and have not used any derivativ</w:t>
      </w:r>
      <w:r>
        <w:rPr>
          <w:sz w:val="20"/>
          <w:szCs w:val="20"/>
        </w:rPr>
        <w:t>e financial instruments to hedge exposure to such risk. Although in general our exposure to foreign exchange risks should be limited, the value of your investment in our ADSs will be affected by the exchange rate between the U.S. dollar and the RMB because</w:t>
      </w:r>
      <w:r>
        <w:rPr>
          <w:sz w:val="20"/>
          <w:szCs w:val="20"/>
        </w:rPr>
        <w:t xml:space="preserve"> the value of our business is effectively denominated in RMB, while our ADSs will be traded in U.S. dollars</w:t>
      </w:r>
    </w:p>
    <w:p w14:paraId="5E6F327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AF0DC3E" w14:textId="77777777" w:rsidR="00000000" w:rsidRDefault="00EB4933">
      <w:pPr>
        <w:pStyle w:val="NormalWeb"/>
        <w:spacing w:before="0" w:beforeAutospacing="0" w:after="0" w:afterAutospacing="0"/>
        <w:ind w:firstLine="675"/>
        <w:jc w:val="both"/>
        <w:divId w:val="98525094"/>
        <w:rPr>
          <w:sz w:val="20"/>
          <w:szCs w:val="20"/>
        </w:rPr>
      </w:pPr>
      <w:r>
        <w:rPr>
          <w:sz w:val="20"/>
          <w:szCs w:val="20"/>
        </w:rPr>
        <w:t>Approval of foreign currency payments by the PBOC or other regulatory institutions requires submitting a payment application form together with su</w:t>
      </w:r>
      <w:r>
        <w:rPr>
          <w:sz w:val="20"/>
          <w:szCs w:val="20"/>
        </w:rPr>
        <w:t>ppliers’ invoices and signed contracts. The value of RMB is subject to changes in central government policies and to international economic and political developments affecting supply and demand in the China Foreign Exchange Trading System market.</w:t>
      </w:r>
    </w:p>
    <w:p w14:paraId="353E39E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F3F09E3" w14:textId="77777777" w:rsidR="00000000" w:rsidRDefault="00EB4933">
      <w:pPr>
        <w:pStyle w:val="NormalWeb"/>
        <w:spacing w:before="0" w:beforeAutospacing="0" w:after="0" w:afterAutospacing="0"/>
        <w:jc w:val="both"/>
        <w:divId w:val="98525094"/>
        <w:rPr>
          <w:sz w:val="20"/>
          <w:szCs w:val="20"/>
        </w:rPr>
      </w:pPr>
      <w:r>
        <w:rPr>
          <w:rStyle w:val="Strong"/>
          <w:sz w:val="20"/>
          <w:szCs w:val="20"/>
        </w:rPr>
        <w:t>Intere</w:t>
      </w:r>
      <w:r>
        <w:rPr>
          <w:rStyle w:val="Strong"/>
          <w:sz w:val="20"/>
          <w:szCs w:val="20"/>
        </w:rPr>
        <w:t>st Rate Risk</w:t>
      </w:r>
    </w:p>
    <w:p w14:paraId="206B163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73F2FA4" w14:textId="77777777" w:rsidR="00000000" w:rsidRDefault="00EB4933">
      <w:pPr>
        <w:pStyle w:val="NormalWeb"/>
        <w:spacing w:before="0" w:beforeAutospacing="0" w:after="0" w:afterAutospacing="0"/>
        <w:jc w:val="both"/>
        <w:divId w:val="98525094"/>
        <w:rPr>
          <w:sz w:val="20"/>
          <w:szCs w:val="20"/>
        </w:rPr>
      </w:pPr>
      <w:r>
        <w:rPr>
          <w:sz w:val="20"/>
          <w:szCs w:val="20"/>
        </w:rPr>
        <w:t>Our exposure to interest rate risk primarily relates to our net interest income, which is the difference between interest earned from loans we provide and interest paid to the borrowings we obtain from various individuals and companies throu</w:t>
      </w:r>
      <w:r>
        <w:rPr>
          <w:sz w:val="20"/>
          <w:szCs w:val="20"/>
        </w:rPr>
        <w:t>gh certain securities exchanges. Our future interest income may fall short of expectations due to changes in market interest rates. Interest rate risk is managed principally through monitoring interest rate gaps and basis risk. We have not used, and do not</w:t>
      </w:r>
      <w:r>
        <w:rPr>
          <w:sz w:val="20"/>
          <w:szCs w:val="20"/>
        </w:rPr>
        <w:t xml:space="preserve"> expect to use in the future, any derivative financial instruments to hedge our interest risk exposure.</w:t>
      </w:r>
    </w:p>
    <w:p w14:paraId="5E137840"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p w14:paraId="2BF908A4" w14:textId="77777777" w:rsidR="00000000" w:rsidRDefault="00EB4933">
      <w:pPr>
        <w:pStyle w:val="NormalWeb"/>
        <w:spacing w:before="0" w:beforeAutospacing="0" w:after="0" w:afterAutospacing="0"/>
        <w:jc w:val="both"/>
        <w:divId w:val="98525094"/>
        <w:rPr>
          <w:sz w:val="20"/>
          <w:szCs w:val="20"/>
        </w:rPr>
      </w:pPr>
      <w:bookmarkStart w:id="16" w:name="i12"/>
      <w:r>
        <w:rPr>
          <w:rStyle w:val="Strong"/>
          <w:sz w:val="20"/>
          <w:szCs w:val="20"/>
        </w:rPr>
        <w:t>ITEM 12. DESCRIPTION OF SECURITIES OTHER THAN EQUITY SECURITIES</w:t>
      </w:r>
      <w:bookmarkEnd w:id="16"/>
    </w:p>
    <w:p w14:paraId="0BCD49C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D952F96" w14:textId="77777777" w:rsidR="00000000" w:rsidRDefault="00EB4933">
      <w:pPr>
        <w:pStyle w:val="NormalWeb"/>
        <w:spacing w:before="0" w:beforeAutospacing="0" w:after="0" w:afterAutospacing="0"/>
        <w:jc w:val="both"/>
        <w:divId w:val="98525094"/>
        <w:rPr>
          <w:sz w:val="20"/>
          <w:szCs w:val="20"/>
        </w:rPr>
      </w:pPr>
      <w:r>
        <w:rPr>
          <w:rStyle w:val="Strong"/>
          <w:sz w:val="20"/>
          <w:szCs w:val="20"/>
        </w:rPr>
        <w:t>A. Debt Securities</w:t>
      </w:r>
    </w:p>
    <w:p w14:paraId="3F4F7FD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7E7EF42" w14:textId="77777777" w:rsidR="00000000" w:rsidRDefault="00EB4933">
      <w:pPr>
        <w:pStyle w:val="NormalWeb"/>
        <w:spacing w:before="0" w:beforeAutospacing="0" w:after="0" w:afterAutospacing="0"/>
        <w:ind w:firstLine="675"/>
        <w:jc w:val="both"/>
        <w:divId w:val="98525094"/>
        <w:rPr>
          <w:sz w:val="20"/>
          <w:szCs w:val="20"/>
        </w:rPr>
      </w:pPr>
      <w:r>
        <w:rPr>
          <w:sz w:val="20"/>
          <w:szCs w:val="20"/>
        </w:rPr>
        <w:t>Not applicable.</w:t>
      </w:r>
    </w:p>
    <w:p w14:paraId="47D2B1D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8FE1A90" w14:textId="77777777" w:rsidR="00000000" w:rsidRDefault="00EB4933">
      <w:pPr>
        <w:pStyle w:val="NormalWeb"/>
        <w:spacing w:before="0" w:beforeAutospacing="0" w:after="0" w:afterAutospacing="0"/>
        <w:jc w:val="both"/>
        <w:divId w:val="98525094"/>
        <w:rPr>
          <w:sz w:val="20"/>
          <w:szCs w:val="20"/>
        </w:rPr>
      </w:pPr>
      <w:r>
        <w:rPr>
          <w:rStyle w:val="Strong"/>
          <w:sz w:val="20"/>
          <w:szCs w:val="20"/>
        </w:rPr>
        <w:t>B. Warrants and Rights</w:t>
      </w:r>
    </w:p>
    <w:p w14:paraId="474DF7C1" w14:textId="77777777" w:rsidR="00000000" w:rsidRDefault="00EB4933">
      <w:pPr>
        <w:pStyle w:val="NormalWeb"/>
        <w:spacing w:before="0" w:beforeAutospacing="0" w:after="0" w:afterAutospacing="0"/>
        <w:ind w:firstLine="225"/>
        <w:jc w:val="both"/>
        <w:divId w:val="98525094"/>
        <w:rPr>
          <w:sz w:val="20"/>
          <w:szCs w:val="20"/>
        </w:rPr>
      </w:pPr>
      <w:r>
        <w:rPr>
          <w:sz w:val="20"/>
          <w:szCs w:val="20"/>
        </w:rPr>
        <w:t> </w:t>
      </w:r>
    </w:p>
    <w:p w14:paraId="15268141" w14:textId="77777777" w:rsidR="00000000" w:rsidRDefault="00EB4933">
      <w:pPr>
        <w:pStyle w:val="NormalWeb"/>
        <w:spacing w:before="0" w:beforeAutospacing="0" w:after="0" w:afterAutospacing="0"/>
        <w:ind w:firstLine="675"/>
        <w:jc w:val="both"/>
        <w:divId w:val="98525094"/>
        <w:rPr>
          <w:sz w:val="20"/>
          <w:szCs w:val="20"/>
        </w:rPr>
      </w:pPr>
      <w:r>
        <w:rPr>
          <w:sz w:val="20"/>
          <w:szCs w:val="20"/>
        </w:rPr>
        <w:t>Not applicable.</w:t>
      </w:r>
    </w:p>
    <w:p w14:paraId="013961C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1699805" w14:textId="77777777" w:rsidR="00000000" w:rsidRDefault="00EB4933">
      <w:pPr>
        <w:pStyle w:val="NormalWeb"/>
        <w:spacing w:before="0" w:beforeAutospacing="0" w:after="0" w:afterAutospacing="0"/>
        <w:jc w:val="both"/>
        <w:divId w:val="98525094"/>
        <w:rPr>
          <w:sz w:val="20"/>
          <w:szCs w:val="20"/>
        </w:rPr>
      </w:pPr>
      <w:r>
        <w:rPr>
          <w:rStyle w:val="Strong"/>
          <w:sz w:val="20"/>
          <w:szCs w:val="20"/>
        </w:rPr>
        <w:t>C.</w:t>
      </w:r>
      <w:r>
        <w:rPr>
          <w:rStyle w:val="Strong"/>
          <w:sz w:val="20"/>
          <w:szCs w:val="20"/>
        </w:rPr>
        <w:t xml:space="preserve"> Other Securities</w:t>
      </w:r>
    </w:p>
    <w:p w14:paraId="1AF9A12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5A92AE0" w14:textId="77777777" w:rsidR="00000000" w:rsidRDefault="00EB4933">
      <w:pPr>
        <w:pStyle w:val="NormalWeb"/>
        <w:spacing w:before="0" w:beforeAutospacing="0" w:after="0" w:afterAutospacing="0"/>
        <w:ind w:firstLine="675"/>
        <w:jc w:val="both"/>
        <w:divId w:val="98525094"/>
        <w:rPr>
          <w:sz w:val="20"/>
          <w:szCs w:val="20"/>
        </w:rPr>
      </w:pPr>
      <w:r>
        <w:rPr>
          <w:sz w:val="20"/>
          <w:szCs w:val="20"/>
        </w:rPr>
        <w:t>Not applicable.</w:t>
      </w:r>
    </w:p>
    <w:p w14:paraId="75DECEAB"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C66483F" w14:textId="77777777">
        <w:trPr>
          <w:divId w:val="98525094"/>
          <w:trHeight w:val="225"/>
          <w:tblCellSpacing w:w="15" w:type="dxa"/>
        </w:trPr>
        <w:tc>
          <w:tcPr>
            <w:tcW w:w="0" w:type="auto"/>
            <w:vAlign w:val="center"/>
            <w:hideMark/>
          </w:tcPr>
          <w:p w14:paraId="7FAB5EF1" w14:textId="77777777" w:rsidR="00000000" w:rsidRDefault="00EB4933">
            <w:pPr>
              <w:rPr>
                <w:rFonts w:eastAsia="Times New Roman"/>
                <w:sz w:val="20"/>
                <w:szCs w:val="20"/>
              </w:rPr>
            </w:pPr>
            <w:r>
              <w:rPr>
                <w:rFonts w:eastAsia="Times New Roman"/>
                <w:sz w:val="20"/>
                <w:szCs w:val="20"/>
              </w:rPr>
              <w:t> </w:t>
            </w:r>
          </w:p>
        </w:tc>
      </w:tr>
      <w:tr w:rsidR="00000000" w14:paraId="1CA7EDCC" w14:textId="77777777">
        <w:trPr>
          <w:divId w:val="98525094"/>
          <w:trHeight w:val="225"/>
          <w:tblCellSpacing w:w="15" w:type="dxa"/>
        </w:trPr>
        <w:tc>
          <w:tcPr>
            <w:tcW w:w="0" w:type="auto"/>
            <w:tcBorders>
              <w:bottom w:val="single" w:sz="6" w:space="0" w:color="000000"/>
            </w:tcBorders>
            <w:vAlign w:val="center"/>
            <w:hideMark/>
          </w:tcPr>
          <w:p w14:paraId="2AEE8D1A" w14:textId="77777777" w:rsidR="00000000" w:rsidRDefault="00EB4933">
            <w:pPr>
              <w:jc w:val="center"/>
              <w:rPr>
                <w:rFonts w:eastAsia="Times New Roman"/>
                <w:sz w:val="20"/>
                <w:szCs w:val="20"/>
              </w:rPr>
            </w:pPr>
            <w:r>
              <w:rPr>
                <w:rFonts w:eastAsia="Times New Roman"/>
                <w:sz w:val="20"/>
                <w:szCs w:val="20"/>
              </w:rPr>
              <w:t>101</w:t>
            </w:r>
          </w:p>
        </w:tc>
      </w:tr>
      <w:tr w:rsidR="00000000" w14:paraId="34F97A80" w14:textId="77777777">
        <w:trPr>
          <w:divId w:val="98525094"/>
          <w:trHeight w:val="225"/>
          <w:tblCellSpacing w:w="15" w:type="dxa"/>
        </w:trPr>
        <w:tc>
          <w:tcPr>
            <w:tcW w:w="0" w:type="auto"/>
            <w:vAlign w:val="center"/>
            <w:hideMark/>
          </w:tcPr>
          <w:p w14:paraId="715A6C4B" w14:textId="77777777" w:rsidR="00000000" w:rsidRDefault="00EB4933">
            <w:pPr>
              <w:rPr>
                <w:rFonts w:eastAsia="Times New Roman"/>
                <w:sz w:val="20"/>
                <w:szCs w:val="20"/>
              </w:rPr>
            </w:pPr>
          </w:p>
        </w:tc>
      </w:tr>
      <w:tr w:rsidR="00000000" w14:paraId="00087983" w14:textId="77777777">
        <w:trPr>
          <w:divId w:val="98525094"/>
          <w:trHeight w:val="225"/>
          <w:tblCellSpacing w:w="15" w:type="dxa"/>
        </w:trPr>
        <w:tc>
          <w:tcPr>
            <w:tcW w:w="0" w:type="auto"/>
            <w:vAlign w:val="center"/>
            <w:hideMark/>
          </w:tcPr>
          <w:p w14:paraId="61DD40B6" w14:textId="77777777" w:rsidR="00000000" w:rsidRDefault="00EB4933">
            <w:pPr>
              <w:rPr>
                <w:rFonts w:eastAsia="Times New Roman"/>
                <w:sz w:val="20"/>
                <w:szCs w:val="20"/>
              </w:rPr>
            </w:pPr>
            <w:hyperlink r:id="rId161" w:anchor="toc" w:history="1">
              <w:r>
                <w:rPr>
                  <w:rStyle w:val="Hyperlink"/>
                  <w:rFonts w:eastAsia="Times New Roman"/>
                  <w:i/>
                  <w:iCs/>
                  <w:sz w:val="20"/>
                  <w:szCs w:val="20"/>
                </w:rPr>
                <w:t>Table of Contents</w:t>
              </w:r>
            </w:hyperlink>
          </w:p>
        </w:tc>
      </w:tr>
    </w:tbl>
    <w:p w14:paraId="602A3F9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FD5D1F4" w14:textId="77777777" w:rsidR="00000000" w:rsidRDefault="00EB4933">
      <w:pPr>
        <w:pStyle w:val="NormalWeb"/>
        <w:spacing w:before="0" w:beforeAutospacing="0" w:after="0" w:afterAutospacing="0"/>
        <w:jc w:val="both"/>
        <w:divId w:val="98525094"/>
        <w:rPr>
          <w:sz w:val="20"/>
          <w:szCs w:val="20"/>
        </w:rPr>
      </w:pPr>
      <w:r>
        <w:rPr>
          <w:rStyle w:val="Strong"/>
          <w:sz w:val="20"/>
          <w:szCs w:val="20"/>
        </w:rPr>
        <w:t>D. American Depositary Shares</w:t>
      </w:r>
    </w:p>
    <w:p w14:paraId="58E4662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D304202"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Fees and Charges Payable to the Depositary </w:t>
      </w:r>
    </w:p>
    <w:p w14:paraId="4F611E0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BC970BE" w14:textId="77777777" w:rsidR="00000000" w:rsidRDefault="00EB4933">
      <w:pPr>
        <w:pStyle w:val="NormalWeb"/>
        <w:spacing w:before="0" w:beforeAutospacing="0" w:after="0" w:afterAutospacing="0"/>
        <w:ind w:firstLine="675"/>
        <w:jc w:val="both"/>
        <w:divId w:val="98525094"/>
        <w:rPr>
          <w:sz w:val="20"/>
          <w:szCs w:val="20"/>
        </w:rPr>
      </w:pPr>
      <w:r>
        <w:rPr>
          <w:sz w:val="20"/>
          <w:szCs w:val="20"/>
        </w:rPr>
        <w:t>Deutsche Bank Trust Company Americas, the depositary of our ADS facility, may charge the following service fees, provided, however, that no fees shall be payable upon distribution of cash dividends so long as the charging of such fee is prohibited by the N</w:t>
      </w:r>
      <w:r>
        <w:rPr>
          <w:sz w:val="20"/>
          <w:szCs w:val="20"/>
        </w:rPr>
        <w:t>ew York Stock Exchange, upon which the ADSs are listed:</w:t>
      </w:r>
    </w:p>
    <w:p w14:paraId="59F71B70"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3"/>
        <w:gridCol w:w="4175"/>
        <w:gridCol w:w="214"/>
        <w:gridCol w:w="4558"/>
      </w:tblGrid>
      <w:tr w:rsidR="00000000" w14:paraId="755B6106" w14:textId="77777777">
        <w:trPr>
          <w:divId w:val="98525094"/>
          <w:trHeight w:val="225"/>
          <w:tblCellSpacing w:w="15" w:type="dxa"/>
        </w:trPr>
        <w:tc>
          <w:tcPr>
            <w:tcW w:w="0" w:type="auto"/>
            <w:gridSpan w:val="2"/>
            <w:tcBorders>
              <w:bottom w:val="single" w:sz="6" w:space="0" w:color="000000"/>
            </w:tcBorders>
            <w:vAlign w:val="center"/>
            <w:hideMark/>
          </w:tcPr>
          <w:p w14:paraId="77E47F89" w14:textId="77777777" w:rsidR="00000000" w:rsidRDefault="00EB4933">
            <w:pPr>
              <w:pStyle w:val="NormalWeb"/>
              <w:spacing w:before="0" w:beforeAutospacing="0" w:after="0" w:afterAutospacing="0"/>
              <w:jc w:val="center"/>
              <w:rPr>
                <w:sz w:val="20"/>
                <w:szCs w:val="20"/>
              </w:rPr>
            </w:pPr>
            <w:r>
              <w:rPr>
                <w:rStyle w:val="Strong"/>
                <w:sz w:val="20"/>
                <w:szCs w:val="20"/>
              </w:rPr>
              <w:t>Service</w:t>
            </w:r>
          </w:p>
        </w:tc>
        <w:tc>
          <w:tcPr>
            <w:tcW w:w="0" w:type="auto"/>
            <w:vAlign w:val="center"/>
            <w:hideMark/>
          </w:tcPr>
          <w:p w14:paraId="13FDA189" w14:textId="77777777" w:rsidR="00000000" w:rsidRDefault="00EB4933">
            <w:pPr>
              <w:pStyle w:val="NormalWeb"/>
              <w:spacing w:before="0" w:beforeAutospacing="0" w:after="0" w:afterAutospacing="0"/>
              <w:rPr>
                <w:sz w:val="20"/>
                <w:szCs w:val="20"/>
              </w:rPr>
            </w:pPr>
            <w:r>
              <w:rPr>
                <w:sz w:val="20"/>
                <w:szCs w:val="20"/>
              </w:rPr>
              <w:t> </w:t>
            </w:r>
          </w:p>
        </w:tc>
        <w:tc>
          <w:tcPr>
            <w:tcW w:w="0" w:type="auto"/>
            <w:tcBorders>
              <w:bottom w:val="single" w:sz="6" w:space="0" w:color="000000"/>
            </w:tcBorders>
            <w:vAlign w:val="bottom"/>
            <w:hideMark/>
          </w:tcPr>
          <w:p w14:paraId="042AB481" w14:textId="77777777" w:rsidR="00000000" w:rsidRDefault="00EB4933">
            <w:pPr>
              <w:pStyle w:val="NormalWeb"/>
              <w:spacing w:before="0" w:beforeAutospacing="0" w:after="0" w:afterAutospacing="0"/>
              <w:jc w:val="center"/>
              <w:rPr>
                <w:sz w:val="20"/>
                <w:szCs w:val="20"/>
              </w:rPr>
            </w:pPr>
            <w:r>
              <w:rPr>
                <w:rStyle w:val="Strong"/>
                <w:sz w:val="20"/>
                <w:szCs w:val="20"/>
              </w:rPr>
              <w:t>Fees</w:t>
            </w:r>
          </w:p>
        </w:tc>
      </w:tr>
      <w:tr w:rsidR="00000000" w14:paraId="2FB1BEB2" w14:textId="77777777">
        <w:trPr>
          <w:divId w:val="98525094"/>
          <w:trHeight w:val="225"/>
          <w:tblCellSpacing w:w="15" w:type="dxa"/>
        </w:trPr>
        <w:tc>
          <w:tcPr>
            <w:tcW w:w="200" w:type="pct"/>
            <w:hideMark/>
          </w:tcPr>
          <w:p w14:paraId="4DA60ACE"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2250" w:type="pct"/>
            <w:hideMark/>
          </w:tcPr>
          <w:p w14:paraId="75F962C4" w14:textId="77777777" w:rsidR="00000000" w:rsidRDefault="00EB4933">
            <w:pPr>
              <w:pStyle w:val="NormalWeb"/>
              <w:spacing w:before="0" w:beforeAutospacing="0" w:after="0" w:afterAutospacing="0"/>
              <w:jc w:val="both"/>
              <w:rPr>
                <w:sz w:val="20"/>
                <w:szCs w:val="20"/>
              </w:rPr>
            </w:pPr>
            <w:r>
              <w:rPr>
                <w:sz w:val="20"/>
                <w:szCs w:val="20"/>
              </w:rPr>
              <w:t>Issuance or distribution of ADSs, including distributions made pursuant to stock dividends or other free distributions of stock, bonus distributions, stock splits or other distributions (except where converted to cash)</w:t>
            </w:r>
          </w:p>
        </w:tc>
        <w:tc>
          <w:tcPr>
            <w:tcW w:w="100" w:type="pct"/>
            <w:vAlign w:val="center"/>
            <w:hideMark/>
          </w:tcPr>
          <w:p w14:paraId="7B4EE28D" w14:textId="77777777" w:rsidR="00000000" w:rsidRDefault="00EB4933">
            <w:pPr>
              <w:pStyle w:val="NormalWeb"/>
              <w:spacing w:before="0" w:beforeAutospacing="0" w:after="0" w:afterAutospacing="0"/>
              <w:jc w:val="both"/>
              <w:rPr>
                <w:sz w:val="20"/>
                <w:szCs w:val="20"/>
              </w:rPr>
            </w:pPr>
            <w:r>
              <w:rPr>
                <w:sz w:val="20"/>
                <w:szCs w:val="20"/>
              </w:rPr>
              <w:t> </w:t>
            </w:r>
          </w:p>
        </w:tc>
        <w:tc>
          <w:tcPr>
            <w:tcW w:w="2450" w:type="pct"/>
            <w:hideMark/>
          </w:tcPr>
          <w:p w14:paraId="1C56240D" w14:textId="77777777" w:rsidR="00000000" w:rsidRDefault="00EB4933">
            <w:pPr>
              <w:pStyle w:val="NormalWeb"/>
              <w:spacing w:before="0" w:beforeAutospacing="0" w:after="0" w:afterAutospacing="0"/>
              <w:jc w:val="both"/>
              <w:rPr>
                <w:sz w:val="20"/>
                <w:szCs w:val="20"/>
              </w:rPr>
            </w:pPr>
            <w:r>
              <w:rPr>
                <w:sz w:val="20"/>
                <w:szCs w:val="20"/>
              </w:rPr>
              <w:t>Up to $0.05 per ADS issued</w:t>
            </w:r>
          </w:p>
        </w:tc>
      </w:tr>
      <w:tr w:rsidR="00000000" w14:paraId="0344789C" w14:textId="77777777">
        <w:trPr>
          <w:divId w:val="98525094"/>
          <w:trHeight w:val="225"/>
          <w:tblCellSpacing w:w="15" w:type="dxa"/>
        </w:trPr>
        <w:tc>
          <w:tcPr>
            <w:tcW w:w="0" w:type="auto"/>
            <w:vAlign w:val="center"/>
            <w:hideMark/>
          </w:tcPr>
          <w:p w14:paraId="50ED8070"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4265375B"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400982C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47EA5179"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0523553" w14:textId="77777777">
        <w:trPr>
          <w:divId w:val="98525094"/>
          <w:trHeight w:val="225"/>
          <w:tblCellSpacing w:w="15" w:type="dxa"/>
        </w:trPr>
        <w:tc>
          <w:tcPr>
            <w:tcW w:w="0" w:type="auto"/>
            <w:hideMark/>
          </w:tcPr>
          <w:p w14:paraId="74D3B07E"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7826B7FA" w14:textId="77777777" w:rsidR="00000000" w:rsidRDefault="00EB4933">
            <w:pPr>
              <w:pStyle w:val="NormalWeb"/>
              <w:spacing w:before="0" w:beforeAutospacing="0" w:after="0" w:afterAutospacing="0"/>
              <w:jc w:val="both"/>
              <w:rPr>
                <w:sz w:val="20"/>
                <w:szCs w:val="20"/>
              </w:rPr>
            </w:pPr>
            <w:r>
              <w:rPr>
                <w:sz w:val="20"/>
                <w:szCs w:val="20"/>
              </w:rPr>
              <w:t>Surrender of ADSs for cancellation and withdrawal of deposited securities, including cash distributions made pursuant to a cancellation or withdrawal</w:t>
            </w:r>
          </w:p>
        </w:tc>
        <w:tc>
          <w:tcPr>
            <w:tcW w:w="0" w:type="auto"/>
            <w:vAlign w:val="center"/>
            <w:hideMark/>
          </w:tcPr>
          <w:p w14:paraId="006CD97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6ADECC58" w14:textId="77777777" w:rsidR="00000000" w:rsidRDefault="00EB4933">
            <w:pPr>
              <w:pStyle w:val="NormalWeb"/>
              <w:spacing w:before="0" w:beforeAutospacing="0" w:after="0" w:afterAutospacing="0"/>
              <w:jc w:val="both"/>
              <w:rPr>
                <w:sz w:val="20"/>
                <w:szCs w:val="20"/>
              </w:rPr>
            </w:pPr>
            <w:r>
              <w:rPr>
                <w:sz w:val="20"/>
                <w:szCs w:val="20"/>
              </w:rPr>
              <w:t>Up to $0.05 per ADS surrendered</w:t>
            </w:r>
          </w:p>
        </w:tc>
      </w:tr>
      <w:tr w:rsidR="00000000" w14:paraId="7B200D1B" w14:textId="77777777">
        <w:trPr>
          <w:divId w:val="98525094"/>
          <w:trHeight w:val="225"/>
          <w:tblCellSpacing w:w="15" w:type="dxa"/>
        </w:trPr>
        <w:tc>
          <w:tcPr>
            <w:tcW w:w="0" w:type="auto"/>
            <w:vAlign w:val="center"/>
            <w:hideMark/>
          </w:tcPr>
          <w:p w14:paraId="6CD458A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29595ADB"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63FF4C2A"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5419C178"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7B3E549A" w14:textId="77777777">
        <w:trPr>
          <w:divId w:val="98525094"/>
          <w:trHeight w:val="225"/>
          <w:tblCellSpacing w:w="15" w:type="dxa"/>
        </w:trPr>
        <w:tc>
          <w:tcPr>
            <w:tcW w:w="0" w:type="auto"/>
            <w:hideMark/>
          </w:tcPr>
          <w:p w14:paraId="17A3AFF5"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7DA21A40" w14:textId="77777777" w:rsidR="00000000" w:rsidRDefault="00EB4933">
            <w:pPr>
              <w:pStyle w:val="NormalWeb"/>
              <w:spacing w:before="0" w:beforeAutospacing="0" w:after="0" w:afterAutospacing="0"/>
              <w:jc w:val="both"/>
              <w:rPr>
                <w:sz w:val="20"/>
                <w:szCs w:val="20"/>
              </w:rPr>
            </w:pPr>
            <w:r>
              <w:rPr>
                <w:sz w:val="20"/>
                <w:szCs w:val="20"/>
              </w:rPr>
              <w:t>Distribution of cash proceeds, including cash dividends or sale of rights and other entitlements (not made pursuant to a cancellation or withdrawal)</w:t>
            </w:r>
          </w:p>
        </w:tc>
        <w:tc>
          <w:tcPr>
            <w:tcW w:w="0" w:type="auto"/>
            <w:vAlign w:val="center"/>
            <w:hideMark/>
          </w:tcPr>
          <w:p w14:paraId="4ED5F7B2"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018C379E" w14:textId="77777777" w:rsidR="00000000" w:rsidRDefault="00EB4933">
            <w:pPr>
              <w:pStyle w:val="NormalWeb"/>
              <w:spacing w:before="0" w:beforeAutospacing="0" w:after="0" w:afterAutospacing="0"/>
              <w:jc w:val="both"/>
              <w:rPr>
                <w:sz w:val="20"/>
                <w:szCs w:val="20"/>
              </w:rPr>
            </w:pPr>
            <w:r>
              <w:rPr>
                <w:sz w:val="20"/>
                <w:szCs w:val="20"/>
              </w:rPr>
              <w:t>Up to $0.05 per ADS held</w:t>
            </w:r>
          </w:p>
        </w:tc>
      </w:tr>
      <w:tr w:rsidR="00000000" w14:paraId="2444B8F6" w14:textId="77777777">
        <w:trPr>
          <w:divId w:val="98525094"/>
          <w:trHeight w:val="225"/>
          <w:tblCellSpacing w:w="15" w:type="dxa"/>
        </w:trPr>
        <w:tc>
          <w:tcPr>
            <w:tcW w:w="0" w:type="auto"/>
            <w:vAlign w:val="center"/>
            <w:hideMark/>
          </w:tcPr>
          <w:p w14:paraId="21409E98"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4710FBF8"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719F2F42"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02E4F2D6"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6AE47DE" w14:textId="77777777">
        <w:trPr>
          <w:divId w:val="98525094"/>
          <w:trHeight w:val="225"/>
          <w:tblCellSpacing w:w="15" w:type="dxa"/>
        </w:trPr>
        <w:tc>
          <w:tcPr>
            <w:tcW w:w="0" w:type="auto"/>
            <w:hideMark/>
          </w:tcPr>
          <w:p w14:paraId="7B787834"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57A854A1" w14:textId="77777777" w:rsidR="00000000" w:rsidRDefault="00EB4933">
            <w:pPr>
              <w:pStyle w:val="NormalWeb"/>
              <w:spacing w:before="0" w:beforeAutospacing="0" w:after="0" w:afterAutospacing="0"/>
              <w:jc w:val="both"/>
              <w:rPr>
                <w:sz w:val="20"/>
                <w:szCs w:val="20"/>
              </w:rPr>
            </w:pPr>
            <w:r>
              <w:rPr>
                <w:sz w:val="20"/>
                <w:szCs w:val="20"/>
              </w:rPr>
              <w:t>Distribution of ADSs upon the exercise of rights</w:t>
            </w:r>
          </w:p>
        </w:tc>
        <w:tc>
          <w:tcPr>
            <w:tcW w:w="0" w:type="auto"/>
            <w:vAlign w:val="center"/>
            <w:hideMark/>
          </w:tcPr>
          <w:p w14:paraId="6FC39A7F"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3E0AFD90" w14:textId="77777777" w:rsidR="00000000" w:rsidRDefault="00EB4933">
            <w:pPr>
              <w:pStyle w:val="NormalWeb"/>
              <w:spacing w:before="0" w:beforeAutospacing="0" w:after="0" w:afterAutospacing="0"/>
              <w:jc w:val="both"/>
              <w:rPr>
                <w:sz w:val="20"/>
                <w:szCs w:val="20"/>
              </w:rPr>
            </w:pPr>
            <w:r>
              <w:rPr>
                <w:sz w:val="20"/>
                <w:szCs w:val="20"/>
              </w:rPr>
              <w:t>Up to $0.05 per A</w:t>
            </w:r>
            <w:r>
              <w:rPr>
                <w:sz w:val="20"/>
                <w:szCs w:val="20"/>
              </w:rPr>
              <w:t>DS issued</w:t>
            </w:r>
          </w:p>
        </w:tc>
      </w:tr>
      <w:tr w:rsidR="00000000" w14:paraId="46C7F745" w14:textId="77777777">
        <w:trPr>
          <w:divId w:val="98525094"/>
          <w:trHeight w:val="225"/>
          <w:tblCellSpacing w:w="15" w:type="dxa"/>
        </w:trPr>
        <w:tc>
          <w:tcPr>
            <w:tcW w:w="0" w:type="auto"/>
            <w:vAlign w:val="center"/>
            <w:hideMark/>
          </w:tcPr>
          <w:p w14:paraId="2707DF39"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740B63CC"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74007DFF"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51EE8743"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14253F94" w14:textId="77777777">
        <w:trPr>
          <w:divId w:val="98525094"/>
          <w:trHeight w:val="225"/>
          <w:tblCellSpacing w:w="15" w:type="dxa"/>
        </w:trPr>
        <w:tc>
          <w:tcPr>
            <w:tcW w:w="0" w:type="auto"/>
            <w:hideMark/>
          </w:tcPr>
          <w:p w14:paraId="0065FB6B"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36AFA2E" w14:textId="77777777" w:rsidR="00000000" w:rsidRDefault="00EB4933">
            <w:pPr>
              <w:pStyle w:val="NormalWeb"/>
              <w:spacing w:before="0" w:beforeAutospacing="0" w:after="0" w:afterAutospacing="0"/>
              <w:jc w:val="both"/>
              <w:rPr>
                <w:sz w:val="20"/>
                <w:szCs w:val="20"/>
              </w:rPr>
            </w:pPr>
            <w:r>
              <w:rPr>
                <w:sz w:val="20"/>
                <w:szCs w:val="20"/>
              </w:rPr>
              <w:t>Operation and maintenance costs in administering the ADSs</w:t>
            </w:r>
          </w:p>
          <w:p w14:paraId="1A0CAD67"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7364FF7D"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bottom"/>
            <w:hideMark/>
          </w:tcPr>
          <w:p w14:paraId="04AA4BA9" w14:textId="77777777" w:rsidR="00000000" w:rsidRDefault="00EB4933">
            <w:pPr>
              <w:pStyle w:val="NormalWeb"/>
              <w:spacing w:before="0" w:beforeAutospacing="0" w:after="0" w:afterAutospacing="0"/>
              <w:jc w:val="both"/>
              <w:rPr>
                <w:sz w:val="20"/>
                <w:szCs w:val="20"/>
              </w:rPr>
            </w:pPr>
            <w:r>
              <w:rPr>
                <w:sz w:val="20"/>
                <w:szCs w:val="20"/>
              </w:rPr>
              <w:t>Up to $0.05 per ADS held, such fee to be assessed against holders of record on an annual basis as of the date or dates set by the depositary as it sees fit and collected at the sole discretion of the depositary by billing such holders for such fee or by de</w:t>
            </w:r>
            <w:r>
              <w:rPr>
                <w:sz w:val="20"/>
                <w:szCs w:val="20"/>
              </w:rPr>
              <w:t>ducting such fee from one or more cash dividends or other cash distributions</w:t>
            </w:r>
          </w:p>
        </w:tc>
      </w:tr>
    </w:tbl>
    <w:p w14:paraId="7404D88B"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F407FFF" w14:textId="77777777">
        <w:trPr>
          <w:divId w:val="98525094"/>
          <w:trHeight w:val="225"/>
          <w:tblCellSpacing w:w="15" w:type="dxa"/>
        </w:trPr>
        <w:tc>
          <w:tcPr>
            <w:tcW w:w="0" w:type="auto"/>
            <w:vAlign w:val="center"/>
            <w:hideMark/>
          </w:tcPr>
          <w:p w14:paraId="78F44D25" w14:textId="77777777" w:rsidR="00000000" w:rsidRDefault="00EB4933">
            <w:pPr>
              <w:rPr>
                <w:rFonts w:eastAsia="Times New Roman"/>
                <w:sz w:val="20"/>
                <w:szCs w:val="20"/>
              </w:rPr>
            </w:pPr>
            <w:r>
              <w:rPr>
                <w:rFonts w:eastAsia="Times New Roman"/>
                <w:sz w:val="20"/>
                <w:szCs w:val="20"/>
              </w:rPr>
              <w:t> </w:t>
            </w:r>
          </w:p>
        </w:tc>
      </w:tr>
      <w:tr w:rsidR="00000000" w14:paraId="2C7ABE13" w14:textId="77777777">
        <w:trPr>
          <w:divId w:val="98525094"/>
          <w:trHeight w:val="225"/>
          <w:tblCellSpacing w:w="15" w:type="dxa"/>
        </w:trPr>
        <w:tc>
          <w:tcPr>
            <w:tcW w:w="0" w:type="auto"/>
            <w:tcBorders>
              <w:bottom w:val="single" w:sz="6" w:space="0" w:color="000000"/>
            </w:tcBorders>
            <w:vAlign w:val="center"/>
            <w:hideMark/>
          </w:tcPr>
          <w:p w14:paraId="787B47B4" w14:textId="77777777" w:rsidR="00000000" w:rsidRDefault="00EB4933">
            <w:pPr>
              <w:jc w:val="center"/>
              <w:rPr>
                <w:rFonts w:eastAsia="Times New Roman"/>
                <w:sz w:val="20"/>
                <w:szCs w:val="20"/>
              </w:rPr>
            </w:pPr>
            <w:r>
              <w:rPr>
                <w:rFonts w:eastAsia="Times New Roman"/>
                <w:sz w:val="20"/>
                <w:szCs w:val="20"/>
              </w:rPr>
              <w:lastRenderedPageBreak/>
              <w:t>102</w:t>
            </w:r>
          </w:p>
        </w:tc>
      </w:tr>
      <w:tr w:rsidR="00000000" w14:paraId="10D723BC" w14:textId="77777777">
        <w:trPr>
          <w:divId w:val="98525094"/>
          <w:trHeight w:val="225"/>
          <w:tblCellSpacing w:w="15" w:type="dxa"/>
        </w:trPr>
        <w:tc>
          <w:tcPr>
            <w:tcW w:w="0" w:type="auto"/>
            <w:vAlign w:val="center"/>
            <w:hideMark/>
          </w:tcPr>
          <w:p w14:paraId="7BDAB823" w14:textId="77777777" w:rsidR="00000000" w:rsidRDefault="00EB4933">
            <w:pPr>
              <w:rPr>
                <w:rFonts w:eastAsia="Times New Roman"/>
                <w:sz w:val="20"/>
                <w:szCs w:val="20"/>
              </w:rPr>
            </w:pPr>
          </w:p>
        </w:tc>
      </w:tr>
      <w:tr w:rsidR="00000000" w14:paraId="3404856E" w14:textId="77777777">
        <w:trPr>
          <w:divId w:val="98525094"/>
          <w:trHeight w:val="225"/>
          <w:tblCellSpacing w:w="15" w:type="dxa"/>
        </w:trPr>
        <w:tc>
          <w:tcPr>
            <w:tcW w:w="0" w:type="auto"/>
            <w:vAlign w:val="center"/>
            <w:hideMark/>
          </w:tcPr>
          <w:p w14:paraId="28829114" w14:textId="77777777" w:rsidR="00000000" w:rsidRDefault="00EB4933">
            <w:pPr>
              <w:rPr>
                <w:rFonts w:eastAsia="Times New Roman"/>
                <w:sz w:val="20"/>
                <w:szCs w:val="20"/>
              </w:rPr>
            </w:pPr>
            <w:hyperlink r:id="rId162" w:anchor="toc" w:history="1">
              <w:r>
                <w:rPr>
                  <w:rStyle w:val="Hyperlink"/>
                  <w:rFonts w:eastAsia="Times New Roman"/>
                  <w:i/>
                  <w:iCs/>
                  <w:sz w:val="20"/>
                  <w:szCs w:val="20"/>
                </w:rPr>
                <w:t>Table of Contents</w:t>
              </w:r>
            </w:hyperlink>
          </w:p>
        </w:tc>
      </w:tr>
    </w:tbl>
    <w:p w14:paraId="2C7FACA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90F0E0F" w14:textId="77777777" w:rsidR="00000000" w:rsidRDefault="00EB4933">
      <w:pPr>
        <w:pStyle w:val="NormalWeb"/>
        <w:spacing w:before="0" w:beforeAutospacing="0" w:after="0" w:afterAutospacing="0"/>
        <w:ind w:firstLine="675"/>
        <w:jc w:val="both"/>
        <w:divId w:val="98525094"/>
        <w:rPr>
          <w:sz w:val="20"/>
          <w:szCs w:val="20"/>
        </w:rPr>
      </w:pPr>
      <w:r>
        <w:rPr>
          <w:sz w:val="20"/>
          <w:szCs w:val="20"/>
        </w:rPr>
        <w:t>Holders and beneficial owners of our ADSs, as well persons depositing our ordinary shares and persons surrendering ADSs for cancellation and for withdrawal of deposited securities, will be required to pay the following charges:</w:t>
      </w:r>
    </w:p>
    <w:p w14:paraId="119B204E"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40A46E50" w14:textId="77777777">
        <w:trPr>
          <w:divId w:val="98525094"/>
          <w:trHeight w:val="225"/>
          <w:tblCellSpacing w:w="15" w:type="dxa"/>
        </w:trPr>
        <w:tc>
          <w:tcPr>
            <w:tcW w:w="200" w:type="pct"/>
            <w:vAlign w:val="center"/>
            <w:hideMark/>
          </w:tcPr>
          <w:p w14:paraId="0733156C"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4DC995D8"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9864F7E" w14:textId="77777777" w:rsidR="00000000" w:rsidRDefault="00EB4933">
            <w:pPr>
              <w:pStyle w:val="NormalWeb"/>
              <w:spacing w:before="0" w:beforeAutospacing="0" w:after="0" w:afterAutospacing="0"/>
              <w:jc w:val="both"/>
              <w:rPr>
                <w:sz w:val="20"/>
                <w:szCs w:val="20"/>
              </w:rPr>
            </w:pPr>
            <w:r>
              <w:rPr>
                <w:sz w:val="20"/>
                <w:szCs w:val="20"/>
              </w:rPr>
              <w:t>taxes (including appli</w:t>
            </w:r>
            <w:r>
              <w:rPr>
                <w:sz w:val="20"/>
                <w:szCs w:val="20"/>
              </w:rPr>
              <w:t>cable interest and penalties) and other governmental charges;</w:t>
            </w:r>
          </w:p>
        </w:tc>
      </w:tr>
      <w:tr w:rsidR="00000000" w14:paraId="4EB34A45" w14:textId="77777777">
        <w:trPr>
          <w:divId w:val="98525094"/>
          <w:trHeight w:val="225"/>
          <w:tblCellSpacing w:w="15" w:type="dxa"/>
        </w:trPr>
        <w:tc>
          <w:tcPr>
            <w:tcW w:w="0" w:type="auto"/>
            <w:vAlign w:val="center"/>
            <w:hideMark/>
          </w:tcPr>
          <w:p w14:paraId="7F28CF39"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5BA2A794"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0A03CBEF"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15078E1" w14:textId="77777777">
        <w:trPr>
          <w:divId w:val="98525094"/>
          <w:trHeight w:val="225"/>
          <w:tblCellSpacing w:w="15" w:type="dxa"/>
        </w:trPr>
        <w:tc>
          <w:tcPr>
            <w:tcW w:w="0" w:type="auto"/>
            <w:vAlign w:val="center"/>
            <w:hideMark/>
          </w:tcPr>
          <w:p w14:paraId="4F35069E"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404BB52A"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3371D6F6" w14:textId="77777777" w:rsidR="00000000" w:rsidRDefault="00EB4933">
            <w:pPr>
              <w:pStyle w:val="NormalWeb"/>
              <w:spacing w:before="0" w:beforeAutospacing="0" w:after="0" w:afterAutospacing="0"/>
              <w:jc w:val="both"/>
              <w:rPr>
                <w:sz w:val="20"/>
                <w:szCs w:val="20"/>
              </w:rPr>
            </w:pPr>
            <w:r>
              <w:rPr>
                <w:sz w:val="20"/>
                <w:szCs w:val="20"/>
              </w:rPr>
              <w:t>such registration fees as may from time to time be in effect for the registration of our ordinary shares or other deposited securities on the share register and applicable to transfers of our ordinary shares or other deposited securities to or from the nam</w:t>
            </w:r>
            <w:r>
              <w:rPr>
                <w:sz w:val="20"/>
                <w:szCs w:val="20"/>
              </w:rPr>
              <w:t>e of the custodian, the depositary or any nominees upon the making of deposits and withdrawals, respectively;</w:t>
            </w:r>
          </w:p>
        </w:tc>
      </w:tr>
      <w:tr w:rsidR="00000000" w14:paraId="401B4ACA" w14:textId="77777777">
        <w:trPr>
          <w:divId w:val="98525094"/>
          <w:trHeight w:val="225"/>
          <w:tblCellSpacing w:w="15" w:type="dxa"/>
        </w:trPr>
        <w:tc>
          <w:tcPr>
            <w:tcW w:w="0" w:type="auto"/>
            <w:vAlign w:val="center"/>
            <w:hideMark/>
          </w:tcPr>
          <w:p w14:paraId="773A1D96"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0B8DF922"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09B47B8"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98AB4AA" w14:textId="77777777">
        <w:trPr>
          <w:divId w:val="98525094"/>
          <w:trHeight w:val="225"/>
          <w:tblCellSpacing w:w="15" w:type="dxa"/>
        </w:trPr>
        <w:tc>
          <w:tcPr>
            <w:tcW w:w="0" w:type="auto"/>
            <w:vAlign w:val="center"/>
            <w:hideMark/>
          </w:tcPr>
          <w:p w14:paraId="72110544"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1203F266"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3C76EDB9" w14:textId="77777777" w:rsidR="00000000" w:rsidRDefault="00EB4933">
            <w:pPr>
              <w:pStyle w:val="NormalWeb"/>
              <w:spacing w:before="0" w:beforeAutospacing="0" w:after="0" w:afterAutospacing="0"/>
              <w:jc w:val="both"/>
              <w:rPr>
                <w:sz w:val="20"/>
                <w:szCs w:val="20"/>
              </w:rPr>
            </w:pPr>
            <w:r>
              <w:rPr>
                <w:sz w:val="20"/>
                <w:szCs w:val="20"/>
              </w:rPr>
              <w:t>such cable, telex, facsimile and electronic transmission and delivery expenses as are expressly provided in the deposit agreement to b</w:t>
            </w:r>
            <w:r>
              <w:rPr>
                <w:sz w:val="20"/>
                <w:szCs w:val="20"/>
              </w:rPr>
              <w:t>e at the expense of the person depositing or withdrawing our ordinary shares or the holders and beneficial owners of our ADSs;</w:t>
            </w:r>
          </w:p>
        </w:tc>
      </w:tr>
      <w:tr w:rsidR="00000000" w14:paraId="078457EF" w14:textId="77777777">
        <w:trPr>
          <w:divId w:val="98525094"/>
          <w:trHeight w:val="225"/>
          <w:tblCellSpacing w:w="15" w:type="dxa"/>
        </w:trPr>
        <w:tc>
          <w:tcPr>
            <w:tcW w:w="0" w:type="auto"/>
            <w:vAlign w:val="center"/>
            <w:hideMark/>
          </w:tcPr>
          <w:p w14:paraId="1941AB29"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07500FBA"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2577FF28"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555252B8" w14:textId="77777777">
        <w:trPr>
          <w:divId w:val="98525094"/>
          <w:trHeight w:val="225"/>
          <w:tblCellSpacing w:w="15" w:type="dxa"/>
        </w:trPr>
        <w:tc>
          <w:tcPr>
            <w:tcW w:w="0" w:type="auto"/>
            <w:vAlign w:val="center"/>
            <w:hideMark/>
          </w:tcPr>
          <w:p w14:paraId="7B2E1A5A"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32B5E72E"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0772AC8D" w14:textId="77777777" w:rsidR="00000000" w:rsidRDefault="00EB4933">
            <w:pPr>
              <w:pStyle w:val="NormalWeb"/>
              <w:spacing w:before="0" w:beforeAutospacing="0" w:after="0" w:afterAutospacing="0"/>
              <w:jc w:val="both"/>
              <w:rPr>
                <w:sz w:val="20"/>
                <w:szCs w:val="20"/>
              </w:rPr>
            </w:pPr>
            <w:r>
              <w:rPr>
                <w:sz w:val="20"/>
                <w:szCs w:val="20"/>
              </w:rPr>
              <w:t>the expenses and charges incurred by the depositary in the conversion of foreign currency;</w:t>
            </w:r>
          </w:p>
        </w:tc>
      </w:tr>
      <w:tr w:rsidR="00000000" w14:paraId="51D6ECDF" w14:textId="77777777">
        <w:trPr>
          <w:divId w:val="98525094"/>
          <w:trHeight w:val="225"/>
          <w:tblCellSpacing w:w="15" w:type="dxa"/>
        </w:trPr>
        <w:tc>
          <w:tcPr>
            <w:tcW w:w="0" w:type="auto"/>
            <w:vAlign w:val="center"/>
            <w:hideMark/>
          </w:tcPr>
          <w:p w14:paraId="523C5135"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6F043B76"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106A1C93"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5E8EA0E8" w14:textId="77777777">
        <w:trPr>
          <w:divId w:val="98525094"/>
          <w:trHeight w:val="225"/>
          <w:tblCellSpacing w:w="15" w:type="dxa"/>
        </w:trPr>
        <w:tc>
          <w:tcPr>
            <w:tcW w:w="0" w:type="auto"/>
            <w:vAlign w:val="center"/>
            <w:hideMark/>
          </w:tcPr>
          <w:p w14:paraId="3D4A0D11"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5CE407C9"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330B9638" w14:textId="77777777" w:rsidR="00000000" w:rsidRDefault="00EB4933">
            <w:pPr>
              <w:pStyle w:val="NormalWeb"/>
              <w:spacing w:before="0" w:beforeAutospacing="0" w:after="0" w:afterAutospacing="0"/>
              <w:jc w:val="both"/>
              <w:rPr>
                <w:sz w:val="20"/>
                <w:szCs w:val="20"/>
              </w:rPr>
            </w:pPr>
            <w:r>
              <w:rPr>
                <w:sz w:val="20"/>
                <w:szCs w:val="20"/>
              </w:rPr>
              <w:t>such fees and expenses as are incurred by the depositary in connection with compliance with exchange control regulations and other regulatory requirements applicable to our ordinary shares, the deposited securities, ADSs and ADRs;</w:t>
            </w:r>
          </w:p>
        </w:tc>
      </w:tr>
      <w:tr w:rsidR="00000000" w14:paraId="59409FC1" w14:textId="77777777">
        <w:trPr>
          <w:divId w:val="98525094"/>
          <w:trHeight w:val="225"/>
          <w:tblCellSpacing w:w="15" w:type="dxa"/>
        </w:trPr>
        <w:tc>
          <w:tcPr>
            <w:tcW w:w="0" w:type="auto"/>
            <w:vAlign w:val="center"/>
            <w:hideMark/>
          </w:tcPr>
          <w:p w14:paraId="20BFD7D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7AC77092"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503696B6"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DD70793" w14:textId="77777777">
        <w:trPr>
          <w:divId w:val="98525094"/>
          <w:trHeight w:val="225"/>
          <w:tblCellSpacing w:w="15" w:type="dxa"/>
        </w:trPr>
        <w:tc>
          <w:tcPr>
            <w:tcW w:w="0" w:type="auto"/>
            <w:vAlign w:val="center"/>
            <w:hideMark/>
          </w:tcPr>
          <w:p w14:paraId="1F3D8E9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1793609E"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0BEE3E41" w14:textId="77777777" w:rsidR="00000000" w:rsidRDefault="00EB4933">
            <w:pPr>
              <w:pStyle w:val="NormalWeb"/>
              <w:spacing w:before="0" w:beforeAutospacing="0" w:after="0" w:afterAutospacing="0"/>
              <w:jc w:val="both"/>
              <w:rPr>
                <w:sz w:val="20"/>
                <w:szCs w:val="20"/>
              </w:rPr>
            </w:pPr>
            <w:r>
              <w:rPr>
                <w:sz w:val="20"/>
                <w:szCs w:val="20"/>
              </w:rPr>
              <w:t xml:space="preserve">the fees and </w:t>
            </w:r>
            <w:r>
              <w:rPr>
                <w:sz w:val="20"/>
                <w:szCs w:val="20"/>
              </w:rPr>
              <w:t>expenses incurred by the depositary in connection with the delivery of deposited securities, including any fees of a central depository for securities in the local market, where applicable; and</w:t>
            </w:r>
          </w:p>
        </w:tc>
      </w:tr>
      <w:tr w:rsidR="00000000" w14:paraId="72D75EA7" w14:textId="77777777">
        <w:trPr>
          <w:divId w:val="98525094"/>
          <w:trHeight w:val="225"/>
          <w:tblCellSpacing w:w="15" w:type="dxa"/>
        </w:trPr>
        <w:tc>
          <w:tcPr>
            <w:tcW w:w="0" w:type="auto"/>
            <w:vAlign w:val="center"/>
            <w:hideMark/>
          </w:tcPr>
          <w:p w14:paraId="4D4A629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39B488E1"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5DF3F3A8"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F18E131" w14:textId="77777777">
        <w:trPr>
          <w:divId w:val="98525094"/>
          <w:trHeight w:val="225"/>
          <w:tblCellSpacing w:w="15" w:type="dxa"/>
        </w:trPr>
        <w:tc>
          <w:tcPr>
            <w:tcW w:w="0" w:type="auto"/>
            <w:vAlign w:val="center"/>
            <w:hideMark/>
          </w:tcPr>
          <w:p w14:paraId="4B5718B7"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675BFB9F"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4ED0E61E" w14:textId="77777777" w:rsidR="00000000" w:rsidRDefault="00EB4933">
            <w:pPr>
              <w:pStyle w:val="NormalWeb"/>
              <w:spacing w:before="0" w:beforeAutospacing="0" w:after="0" w:afterAutospacing="0"/>
              <w:jc w:val="both"/>
              <w:rPr>
                <w:sz w:val="20"/>
                <w:szCs w:val="20"/>
              </w:rPr>
            </w:pPr>
            <w:r>
              <w:rPr>
                <w:sz w:val="20"/>
                <w:szCs w:val="20"/>
              </w:rPr>
              <w:t>any additional fees, charges, costs or expenses that may be incurred by the depositary from time to time.</w:t>
            </w:r>
          </w:p>
        </w:tc>
      </w:tr>
    </w:tbl>
    <w:p w14:paraId="3883FBE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A63A45C"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depositary fees payable upon the issuance and cancellation of ADSs are typically paid to the depositary bank by the brokers (on behalf of their</w:t>
      </w:r>
      <w:r>
        <w:rPr>
          <w:sz w:val="20"/>
          <w:szCs w:val="20"/>
        </w:rPr>
        <w:t xml:space="preserve"> clients) receiving the newly issued ADSs from the depositary bank and by the brokers (on behalf of their clients) delivering the ADSs to the depositary bank for cancellation. The brokers in turn charge these fees to their clients. Depositary fees payable </w:t>
      </w:r>
      <w:r>
        <w:rPr>
          <w:sz w:val="20"/>
          <w:szCs w:val="20"/>
        </w:rPr>
        <w:t>in connection with distributions of cash or securities to ADS holders and the depositary services fee are charged by the depositary bank to the holders of record of ADSs as of the applicable ADS record date.</w:t>
      </w:r>
    </w:p>
    <w:p w14:paraId="1BA5364A"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2C2078B2"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depositary fees payable for cash distribut</w:t>
      </w:r>
      <w:r>
        <w:rPr>
          <w:sz w:val="20"/>
          <w:szCs w:val="20"/>
        </w:rPr>
        <w:t>ions are generally deducted from the cash being distributed or by selling a portion of distributable property to pay the fees. In the case of distributions other than cash (i.e., share dividends, rights), the depositary bank charges the applicable fee to t</w:t>
      </w:r>
      <w:r>
        <w:rPr>
          <w:sz w:val="20"/>
          <w:szCs w:val="20"/>
        </w:rPr>
        <w:t>he ADS record date holders concurrent with the distribution. In the case of ADSs registered in the name of the investor (whether certificated or uncertificated in direct registration), the depositary bank sends invoices to the applicable record date ADS ho</w:t>
      </w:r>
      <w:r>
        <w:rPr>
          <w:sz w:val="20"/>
          <w:szCs w:val="20"/>
        </w:rPr>
        <w:t>lders. In the case of ADSs held in brokerage and custodian accounts (via DTC), the depositary bank generally collects its fees through the systems provided by DTC (whose nominee is the registered holder of the ADSs held in DTC) from the brokers and custodi</w:t>
      </w:r>
      <w:r>
        <w:rPr>
          <w:sz w:val="20"/>
          <w:szCs w:val="20"/>
        </w:rPr>
        <w:t>ans holding ADSs in their DTC accounts. The brokers and custodians who hold their clients’ ADSs in DTC accounts in turn charge their clients’ accounts the amount of the fees paid to the depositary banks.</w:t>
      </w:r>
    </w:p>
    <w:p w14:paraId="74C306E6"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78EC9545"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the event of refusal to pay the depositary fees</w:t>
      </w:r>
      <w:r>
        <w:rPr>
          <w:sz w:val="20"/>
          <w:szCs w:val="20"/>
        </w:rPr>
        <w:t>, the depositary bank may, under the terms of the deposit agreement, refuse the requested service until payment is received or may set off the amount of the depositary fees from any distribution to be made to the ADS holder.</w:t>
      </w:r>
    </w:p>
    <w:p w14:paraId="272771A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F40CC32"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Fees and Payments From the </w:t>
      </w:r>
      <w:r>
        <w:rPr>
          <w:rStyle w:val="Strong"/>
          <w:sz w:val="20"/>
          <w:szCs w:val="20"/>
        </w:rPr>
        <w:t>Depositary to Us</w:t>
      </w:r>
    </w:p>
    <w:p w14:paraId="63E6658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8D254FF"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 xml:space="preserve">The depositary has agreed to reimburse us for a portion of certain expenses we incur that are related to establishment and maintenance of the ADR program, including investor relations expenses. There are limits on the amount of expenses </w:t>
      </w:r>
      <w:r>
        <w:rPr>
          <w:sz w:val="20"/>
          <w:szCs w:val="20"/>
        </w:rPr>
        <w:t>for which the depositary will reimburse us, but the amount of reimbursement available to us is not related to the amounts of fees the depositary collects from investors. As of December 31, 2019, we received from the depositary reimbursement totaling $1,044</w:t>
      </w:r>
      <w:r>
        <w:rPr>
          <w:sz w:val="20"/>
          <w:szCs w:val="20"/>
        </w:rPr>
        <w:t>,262 for our ADR program-related expenses.</w:t>
      </w:r>
    </w:p>
    <w:p w14:paraId="581389C3"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1830C4D" w14:textId="77777777">
        <w:trPr>
          <w:divId w:val="98525094"/>
          <w:trHeight w:val="225"/>
          <w:tblCellSpacing w:w="15" w:type="dxa"/>
        </w:trPr>
        <w:tc>
          <w:tcPr>
            <w:tcW w:w="0" w:type="auto"/>
            <w:vAlign w:val="center"/>
            <w:hideMark/>
          </w:tcPr>
          <w:p w14:paraId="0098D07D" w14:textId="77777777" w:rsidR="00000000" w:rsidRDefault="00EB4933">
            <w:pPr>
              <w:rPr>
                <w:rFonts w:eastAsia="Times New Roman"/>
                <w:sz w:val="20"/>
                <w:szCs w:val="20"/>
              </w:rPr>
            </w:pPr>
            <w:r>
              <w:rPr>
                <w:rFonts w:eastAsia="Times New Roman"/>
                <w:sz w:val="20"/>
                <w:szCs w:val="20"/>
              </w:rPr>
              <w:t> </w:t>
            </w:r>
          </w:p>
        </w:tc>
      </w:tr>
      <w:tr w:rsidR="00000000" w14:paraId="71755A08" w14:textId="77777777">
        <w:trPr>
          <w:divId w:val="98525094"/>
          <w:trHeight w:val="225"/>
          <w:tblCellSpacing w:w="15" w:type="dxa"/>
        </w:trPr>
        <w:tc>
          <w:tcPr>
            <w:tcW w:w="0" w:type="auto"/>
            <w:tcBorders>
              <w:bottom w:val="single" w:sz="6" w:space="0" w:color="000000"/>
            </w:tcBorders>
            <w:vAlign w:val="center"/>
            <w:hideMark/>
          </w:tcPr>
          <w:p w14:paraId="1B7BA4FE" w14:textId="77777777" w:rsidR="00000000" w:rsidRDefault="00EB4933">
            <w:pPr>
              <w:jc w:val="center"/>
              <w:rPr>
                <w:rFonts w:eastAsia="Times New Roman"/>
                <w:sz w:val="20"/>
                <w:szCs w:val="20"/>
              </w:rPr>
            </w:pPr>
            <w:r>
              <w:rPr>
                <w:rFonts w:eastAsia="Times New Roman"/>
                <w:sz w:val="20"/>
                <w:szCs w:val="20"/>
              </w:rPr>
              <w:t>103</w:t>
            </w:r>
          </w:p>
        </w:tc>
      </w:tr>
      <w:tr w:rsidR="00000000" w14:paraId="64F05807" w14:textId="77777777">
        <w:trPr>
          <w:divId w:val="98525094"/>
          <w:trHeight w:val="225"/>
          <w:tblCellSpacing w:w="15" w:type="dxa"/>
        </w:trPr>
        <w:tc>
          <w:tcPr>
            <w:tcW w:w="0" w:type="auto"/>
            <w:vAlign w:val="center"/>
            <w:hideMark/>
          </w:tcPr>
          <w:p w14:paraId="3E0BC77A" w14:textId="77777777" w:rsidR="00000000" w:rsidRDefault="00EB4933">
            <w:pPr>
              <w:rPr>
                <w:rFonts w:eastAsia="Times New Roman"/>
                <w:sz w:val="20"/>
                <w:szCs w:val="20"/>
              </w:rPr>
            </w:pPr>
          </w:p>
        </w:tc>
      </w:tr>
      <w:tr w:rsidR="00000000" w14:paraId="5C37E1E6" w14:textId="77777777">
        <w:trPr>
          <w:divId w:val="98525094"/>
          <w:trHeight w:val="225"/>
          <w:tblCellSpacing w:w="15" w:type="dxa"/>
        </w:trPr>
        <w:tc>
          <w:tcPr>
            <w:tcW w:w="0" w:type="auto"/>
            <w:vAlign w:val="center"/>
            <w:hideMark/>
          </w:tcPr>
          <w:p w14:paraId="736DF409" w14:textId="77777777" w:rsidR="00000000" w:rsidRDefault="00EB4933">
            <w:pPr>
              <w:rPr>
                <w:rFonts w:eastAsia="Times New Roman"/>
                <w:sz w:val="20"/>
                <w:szCs w:val="20"/>
              </w:rPr>
            </w:pPr>
            <w:hyperlink r:id="rId163" w:anchor="toc" w:history="1">
              <w:r>
                <w:rPr>
                  <w:rStyle w:val="Hyperlink"/>
                  <w:rFonts w:eastAsia="Times New Roman"/>
                  <w:i/>
                  <w:iCs/>
                  <w:sz w:val="20"/>
                  <w:szCs w:val="20"/>
                </w:rPr>
                <w:t>Table of Contents</w:t>
              </w:r>
            </w:hyperlink>
          </w:p>
        </w:tc>
      </w:tr>
    </w:tbl>
    <w:p w14:paraId="66E20C4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8FE8DFD" w14:textId="77777777" w:rsidR="00000000" w:rsidRDefault="00EB4933">
      <w:pPr>
        <w:pStyle w:val="NormalWeb"/>
        <w:spacing w:before="0" w:beforeAutospacing="0" w:after="0" w:afterAutospacing="0"/>
        <w:jc w:val="center"/>
        <w:divId w:val="98525094"/>
        <w:rPr>
          <w:sz w:val="20"/>
          <w:szCs w:val="20"/>
        </w:rPr>
      </w:pPr>
      <w:bookmarkStart w:id="17" w:name="p2"/>
      <w:r>
        <w:rPr>
          <w:rStyle w:val="Strong"/>
          <w:sz w:val="20"/>
          <w:szCs w:val="20"/>
        </w:rPr>
        <w:t>PART II</w:t>
      </w:r>
      <w:bookmarkEnd w:id="17"/>
    </w:p>
    <w:p w14:paraId="2899D63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0BCA5E6" w14:textId="77777777" w:rsidR="00000000" w:rsidRDefault="00EB4933">
      <w:pPr>
        <w:pStyle w:val="NormalWeb"/>
        <w:spacing w:before="0" w:beforeAutospacing="0" w:after="0" w:afterAutospacing="0"/>
        <w:jc w:val="both"/>
        <w:divId w:val="98525094"/>
        <w:rPr>
          <w:sz w:val="20"/>
          <w:szCs w:val="20"/>
        </w:rPr>
      </w:pPr>
      <w:bookmarkStart w:id="18" w:name="i13"/>
      <w:r>
        <w:rPr>
          <w:rStyle w:val="Strong"/>
          <w:sz w:val="20"/>
          <w:szCs w:val="20"/>
        </w:rPr>
        <w:t>ITEM 13. DEFAULTS, DIVIDEND ARREARAGES AND DELINQUENCIES</w:t>
      </w:r>
      <w:bookmarkEnd w:id="18"/>
    </w:p>
    <w:p w14:paraId="503523D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1AC2321" w14:textId="77777777" w:rsidR="00000000" w:rsidRDefault="00EB4933">
      <w:pPr>
        <w:pStyle w:val="NormalWeb"/>
        <w:spacing w:before="0" w:beforeAutospacing="0" w:after="0" w:afterAutospacing="0"/>
        <w:ind w:firstLine="675"/>
        <w:jc w:val="both"/>
        <w:divId w:val="98525094"/>
        <w:rPr>
          <w:sz w:val="20"/>
          <w:szCs w:val="20"/>
        </w:rPr>
      </w:pPr>
      <w:r>
        <w:rPr>
          <w:sz w:val="20"/>
          <w:szCs w:val="20"/>
        </w:rPr>
        <w:t>None.</w:t>
      </w:r>
    </w:p>
    <w:p w14:paraId="63CC7BC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6B59CD8" w14:textId="77777777" w:rsidR="00000000" w:rsidRDefault="00EB4933">
      <w:pPr>
        <w:pStyle w:val="NormalWeb"/>
        <w:spacing w:before="0" w:beforeAutospacing="0" w:after="0" w:afterAutospacing="0"/>
        <w:jc w:val="both"/>
        <w:divId w:val="98525094"/>
        <w:rPr>
          <w:sz w:val="20"/>
          <w:szCs w:val="20"/>
        </w:rPr>
      </w:pPr>
      <w:bookmarkStart w:id="19" w:name="i14"/>
      <w:r>
        <w:rPr>
          <w:rStyle w:val="Strong"/>
          <w:sz w:val="20"/>
          <w:szCs w:val="20"/>
        </w:rPr>
        <w:t>ITEM 14. MATERIAL MODIFICATIONS TO THE RIGHTS OF SECURITY HOLDERS AND USE OF PROCEEDS</w:t>
      </w:r>
      <w:bookmarkEnd w:id="19"/>
    </w:p>
    <w:p w14:paraId="704EE79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E17F6AF" w14:textId="77777777" w:rsidR="00000000" w:rsidRDefault="00EB4933">
      <w:pPr>
        <w:pStyle w:val="NormalWeb"/>
        <w:spacing w:before="0" w:beforeAutospacing="0" w:after="0" w:afterAutospacing="0"/>
        <w:ind w:firstLine="675"/>
        <w:jc w:val="both"/>
        <w:divId w:val="98525094"/>
        <w:rPr>
          <w:sz w:val="20"/>
          <w:szCs w:val="20"/>
        </w:rPr>
      </w:pPr>
      <w:r>
        <w:rPr>
          <w:sz w:val="20"/>
          <w:szCs w:val="20"/>
        </w:rPr>
        <w:t>See “Item 10. Additional Information” for a description of the rights of holders of our ordinary shares, which remain unchanged.</w:t>
      </w:r>
    </w:p>
    <w:p w14:paraId="185F553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C55F1CF" w14:textId="77777777" w:rsidR="00000000" w:rsidRDefault="00EB4933">
      <w:pPr>
        <w:pStyle w:val="NormalWeb"/>
        <w:spacing w:before="0" w:beforeAutospacing="0" w:after="0" w:afterAutospacing="0"/>
        <w:jc w:val="both"/>
        <w:divId w:val="98525094"/>
        <w:rPr>
          <w:sz w:val="20"/>
          <w:szCs w:val="20"/>
        </w:rPr>
      </w:pPr>
      <w:bookmarkStart w:id="20" w:name="i15"/>
      <w:r>
        <w:rPr>
          <w:rStyle w:val="Strong"/>
          <w:sz w:val="20"/>
          <w:szCs w:val="20"/>
        </w:rPr>
        <w:t>ITEM 15. CONTROLS AND PROCEDURES</w:t>
      </w:r>
      <w:bookmarkEnd w:id="20"/>
    </w:p>
    <w:p w14:paraId="282A543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AED766D" w14:textId="77777777" w:rsidR="00000000" w:rsidRDefault="00EB4933">
      <w:pPr>
        <w:pStyle w:val="NormalWeb"/>
        <w:spacing w:before="0" w:beforeAutospacing="0" w:after="0" w:afterAutospacing="0"/>
        <w:jc w:val="both"/>
        <w:divId w:val="98525094"/>
        <w:rPr>
          <w:sz w:val="20"/>
          <w:szCs w:val="20"/>
        </w:rPr>
      </w:pPr>
      <w:r>
        <w:rPr>
          <w:rStyle w:val="Strong"/>
          <w:sz w:val="20"/>
          <w:szCs w:val="20"/>
        </w:rPr>
        <w:t>A.</w:t>
      </w:r>
      <w:r>
        <w:rPr>
          <w:rStyle w:val="Strong"/>
          <w:sz w:val="20"/>
          <w:szCs w:val="20"/>
        </w:rPr>
        <w:t xml:space="preserve"> Disclosure Controls and Procedures</w:t>
      </w:r>
    </w:p>
    <w:p w14:paraId="02E5398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EDB8764" w14:textId="77777777" w:rsidR="00000000" w:rsidRDefault="00EB4933">
      <w:pPr>
        <w:pStyle w:val="NormalWeb"/>
        <w:spacing w:before="0" w:beforeAutospacing="0" w:after="0" w:afterAutospacing="0"/>
        <w:ind w:firstLine="675"/>
        <w:jc w:val="both"/>
        <w:divId w:val="98525094"/>
        <w:rPr>
          <w:sz w:val="20"/>
          <w:szCs w:val="20"/>
        </w:rPr>
      </w:pPr>
      <w:r>
        <w:rPr>
          <w:sz w:val="20"/>
          <w:szCs w:val="20"/>
        </w:rPr>
        <w:t>Under the supervision and with the participation of our management, including our chief executive officer and our chief financial officer, we conducted an evaluation of our disclosure controls and procedures, as such t</w:t>
      </w:r>
      <w:r>
        <w:rPr>
          <w:sz w:val="20"/>
          <w:szCs w:val="20"/>
        </w:rPr>
        <w:t>erm is defined under Rule 13a-15(e) and Rule 15d-15(e) promulgated under the Exchange Act. Based on that evaluation, our chief executive officer and chief financial officer have concluded that our disclosure controls and procedures were effective as of the</w:t>
      </w:r>
      <w:r>
        <w:rPr>
          <w:sz w:val="20"/>
          <w:szCs w:val="20"/>
        </w:rPr>
        <w:t xml:space="preserve"> end of the period covered by this annual report.</w:t>
      </w:r>
    </w:p>
    <w:p w14:paraId="36E5E16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C04B6E9" w14:textId="77777777" w:rsidR="00000000" w:rsidRDefault="00EB4933">
      <w:pPr>
        <w:pStyle w:val="NormalWeb"/>
        <w:spacing w:before="0" w:beforeAutospacing="0" w:after="0" w:afterAutospacing="0"/>
        <w:jc w:val="both"/>
        <w:divId w:val="98525094"/>
        <w:rPr>
          <w:sz w:val="20"/>
          <w:szCs w:val="20"/>
        </w:rPr>
      </w:pPr>
      <w:r>
        <w:rPr>
          <w:rStyle w:val="Strong"/>
          <w:sz w:val="20"/>
          <w:szCs w:val="20"/>
        </w:rPr>
        <w:t>B. Management’s Annual Report on Internal Control Over Financial Reporting</w:t>
      </w:r>
    </w:p>
    <w:p w14:paraId="4BE9CC9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35B267B"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management is responsible for establishing and maintaining adequate internal control over financial reporting, as such term is defined in Rules 13a-15(f) and 15d-15(f) under the Exchange Act. Our internal control over financial reporting is a process d</w:t>
      </w:r>
      <w:r>
        <w:rPr>
          <w:sz w:val="20"/>
          <w:szCs w:val="20"/>
        </w:rPr>
        <w:t>esigned to provide reasonable assurance regarding the reliability of financial reporting and the preparation of consolidated financial statements in accordance with IFRS. Internal control over financial reporting includes those policies and procedures that</w:t>
      </w:r>
      <w:r>
        <w:rPr>
          <w:sz w:val="20"/>
          <w:szCs w:val="20"/>
        </w:rPr>
        <w:t xml:space="preserve"> (1) pertain to the maintenance of records that, in reasonable detail, accurately and fairly reflect the transactions and dispositions of a company’s assets, (2) provide reasonable assurance that transactions are recorded as necessary to permit preparation</w:t>
      </w:r>
      <w:r>
        <w:rPr>
          <w:sz w:val="20"/>
          <w:szCs w:val="20"/>
        </w:rPr>
        <w:t xml:space="preserve"> of consolidated financial statements in accordance with IFRS, and that a company’s receipts and expenditures are being made only in accordance with authorizations of a company’s management and directors and (3) provide reasonable assurance regarding preve</w:t>
      </w:r>
      <w:r>
        <w:rPr>
          <w:sz w:val="20"/>
          <w:szCs w:val="20"/>
        </w:rPr>
        <w:t>ntion or timely detection of unauthorized acquisition, use or disposition of a company’s assets that could have a material effect on the consolidated financial statements.</w:t>
      </w:r>
    </w:p>
    <w:p w14:paraId="3AE0242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3D80CD0" w14:textId="77777777" w:rsidR="00000000" w:rsidRDefault="00EB4933">
      <w:pPr>
        <w:pStyle w:val="NormalWeb"/>
        <w:spacing w:before="0" w:beforeAutospacing="0" w:after="0" w:afterAutospacing="0"/>
        <w:ind w:firstLine="675"/>
        <w:jc w:val="both"/>
        <w:divId w:val="98525094"/>
        <w:rPr>
          <w:sz w:val="20"/>
          <w:szCs w:val="20"/>
        </w:rPr>
      </w:pPr>
      <w:r>
        <w:rPr>
          <w:sz w:val="20"/>
          <w:szCs w:val="20"/>
        </w:rPr>
        <w:t>Because of its inherent limitations, internal control over financial reporting may</w:t>
      </w:r>
      <w:r>
        <w:rPr>
          <w:sz w:val="20"/>
          <w:szCs w:val="20"/>
        </w:rPr>
        <w:t xml:space="preserve"> not prevent or detect misstatements. Projections of any evaluation of effectiveness to future periods are subject to the risk that controls may become inadequate because of changes in conditions, or that the degree of compliance with the policies or proce</w:t>
      </w:r>
      <w:r>
        <w:rPr>
          <w:sz w:val="20"/>
          <w:szCs w:val="20"/>
        </w:rPr>
        <w:t>dures may deteriorate.</w:t>
      </w:r>
    </w:p>
    <w:p w14:paraId="5270722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ED9611F"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required by Section 404 of the Sarbanes-Oxley Act of 2002 and related rules promulgated by the Securities and Exchange Commission, our management, including our chief executive officer and chief financial officer, assessed the e</w:t>
      </w:r>
      <w:r>
        <w:rPr>
          <w:sz w:val="20"/>
          <w:szCs w:val="20"/>
        </w:rPr>
        <w:t xml:space="preserve">ffectiveness of internal control over financial reporting as of December 31, 2019 using the criteria set </w:t>
      </w:r>
      <w:r>
        <w:rPr>
          <w:sz w:val="20"/>
          <w:szCs w:val="20"/>
        </w:rPr>
        <w:lastRenderedPageBreak/>
        <w:t xml:space="preserve">forth in the report “Internal Control — Integrated Framework (2013)” published by the Committee of Sponsoring Organizations of the Treadway Commission </w:t>
      </w:r>
      <w:r>
        <w:rPr>
          <w:sz w:val="20"/>
          <w:szCs w:val="20"/>
        </w:rPr>
        <w:t>(known as COSO).</w:t>
      </w:r>
    </w:p>
    <w:p w14:paraId="346FB941"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A60B770" w14:textId="77777777">
        <w:trPr>
          <w:divId w:val="98525094"/>
          <w:trHeight w:val="225"/>
          <w:tblCellSpacing w:w="15" w:type="dxa"/>
        </w:trPr>
        <w:tc>
          <w:tcPr>
            <w:tcW w:w="0" w:type="auto"/>
            <w:vAlign w:val="center"/>
            <w:hideMark/>
          </w:tcPr>
          <w:p w14:paraId="3D22C808" w14:textId="77777777" w:rsidR="00000000" w:rsidRDefault="00EB4933">
            <w:pPr>
              <w:rPr>
                <w:rFonts w:eastAsia="Times New Roman"/>
                <w:sz w:val="20"/>
                <w:szCs w:val="20"/>
              </w:rPr>
            </w:pPr>
            <w:r>
              <w:rPr>
                <w:rFonts w:eastAsia="Times New Roman"/>
                <w:sz w:val="20"/>
                <w:szCs w:val="20"/>
              </w:rPr>
              <w:t> </w:t>
            </w:r>
          </w:p>
        </w:tc>
      </w:tr>
      <w:tr w:rsidR="00000000" w14:paraId="689B5E0D" w14:textId="77777777">
        <w:trPr>
          <w:divId w:val="98525094"/>
          <w:trHeight w:val="225"/>
          <w:tblCellSpacing w:w="15" w:type="dxa"/>
        </w:trPr>
        <w:tc>
          <w:tcPr>
            <w:tcW w:w="0" w:type="auto"/>
            <w:tcBorders>
              <w:bottom w:val="single" w:sz="6" w:space="0" w:color="000000"/>
            </w:tcBorders>
            <w:vAlign w:val="center"/>
            <w:hideMark/>
          </w:tcPr>
          <w:p w14:paraId="6B6A5067" w14:textId="77777777" w:rsidR="00000000" w:rsidRDefault="00EB4933">
            <w:pPr>
              <w:jc w:val="center"/>
              <w:rPr>
                <w:rFonts w:eastAsia="Times New Roman"/>
                <w:sz w:val="20"/>
                <w:szCs w:val="20"/>
              </w:rPr>
            </w:pPr>
            <w:r>
              <w:rPr>
                <w:rFonts w:eastAsia="Times New Roman"/>
                <w:sz w:val="20"/>
                <w:szCs w:val="20"/>
              </w:rPr>
              <w:t>104</w:t>
            </w:r>
          </w:p>
        </w:tc>
      </w:tr>
      <w:tr w:rsidR="00000000" w14:paraId="1C8EB492" w14:textId="77777777">
        <w:trPr>
          <w:divId w:val="98525094"/>
          <w:trHeight w:val="225"/>
          <w:tblCellSpacing w:w="15" w:type="dxa"/>
        </w:trPr>
        <w:tc>
          <w:tcPr>
            <w:tcW w:w="0" w:type="auto"/>
            <w:vAlign w:val="center"/>
            <w:hideMark/>
          </w:tcPr>
          <w:p w14:paraId="2B740273" w14:textId="77777777" w:rsidR="00000000" w:rsidRDefault="00EB4933">
            <w:pPr>
              <w:rPr>
                <w:rFonts w:eastAsia="Times New Roman"/>
                <w:sz w:val="20"/>
                <w:szCs w:val="20"/>
              </w:rPr>
            </w:pPr>
          </w:p>
        </w:tc>
      </w:tr>
      <w:tr w:rsidR="00000000" w14:paraId="2CD3E367" w14:textId="77777777">
        <w:trPr>
          <w:divId w:val="98525094"/>
          <w:trHeight w:val="225"/>
          <w:tblCellSpacing w:w="15" w:type="dxa"/>
        </w:trPr>
        <w:tc>
          <w:tcPr>
            <w:tcW w:w="0" w:type="auto"/>
            <w:vAlign w:val="center"/>
            <w:hideMark/>
          </w:tcPr>
          <w:p w14:paraId="29B200C2" w14:textId="77777777" w:rsidR="00000000" w:rsidRDefault="00EB4933">
            <w:pPr>
              <w:rPr>
                <w:rFonts w:eastAsia="Times New Roman"/>
                <w:sz w:val="20"/>
                <w:szCs w:val="20"/>
              </w:rPr>
            </w:pPr>
            <w:hyperlink r:id="rId164" w:anchor="toc" w:history="1">
              <w:r>
                <w:rPr>
                  <w:rStyle w:val="Hyperlink"/>
                  <w:rFonts w:eastAsia="Times New Roman"/>
                  <w:i/>
                  <w:iCs/>
                  <w:sz w:val="20"/>
                  <w:szCs w:val="20"/>
                </w:rPr>
                <w:t>Table of Contents</w:t>
              </w:r>
            </w:hyperlink>
          </w:p>
        </w:tc>
      </w:tr>
    </w:tbl>
    <w:p w14:paraId="57C7A07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064AC7C" w14:textId="77777777" w:rsidR="00000000" w:rsidRDefault="00EB4933">
      <w:pPr>
        <w:pStyle w:val="NormalWeb"/>
        <w:spacing w:before="0" w:beforeAutospacing="0" w:after="0" w:afterAutospacing="0"/>
        <w:ind w:firstLine="675"/>
        <w:jc w:val="both"/>
        <w:divId w:val="98525094"/>
        <w:rPr>
          <w:sz w:val="20"/>
          <w:szCs w:val="20"/>
        </w:rPr>
      </w:pPr>
      <w:r>
        <w:rPr>
          <w:sz w:val="20"/>
          <w:szCs w:val="20"/>
        </w:rPr>
        <w:t>A material weakness is a deficiency, or a combination of deficiencies, in internal control over financial reporting, such that there is a reasonable possibility that a material misstatement of the company’s annual or interim financial statements will not b</w:t>
      </w:r>
      <w:r>
        <w:rPr>
          <w:sz w:val="20"/>
          <w:szCs w:val="20"/>
        </w:rPr>
        <w:t>e prevented or detected on a timely basis.</w:t>
      </w:r>
    </w:p>
    <w:p w14:paraId="5139D90D"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3348B6EB"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The following material weakness in internal control over financial reporting has been identified as of December 31, 2018. </w:t>
      </w:r>
    </w:p>
    <w:p w14:paraId="079E1E2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57F699C6" w14:textId="77777777" w:rsidR="00000000" w:rsidRDefault="00EB4933">
      <w:pPr>
        <w:pStyle w:val="NormalWeb"/>
        <w:spacing w:before="0" w:beforeAutospacing="0" w:after="0" w:afterAutospacing="0"/>
        <w:ind w:firstLine="675"/>
        <w:jc w:val="both"/>
        <w:divId w:val="98525094"/>
        <w:rPr>
          <w:sz w:val="20"/>
          <w:szCs w:val="20"/>
        </w:rPr>
      </w:pPr>
      <w:r>
        <w:rPr>
          <w:sz w:val="20"/>
          <w:szCs w:val="20"/>
        </w:rPr>
        <w:t>Management did not apply the appropriate authoritative accounting literature and led t</w:t>
      </w:r>
      <w:r>
        <w:rPr>
          <w:sz w:val="20"/>
          <w:szCs w:val="20"/>
        </w:rPr>
        <w:t>o accounting errors, as a result of the following deficiencies that, collectively, represent a material weakness:</w:t>
      </w:r>
    </w:p>
    <w:p w14:paraId="2A762D34"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45"/>
        <w:gridCol w:w="8815"/>
      </w:tblGrid>
      <w:tr w:rsidR="00000000" w14:paraId="6719BB54" w14:textId="77777777">
        <w:trPr>
          <w:divId w:val="98525094"/>
          <w:trHeight w:val="225"/>
          <w:tblCellSpacing w:w="15" w:type="dxa"/>
        </w:trPr>
        <w:tc>
          <w:tcPr>
            <w:tcW w:w="200" w:type="pct"/>
            <w:hideMark/>
          </w:tcPr>
          <w:p w14:paraId="12B0E96D"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27F7C3A8" w14:textId="77777777" w:rsidR="00000000" w:rsidRDefault="00EB4933">
            <w:pPr>
              <w:pStyle w:val="NormalWeb"/>
              <w:spacing w:before="0" w:beforeAutospacing="0" w:after="0" w:afterAutospacing="0"/>
              <w:jc w:val="both"/>
              <w:rPr>
                <w:sz w:val="20"/>
                <w:szCs w:val="20"/>
              </w:rPr>
            </w:pPr>
            <w:r>
              <w:rPr>
                <w:sz w:val="20"/>
                <w:szCs w:val="20"/>
              </w:rPr>
              <w:t>The appropriate accounting expertise (internally and externally) was not engaged, resulting in a failure to recognize important IFRS accou</w:t>
            </w:r>
            <w:r>
              <w:rPr>
                <w:sz w:val="20"/>
                <w:szCs w:val="20"/>
              </w:rPr>
              <w:t>nting treatments;</w:t>
            </w:r>
          </w:p>
        </w:tc>
      </w:tr>
      <w:tr w:rsidR="00000000" w14:paraId="71655B7A" w14:textId="77777777">
        <w:trPr>
          <w:divId w:val="98525094"/>
          <w:trHeight w:val="225"/>
          <w:tblCellSpacing w:w="15" w:type="dxa"/>
        </w:trPr>
        <w:tc>
          <w:tcPr>
            <w:tcW w:w="0" w:type="auto"/>
            <w:vAlign w:val="center"/>
            <w:hideMark/>
          </w:tcPr>
          <w:p w14:paraId="6134614D"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185B45F"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16219B90" w14:textId="77777777">
        <w:trPr>
          <w:divId w:val="98525094"/>
          <w:trHeight w:val="225"/>
          <w:tblCellSpacing w:w="15" w:type="dxa"/>
        </w:trPr>
        <w:tc>
          <w:tcPr>
            <w:tcW w:w="0" w:type="auto"/>
            <w:hideMark/>
          </w:tcPr>
          <w:p w14:paraId="587355A6"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5BA9A4BC" w14:textId="77777777" w:rsidR="00000000" w:rsidRDefault="00EB4933">
            <w:pPr>
              <w:pStyle w:val="NormalWeb"/>
              <w:spacing w:before="0" w:beforeAutospacing="0" w:after="0" w:afterAutospacing="0"/>
              <w:jc w:val="both"/>
              <w:rPr>
                <w:sz w:val="20"/>
                <w:szCs w:val="20"/>
              </w:rPr>
            </w:pPr>
            <w:r>
              <w:rPr>
                <w:sz w:val="20"/>
                <w:szCs w:val="20"/>
              </w:rPr>
              <w:t>The accounting consequences of significant, unusual transactions were not identified and evaluated;</w:t>
            </w:r>
          </w:p>
        </w:tc>
      </w:tr>
      <w:tr w:rsidR="00000000" w14:paraId="72C38A22" w14:textId="77777777">
        <w:trPr>
          <w:divId w:val="98525094"/>
          <w:trHeight w:val="225"/>
          <w:tblCellSpacing w:w="15" w:type="dxa"/>
        </w:trPr>
        <w:tc>
          <w:tcPr>
            <w:tcW w:w="0" w:type="auto"/>
            <w:vAlign w:val="center"/>
            <w:hideMark/>
          </w:tcPr>
          <w:p w14:paraId="22599FEE"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3594546"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D168857" w14:textId="77777777">
        <w:trPr>
          <w:divId w:val="98525094"/>
          <w:trHeight w:val="225"/>
          <w:tblCellSpacing w:w="15" w:type="dxa"/>
        </w:trPr>
        <w:tc>
          <w:tcPr>
            <w:tcW w:w="0" w:type="auto"/>
            <w:hideMark/>
          </w:tcPr>
          <w:p w14:paraId="52973648"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0E0A52C8" w14:textId="77777777" w:rsidR="00000000" w:rsidRDefault="00EB4933">
            <w:pPr>
              <w:pStyle w:val="NormalWeb"/>
              <w:spacing w:before="0" w:beforeAutospacing="0" w:after="0" w:afterAutospacing="0"/>
              <w:jc w:val="both"/>
              <w:rPr>
                <w:sz w:val="20"/>
                <w:szCs w:val="20"/>
              </w:rPr>
            </w:pPr>
            <w:r>
              <w:rPr>
                <w:sz w:val="20"/>
                <w:szCs w:val="20"/>
              </w:rPr>
              <w:t>The accounting positions taken on significant, unusual transactions were not reviewed and approved at the appropriate level; and</w:t>
            </w:r>
          </w:p>
        </w:tc>
      </w:tr>
      <w:tr w:rsidR="00000000" w14:paraId="2B5E3B8A" w14:textId="77777777">
        <w:trPr>
          <w:divId w:val="98525094"/>
          <w:trHeight w:val="225"/>
          <w:tblCellSpacing w:w="15" w:type="dxa"/>
        </w:trPr>
        <w:tc>
          <w:tcPr>
            <w:tcW w:w="0" w:type="auto"/>
            <w:vAlign w:val="center"/>
            <w:hideMark/>
          </w:tcPr>
          <w:p w14:paraId="24794899"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5BE2EB00"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2F5C971A" w14:textId="77777777">
        <w:trPr>
          <w:divId w:val="98525094"/>
          <w:trHeight w:val="225"/>
          <w:tblCellSpacing w:w="15" w:type="dxa"/>
        </w:trPr>
        <w:tc>
          <w:tcPr>
            <w:tcW w:w="0" w:type="auto"/>
            <w:hideMark/>
          </w:tcPr>
          <w:p w14:paraId="591EDD1F"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1015CCC0" w14:textId="77777777" w:rsidR="00000000" w:rsidRDefault="00EB4933">
            <w:pPr>
              <w:pStyle w:val="NormalWeb"/>
              <w:spacing w:before="0" w:beforeAutospacing="0" w:after="0" w:afterAutospacing="0"/>
              <w:jc w:val="both"/>
              <w:rPr>
                <w:sz w:val="20"/>
                <w:szCs w:val="20"/>
              </w:rPr>
            </w:pPr>
            <w:r>
              <w:rPr>
                <w:sz w:val="20"/>
                <w:szCs w:val="20"/>
              </w:rPr>
              <w:t>Certain related party transactions were not completely and accurately identified and reported.</w:t>
            </w:r>
          </w:p>
        </w:tc>
      </w:tr>
    </w:tbl>
    <w:p w14:paraId="0E1D808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CD7E0AF"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These material weaknesses in our internal control over financial reporting resulted in the accounting errors that led to the restatement of previously issued </w:t>
      </w:r>
      <w:r>
        <w:rPr>
          <w:sz w:val="20"/>
          <w:szCs w:val="20"/>
        </w:rPr>
        <w:t xml:space="preserve">financial statements. </w:t>
      </w:r>
    </w:p>
    <w:p w14:paraId="20D34ACE"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64E98146"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have taken, and continue to take, the actions described below to remediate the identified material weakness. As we continue to evaluate and work to improve our internal controls over financial reporting, our senior management ma</w:t>
      </w:r>
      <w:r>
        <w:rPr>
          <w:sz w:val="20"/>
          <w:szCs w:val="20"/>
        </w:rPr>
        <w:t>y determine to take additional measures to address control deficiencies or modify the remediation efforts described in this section. While the Audit Committee and senior management are closely monitoring the implementation, until the remediation efforts di</w:t>
      </w:r>
      <w:r>
        <w:rPr>
          <w:sz w:val="20"/>
          <w:szCs w:val="20"/>
        </w:rPr>
        <w:t>scussed in this section, including any additional remediation efforts that our senior management identifies as necessary, are completed, tested, and determined effective, the material weakness described below will continue to exist.</w:t>
      </w:r>
    </w:p>
    <w:p w14:paraId="6D113C5C"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9457EC5" w14:textId="77777777" w:rsidR="00000000" w:rsidRDefault="00EB4933">
      <w:pPr>
        <w:pStyle w:val="NormalWeb"/>
        <w:spacing w:before="0" w:beforeAutospacing="0" w:after="0" w:afterAutospacing="0"/>
        <w:ind w:firstLine="675"/>
        <w:jc w:val="both"/>
        <w:divId w:val="98525094"/>
        <w:rPr>
          <w:sz w:val="20"/>
          <w:szCs w:val="20"/>
        </w:rPr>
      </w:pPr>
      <w:r>
        <w:rPr>
          <w:sz w:val="20"/>
          <w:szCs w:val="20"/>
        </w:rPr>
        <w:t>To address this mater</w:t>
      </w:r>
      <w:r>
        <w:rPr>
          <w:sz w:val="20"/>
          <w:szCs w:val="20"/>
        </w:rPr>
        <w:t>ial weakness, our management has implemented new procedures and internal controls surrounding financial reporting, we implemented more rigorous and more detailed review on procedures and processes on reviewing and recording significant, unusual transaction</w:t>
      </w:r>
      <w:r>
        <w:rPr>
          <w:sz w:val="20"/>
          <w:szCs w:val="20"/>
        </w:rPr>
        <w:t>s to ensure completeness and accuracy of financial reporting. Where required, appropriate accounting expert will be engaged to review important IFRS accounting treatments.</w:t>
      </w:r>
    </w:p>
    <w:p w14:paraId="0A1D3465"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D6FBE97" w14:textId="77777777" w:rsidR="00000000" w:rsidRDefault="00EB4933">
      <w:pPr>
        <w:pStyle w:val="NormalWeb"/>
        <w:spacing w:before="0" w:beforeAutospacing="0" w:after="0" w:afterAutospacing="0"/>
        <w:ind w:firstLine="675"/>
        <w:jc w:val="both"/>
        <w:divId w:val="98525094"/>
        <w:rPr>
          <w:sz w:val="20"/>
          <w:szCs w:val="20"/>
        </w:rPr>
      </w:pPr>
      <w:r>
        <w:rPr>
          <w:sz w:val="20"/>
          <w:szCs w:val="20"/>
        </w:rPr>
        <w:t>As a result of the remedial actions taken, there was no material weaknesses for th</w:t>
      </w:r>
      <w:r>
        <w:rPr>
          <w:sz w:val="20"/>
          <w:szCs w:val="20"/>
        </w:rPr>
        <w:t xml:space="preserve">e fiscal year ended December 31, 2019. </w:t>
      </w:r>
    </w:p>
    <w:p w14:paraId="62EF6DA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64EDF30"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Our management has concluded that we had maintained effective internal control over financial reporting as of December 31, 2019, based on criteria established in Internal Control — Integrated Framework (2013) issued by COSO. </w:t>
      </w:r>
    </w:p>
    <w:p w14:paraId="6AD4F26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6643B94" w14:textId="77777777" w:rsidR="00000000" w:rsidRDefault="00EB4933">
      <w:pPr>
        <w:pStyle w:val="NormalWeb"/>
        <w:spacing w:before="0" w:beforeAutospacing="0" w:after="0" w:afterAutospacing="0"/>
        <w:jc w:val="both"/>
        <w:divId w:val="98525094"/>
        <w:rPr>
          <w:sz w:val="20"/>
          <w:szCs w:val="20"/>
        </w:rPr>
      </w:pPr>
      <w:r>
        <w:rPr>
          <w:rStyle w:val="Strong"/>
          <w:sz w:val="20"/>
          <w:szCs w:val="20"/>
        </w:rPr>
        <w:t>C. Attestation Report for t</w:t>
      </w:r>
      <w:r>
        <w:rPr>
          <w:rStyle w:val="Strong"/>
          <w:sz w:val="20"/>
          <w:szCs w:val="20"/>
        </w:rPr>
        <w:t>he Independent Registered Public Accounting Firm</w:t>
      </w:r>
    </w:p>
    <w:p w14:paraId="4E4E4E7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D242F4D"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Not applicable.</w:t>
      </w:r>
    </w:p>
    <w:p w14:paraId="6037662D" w14:textId="77777777" w:rsidR="00000000" w:rsidRDefault="00EB4933">
      <w:pPr>
        <w:pStyle w:val="NormalWeb"/>
        <w:spacing w:before="0" w:beforeAutospacing="0" w:after="0" w:afterAutospacing="0"/>
        <w:jc w:val="center"/>
        <w:divId w:val="98525094"/>
        <w:rPr>
          <w:sz w:val="20"/>
          <w:szCs w:val="20"/>
        </w:rPr>
      </w:pPr>
      <w:r>
        <w:rPr>
          <w:sz w:val="20"/>
          <w:szCs w:val="20"/>
        </w:rPr>
        <w:t> </w:t>
      </w:r>
    </w:p>
    <w:p w14:paraId="4857B7F2" w14:textId="77777777" w:rsidR="00000000" w:rsidRDefault="00EB4933">
      <w:pPr>
        <w:pStyle w:val="NormalWeb"/>
        <w:spacing w:before="0" w:beforeAutospacing="0" w:after="0" w:afterAutospacing="0"/>
        <w:jc w:val="both"/>
        <w:divId w:val="98525094"/>
        <w:rPr>
          <w:sz w:val="20"/>
          <w:szCs w:val="20"/>
        </w:rPr>
      </w:pPr>
      <w:r>
        <w:rPr>
          <w:rStyle w:val="Strong"/>
          <w:sz w:val="20"/>
          <w:szCs w:val="20"/>
        </w:rPr>
        <w:t>D. Changes in Internal Control Over Financial Reporting</w:t>
      </w:r>
    </w:p>
    <w:p w14:paraId="68389275"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5D5780A6" w14:textId="77777777" w:rsidR="00000000" w:rsidRDefault="00EB4933">
      <w:pPr>
        <w:pStyle w:val="NormalWeb"/>
        <w:spacing w:before="0" w:beforeAutospacing="0" w:after="0" w:afterAutospacing="0"/>
        <w:ind w:firstLine="720"/>
        <w:jc w:val="both"/>
        <w:divId w:val="98525094"/>
        <w:rPr>
          <w:sz w:val="20"/>
          <w:szCs w:val="20"/>
        </w:rPr>
      </w:pPr>
      <w:r>
        <w:rPr>
          <w:sz w:val="20"/>
          <w:szCs w:val="20"/>
        </w:rPr>
        <w:t xml:space="preserve">With the exception of the remedial measures taken as discussed above, there were no other changes in our internal control over </w:t>
      </w:r>
      <w:r>
        <w:rPr>
          <w:sz w:val="20"/>
          <w:szCs w:val="20"/>
        </w:rPr>
        <w:t>financial reporting that have materially affected, or are reasonably likely to materially affect, our internal control over financial reporting.</w:t>
      </w:r>
    </w:p>
    <w:p w14:paraId="00EF3A99"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FD80045" w14:textId="77777777">
        <w:trPr>
          <w:divId w:val="98525094"/>
          <w:trHeight w:val="225"/>
          <w:tblCellSpacing w:w="15" w:type="dxa"/>
        </w:trPr>
        <w:tc>
          <w:tcPr>
            <w:tcW w:w="0" w:type="auto"/>
            <w:vAlign w:val="center"/>
            <w:hideMark/>
          </w:tcPr>
          <w:p w14:paraId="74A7AE56" w14:textId="77777777" w:rsidR="00000000" w:rsidRDefault="00EB4933">
            <w:pPr>
              <w:rPr>
                <w:rFonts w:eastAsia="Times New Roman"/>
                <w:sz w:val="20"/>
                <w:szCs w:val="20"/>
              </w:rPr>
            </w:pPr>
            <w:r>
              <w:rPr>
                <w:rFonts w:eastAsia="Times New Roman"/>
                <w:sz w:val="20"/>
                <w:szCs w:val="20"/>
              </w:rPr>
              <w:t> </w:t>
            </w:r>
          </w:p>
        </w:tc>
      </w:tr>
      <w:tr w:rsidR="00000000" w14:paraId="1CAA4213" w14:textId="77777777">
        <w:trPr>
          <w:divId w:val="98525094"/>
          <w:trHeight w:val="225"/>
          <w:tblCellSpacing w:w="15" w:type="dxa"/>
        </w:trPr>
        <w:tc>
          <w:tcPr>
            <w:tcW w:w="0" w:type="auto"/>
            <w:tcBorders>
              <w:bottom w:val="single" w:sz="6" w:space="0" w:color="000000"/>
            </w:tcBorders>
            <w:vAlign w:val="center"/>
            <w:hideMark/>
          </w:tcPr>
          <w:p w14:paraId="7C8F3326" w14:textId="77777777" w:rsidR="00000000" w:rsidRDefault="00EB4933">
            <w:pPr>
              <w:jc w:val="center"/>
              <w:rPr>
                <w:rFonts w:eastAsia="Times New Roman"/>
                <w:sz w:val="20"/>
                <w:szCs w:val="20"/>
              </w:rPr>
            </w:pPr>
            <w:r>
              <w:rPr>
                <w:rFonts w:eastAsia="Times New Roman"/>
                <w:sz w:val="20"/>
                <w:szCs w:val="20"/>
              </w:rPr>
              <w:t>105</w:t>
            </w:r>
          </w:p>
        </w:tc>
      </w:tr>
      <w:tr w:rsidR="00000000" w14:paraId="3557D637" w14:textId="77777777">
        <w:trPr>
          <w:divId w:val="98525094"/>
          <w:trHeight w:val="225"/>
          <w:tblCellSpacing w:w="15" w:type="dxa"/>
        </w:trPr>
        <w:tc>
          <w:tcPr>
            <w:tcW w:w="0" w:type="auto"/>
            <w:vAlign w:val="center"/>
            <w:hideMark/>
          </w:tcPr>
          <w:p w14:paraId="4AB5A3C0" w14:textId="77777777" w:rsidR="00000000" w:rsidRDefault="00EB4933">
            <w:pPr>
              <w:rPr>
                <w:rFonts w:eastAsia="Times New Roman"/>
                <w:sz w:val="20"/>
                <w:szCs w:val="20"/>
              </w:rPr>
            </w:pPr>
          </w:p>
        </w:tc>
      </w:tr>
      <w:tr w:rsidR="00000000" w14:paraId="778272FA" w14:textId="77777777">
        <w:trPr>
          <w:divId w:val="98525094"/>
          <w:trHeight w:val="225"/>
          <w:tblCellSpacing w:w="15" w:type="dxa"/>
        </w:trPr>
        <w:tc>
          <w:tcPr>
            <w:tcW w:w="0" w:type="auto"/>
            <w:vAlign w:val="center"/>
            <w:hideMark/>
          </w:tcPr>
          <w:p w14:paraId="05C1D12E" w14:textId="77777777" w:rsidR="00000000" w:rsidRDefault="00EB4933">
            <w:pPr>
              <w:rPr>
                <w:rFonts w:eastAsia="Times New Roman"/>
                <w:sz w:val="20"/>
                <w:szCs w:val="20"/>
              </w:rPr>
            </w:pPr>
            <w:hyperlink r:id="rId165" w:anchor="toc" w:history="1">
              <w:r>
                <w:rPr>
                  <w:rStyle w:val="Hyperlink"/>
                  <w:rFonts w:eastAsia="Times New Roman"/>
                  <w:i/>
                  <w:iCs/>
                  <w:sz w:val="20"/>
                  <w:szCs w:val="20"/>
                </w:rPr>
                <w:t>Table of Contents</w:t>
              </w:r>
            </w:hyperlink>
          </w:p>
        </w:tc>
      </w:tr>
    </w:tbl>
    <w:p w14:paraId="6281D38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99D0C35" w14:textId="77777777" w:rsidR="00000000" w:rsidRDefault="00EB4933">
      <w:pPr>
        <w:pStyle w:val="NormalWeb"/>
        <w:spacing w:before="0" w:beforeAutospacing="0" w:after="0" w:afterAutospacing="0"/>
        <w:jc w:val="both"/>
        <w:divId w:val="98525094"/>
        <w:rPr>
          <w:sz w:val="20"/>
          <w:szCs w:val="20"/>
        </w:rPr>
      </w:pPr>
      <w:bookmarkStart w:id="21" w:name="i16a"/>
      <w:r>
        <w:rPr>
          <w:rStyle w:val="Strong"/>
          <w:sz w:val="20"/>
          <w:szCs w:val="20"/>
        </w:rPr>
        <w:t>ITEM 16A. AUDIT COMMITTEE FINANCIAL EXPERT</w:t>
      </w:r>
      <w:bookmarkEnd w:id="21"/>
    </w:p>
    <w:p w14:paraId="08EA142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713561D"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board of directors has determined that Mr. Duoguang Bei qualifies as “audit committee financial expert” as defined in Item 16A of Form 20-F. Each of the members of our audit committee satisfies the “independ</w:t>
      </w:r>
      <w:r>
        <w:rPr>
          <w:sz w:val="20"/>
          <w:szCs w:val="20"/>
        </w:rPr>
        <w:t>ence” requirements of Section 303A of the NYSE Rules and Rule 10A-3 under the Exchange Act. See “Item 6. Directors, Senior Management and Employees.”</w:t>
      </w:r>
    </w:p>
    <w:p w14:paraId="5BDB506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7A77BC6" w14:textId="77777777" w:rsidR="00000000" w:rsidRDefault="00EB4933">
      <w:pPr>
        <w:pStyle w:val="NormalWeb"/>
        <w:spacing w:before="0" w:beforeAutospacing="0" w:after="0" w:afterAutospacing="0"/>
        <w:jc w:val="both"/>
        <w:divId w:val="98525094"/>
        <w:rPr>
          <w:sz w:val="20"/>
          <w:szCs w:val="20"/>
        </w:rPr>
      </w:pPr>
      <w:bookmarkStart w:id="22" w:name="i16b"/>
      <w:r>
        <w:rPr>
          <w:rStyle w:val="Strong"/>
          <w:sz w:val="20"/>
          <w:szCs w:val="20"/>
        </w:rPr>
        <w:t>ITEM 16B. CODE OF ETHICS</w:t>
      </w:r>
      <w:bookmarkEnd w:id="22"/>
    </w:p>
    <w:p w14:paraId="3F4408F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017A6E5" w14:textId="77777777" w:rsidR="00000000" w:rsidRDefault="00EB4933">
      <w:pPr>
        <w:pStyle w:val="NormalWeb"/>
        <w:spacing w:before="0" w:beforeAutospacing="0" w:after="0" w:afterAutospacing="0"/>
        <w:ind w:firstLine="675"/>
        <w:jc w:val="both"/>
        <w:divId w:val="98525094"/>
        <w:rPr>
          <w:sz w:val="20"/>
          <w:szCs w:val="20"/>
        </w:rPr>
      </w:pPr>
      <w:r>
        <w:rPr>
          <w:sz w:val="20"/>
          <w:szCs w:val="20"/>
        </w:rPr>
        <w:t>Our board of directors has adopted a code of ethics that applies to our direc</w:t>
      </w:r>
      <w:r>
        <w:rPr>
          <w:sz w:val="20"/>
          <w:szCs w:val="20"/>
        </w:rPr>
        <w:t>tors, officers, employees and agents. We have filed our code of business conduct and ethics as an exhibit to our registration statement on Form F-1 (File No. 333-170368). We hereby undertake to provide to any person without charge, a copy of our code of bu</w:t>
      </w:r>
      <w:r>
        <w:rPr>
          <w:sz w:val="20"/>
          <w:szCs w:val="20"/>
        </w:rPr>
        <w:t>siness conduct and ethics within ten working days after we receive such person’s written request.</w:t>
      </w:r>
    </w:p>
    <w:p w14:paraId="166A728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CB7E4D5" w14:textId="77777777" w:rsidR="00000000" w:rsidRDefault="00EB4933">
      <w:pPr>
        <w:pStyle w:val="NormalWeb"/>
        <w:spacing w:before="0" w:beforeAutospacing="0" w:after="0" w:afterAutospacing="0"/>
        <w:jc w:val="both"/>
        <w:divId w:val="98525094"/>
        <w:rPr>
          <w:sz w:val="20"/>
          <w:szCs w:val="20"/>
        </w:rPr>
      </w:pPr>
      <w:bookmarkStart w:id="23" w:name="i16c"/>
      <w:r>
        <w:rPr>
          <w:rStyle w:val="Strong"/>
          <w:sz w:val="20"/>
          <w:szCs w:val="20"/>
        </w:rPr>
        <w:t>ITEM 16C. PRINCIPAL ACCOUNTANT FEES AND SERVICES</w:t>
      </w:r>
      <w:bookmarkEnd w:id="23"/>
    </w:p>
    <w:p w14:paraId="05D27FA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778971D"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following table sets forth the aggregate fees by categories specified below in connection with certai</w:t>
      </w:r>
      <w:r>
        <w:rPr>
          <w:sz w:val="20"/>
          <w:szCs w:val="20"/>
        </w:rPr>
        <w:t>n professional services rendered by our independent registered public accounting firm for the year ended December 31, 2018 and 2019, respectively. We did not pay any other fees to Pan-China Singapore PAC during the periods indicated below.</w:t>
      </w:r>
    </w:p>
    <w:p w14:paraId="684A2520"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768"/>
        <w:gridCol w:w="120"/>
        <w:gridCol w:w="119"/>
        <w:gridCol w:w="835"/>
        <w:gridCol w:w="119"/>
        <w:gridCol w:w="119"/>
        <w:gridCol w:w="119"/>
        <w:gridCol w:w="835"/>
        <w:gridCol w:w="119"/>
        <w:gridCol w:w="119"/>
        <w:gridCol w:w="119"/>
        <w:gridCol w:w="835"/>
        <w:gridCol w:w="134"/>
      </w:tblGrid>
      <w:tr w:rsidR="00000000" w14:paraId="462A8401" w14:textId="77777777">
        <w:trPr>
          <w:divId w:val="98525094"/>
          <w:trHeight w:val="225"/>
          <w:tblCellSpacing w:w="15" w:type="dxa"/>
        </w:trPr>
        <w:tc>
          <w:tcPr>
            <w:tcW w:w="0" w:type="auto"/>
            <w:vAlign w:val="center"/>
            <w:hideMark/>
          </w:tcPr>
          <w:p w14:paraId="7F7F248C"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BAA0C9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10"/>
            <w:tcBorders>
              <w:bottom w:val="single" w:sz="6" w:space="0" w:color="auto"/>
            </w:tcBorders>
            <w:vAlign w:val="bottom"/>
            <w:hideMark/>
          </w:tcPr>
          <w:p w14:paraId="55B1CEE7" w14:textId="77777777" w:rsidR="00000000" w:rsidRDefault="00EB4933">
            <w:pPr>
              <w:pStyle w:val="NormalWeb"/>
              <w:spacing w:before="0" w:beforeAutospacing="0" w:after="0" w:afterAutospacing="0"/>
              <w:jc w:val="center"/>
              <w:rPr>
                <w:sz w:val="20"/>
                <w:szCs w:val="20"/>
              </w:rPr>
            </w:pPr>
            <w:r>
              <w:rPr>
                <w:rStyle w:val="Strong"/>
                <w:sz w:val="20"/>
                <w:szCs w:val="20"/>
              </w:rPr>
              <w:t>Year Ended</w:t>
            </w:r>
            <w:r>
              <w:rPr>
                <w:rStyle w:val="Strong"/>
                <w:sz w:val="20"/>
                <w:szCs w:val="20"/>
              </w:rPr>
              <w:t xml:space="preserve"> December 31,</w:t>
            </w:r>
          </w:p>
        </w:tc>
        <w:tc>
          <w:tcPr>
            <w:tcW w:w="0" w:type="auto"/>
            <w:noWrap/>
            <w:vAlign w:val="center"/>
            <w:hideMark/>
          </w:tcPr>
          <w:p w14:paraId="215B49CA" w14:textId="77777777" w:rsidR="00000000" w:rsidRDefault="00EB4933">
            <w:pPr>
              <w:pStyle w:val="NormalWeb"/>
              <w:spacing w:before="0" w:beforeAutospacing="0" w:after="0" w:afterAutospacing="0"/>
              <w:rPr>
                <w:sz w:val="20"/>
                <w:szCs w:val="20"/>
              </w:rPr>
            </w:pPr>
            <w:r>
              <w:rPr>
                <w:sz w:val="20"/>
                <w:szCs w:val="20"/>
              </w:rPr>
              <w:t> </w:t>
            </w:r>
          </w:p>
        </w:tc>
      </w:tr>
      <w:tr w:rsidR="00000000" w14:paraId="5AA423A3" w14:textId="77777777">
        <w:trPr>
          <w:divId w:val="98525094"/>
          <w:trHeight w:val="225"/>
          <w:tblCellSpacing w:w="15" w:type="dxa"/>
        </w:trPr>
        <w:tc>
          <w:tcPr>
            <w:tcW w:w="0" w:type="auto"/>
            <w:vAlign w:val="center"/>
            <w:hideMark/>
          </w:tcPr>
          <w:p w14:paraId="6816E7FD"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1CEB5A4"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21B4187"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tcMar>
              <w:top w:w="0" w:type="dxa"/>
              <w:left w:w="0" w:type="dxa"/>
              <w:bottom w:w="15" w:type="dxa"/>
              <w:right w:w="0" w:type="dxa"/>
            </w:tcMar>
            <w:vAlign w:val="center"/>
            <w:hideMark/>
          </w:tcPr>
          <w:p w14:paraId="6AAD8F90"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F69780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2C2DB666"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70BB4071" w14:textId="77777777" w:rsidR="00000000" w:rsidRDefault="00EB4933">
            <w:pPr>
              <w:pStyle w:val="NormalWeb"/>
              <w:spacing w:before="0" w:beforeAutospacing="0" w:after="0" w:afterAutospacing="0"/>
              <w:rPr>
                <w:sz w:val="20"/>
                <w:szCs w:val="20"/>
              </w:rPr>
            </w:pPr>
            <w:r>
              <w:rPr>
                <w:sz w:val="20"/>
                <w:szCs w:val="20"/>
              </w:rPr>
              <w:t> </w:t>
            </w:r>
          </w:p>
        </w:tc>
      </w:tr>
      <w:tr w:rsidR="00000000" w14:paraId="57DE1B91" w14:textId="77777777">
        <w:trPr>
          <w:divId w:val="98525094"/>
          <w:trHeight w:val="225"/>
          <w:tblCellSpacing w:w="15" w:type="dxa"/>
        </w:trPr>
        <w:tc>
          <w:tcPr>
            <w:tcW w:w="0" w:type="auto"/>
            <w:vAlign w:val="center"/>
            <w:hideMark/>
          </w:tcPr>
          <w:p w14:paraId="65F81654"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97D86DA"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5FAB6070" w14:textId="77777777" w:rsidR="00000000" w:rsidRDefault="00EB4933">
            <w:pPr>
              <w:pStyle w:val="NormalWeb"/>
              <w:spacing w:before="0" w:beforeAutospacing="0" w:after="0" w:afterAutospacing="0"/>
              <w:jc w:val="center"/>
              <w:rPr>
                <w:sz w:val="20"/>
                <w:szCs w:val="20"/>
              </w:rPr>
            </w:pPr>
            <w:r>
              <w:rPr>
                <w:rStyle w:val="Strong"/>
                <w:sz w:val="20"/>
                <w:szCs w:val="20"/>
              </w:rPr>
              <w:t>RMB</w:t>
            </w:r>
          </w:p>
        </w:tc>
        <w:tc>
          <w:tcPr>
            <w:tcW w:w="0" w:type="auto"/>
            <w:noWrap/>
            <w:vAlign w:val="center"/>
            <w:hideMark/>
          </w:tcPr>
          <w:p w14:paraId="4C9FA3A5"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355CD8E"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2DBB878B" w14:textId="77777777" w:rsidR="00000000" w:rsidRDefault="00EB4933">
            <w:pPr>
              <w:pStyle w:val="NormalWeb"/>
              <w:spacing w:before="0" w:beforeAutospacing="0" w:after="0" w:afterAutospacing="0"/>
              <w:jc w:val="center"/>
              <w:rPr>
                <w:sz w:val="20"/>
                <w:szCs w:val="20"/>
              </w:rPr>
            </w:pPr>
            <w:r>
              <w:rPr>
                <w:rStyle w:val="Strong"/>
                <w:sz w:val="20"/>
                <w:szCs w:val="20"/>
              </w:rPr>
              <w:t>RMB</w:t>
            </w:r>
          </w:p>
        </w:tc>
        <w:tc>
          <w:tcPr>
            <w:tcW w:w="0" w:type="auto"/>
            <w:noWrap/>
            <w:vAlign w:val="center"/>
            <w:hideMark/>
          </w:tcPr>
          <w:p w14:paraId="0E4BB9DD"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A26090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703474A1" w14:textId="77777777" w:rsidR="00000000" w:rsidRDefault="00EB4933">
            <w:pPr>
              <w:pStyle w:val="NormalWeb"/>
              <w:spacing w:before="0" w:beforeAutospacing="0" w:after="0" w:afterAutospacing="0"/>
              <w:jc w:val="center"/>
              <w:rPr>
                <w:sz w:val="20"/>
                <w:szCs w:val="20"/>
              </w:rPr>
            </w:pPr>
            <w:r>
              <w:rPr>
                <w:rStyle w:val="Strong"/>
                <w:sz w:val="20"/>
                <w:szCs w:val="20"/>
              </w:rPr>
              <w:t>$</w:t>
            </w:r>
          </w:p>
        </w:tc>
        <w:tc>
          <w:tcPr>
            <w:tcW w:w="0" w:type="auto"/>
            <w:noWrap/>
            <w:vAlign w:val="center"/>
            <w:hideMark/>
          </w:tcPr>
          <w:p w14:paraId="276B3BB3" w14:textId="77777777" w:rsidR="00000000" w:rsidRDefault="00EB4933">
            <w:pPr>
              <w:pStyle w:val="NormalWeb"/>
              <w:spacing w:before="0" w:beforeAutospacing="0" w:after="0" w:afterAutospacing="0"/>
              <w:rPr>
                <w:sz w:val="20"/>
                <w:szCs w:val="20"/>
              </w:rPr>
            </w:pPr>
            <w:r>
              <w:rPr>
                <w:sz w:val="20"/>
                <w:szCs w:val="20"/>
              </w:rPr>
              <w:t> </w:t>
            </w:r>
          </w:p>
        </w:tc>
      </w:tr>
      <w:tr w:rsidR="00000000" w14:paraId="11640680" w14:textId="77777777">
        <w:trPr>
          <w:divId w:val="98525094"/>
          <w:trHeight w:val="225"/>
          <w:tblCellSpacing w:w="15" w:type="dxa"/>
        </w:trPr>
        <w:tc>
          <w:tcPr>
            <w:tcW w:w="0" w:type="auto"/>
            <w:vAlign w:val="center"/>
            <w:hideMark/>
          </w:tcPr>
          <w:p w14:paraId="7ED465D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553AC9E"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611F633" w14:textId="77777777" w:rsidR="00000000" w:rsidRDefault="00EB4933">
            <w:pPr>
              <w:rPr>
                <w:sz w:val="20"/>
                <w:szCs w:val="20"/>
              </w:rPr>
            </w:pPr>
          </w:p>
        </w:tc>
        <w:tc>
          <w:tcPr>
            <w:tcW w:w="0" w:type="auto"/>
            <w:noWrap/>
            <w:vAlign w:val="center"/>
            <w:hideMark/>
          </w:tcPr>
          <w:p w14:paraId="5A1EE355"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E0427CA"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6"/>
            <w:vAlign w:val="bottom"/>
            <w:hideMark/>
          </w:tcPr>
          <w:p w14:paraId="30777083" w14:textId="77777777" w:rsidR="00000000" w:rsidRDefault="00EB4933">
            <w:pPr>
              <w:pStyle w:val="NormalWeb"/>
              <w:spacing w:before="0" w:beforeAutospacing="0" w:after="0" w:afterAutospacing="0"/>
              <w:jc w:val="center"/>
              <w:rPr>
                <w:sz w:val="20"/>
                <w:szCs w:val="20"/>
              </w:rPr>
            </w:pPr>
            <w:r>
              <w:rPr>
                <w:rStyle w:val="Strong"/>
                <w:sz w:val="20"/>
                <w:szCs w:val="20"/>
              </w:rPr>
              <w:t>(in Thousands)</w:t>
            </w:r>
          </w:p>
        </w:tc>
        <w:tc>
          <w:tcPr>
            <w:tcW w:w="0" w:type="auto"/>
            <w:noWrap/>
            <w:vAlign w:val="center"/>
            <w:hideMark/>
          </w:tcPr>
          <w:p w14:paraId="71241C71" w14:textId="77777777" w:rsidR="00000000" w:rsidRDefault="00EB4933">
            <w:pPr>
              <w:pStyle w:val="NormalWeb"/>
              <w:spacing w:before="0" w:beforeAutospacing="0" w:after="0" w:afterAutospacing="0"/>
              <w:rPr>
                <w:sz w:val="20"/>
                <w:szCs w:val="20"/>
              </w:rPr>
            </w:pPr>
            <w:r>
              <w:rPr>
                <w:sz w:val="20"/>
                <w:szCs w:val="20"/>
              </w:rPr>
              <w:t> </w:t>
            </w:r>
          </w:p>
        </w:tc>
      </w:tr>
      <w:tr w:rsidR="00000000" w14:paraId="0FA25332" w14:textId="77777777">
        <w:trPr>
          <w:divId w:val="98525094"/>
          <w:trHeight w:val="225"/>
          <w:tblCellSpacing w:w="15" w:type="dxa"/>
        </w:trPr>
        <w:tc>
          <w:tcPr>
            <w:tcW w:w="0" w:type="auto"/>
            <w:shd w:val="clear" w:color="auto" w:fill="CCEEFF"/>
            <w:hideMark/>
          </w:tcPr>
          <w:p w14:paraId="455A2242" w14:textId="77777777" w:rsidR="00000000" w:rsidRDefault="00EB4933">
            <w:pPr>
              <w:pStyle w:val="NormalWeb"/>
              <w:spacing w:before="0" w:beforeAutospacing="0" w:after="0" w:afterAutospacing="0"/>
              <w:rPr>
                <w:sz w:val="20"/>
                <w:szCs w:val="20"/>
              </w:rPr>
            </w:pPr>
            <w:r>
              <w:rPr>
                <w:sz w:val="20"/>
                <w:szCs w:val="20"/>
              </w:rPr>
              <w:t>Audit fees</w:t>
            </w:r>
            <w:r>
              <w:rPr>
                <w:sz w:val="20"/>
                <w:szCs w:val="20"/>
                <w:vertAlign w:val="superscript"/>
              </w:rPr>
              <w:t>(1)</w:t>
            </w:r>
          </w:p>
        </w:tc>
        <w:tc>
          <w:tcPr>
            <w:tcW w:w="50" w:type="pct"/>
            <w:shd w:val="clear" w:color="auto" w:fill="CCEEFF"/>
            <w:noWrap/>
            <w:vAlign w:val="center"/>
            <w:hideMark/>
          </w:tcPr>
          <w:p w14:paraId="2DE11BF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F9977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5354CF6" w14:textId="77777777" w:rsidR="00000000" w:rsidRDefault="00EB4933">
            <w:pPr>
              <w:jc w:val="right"/>
              <w:rPr>
                <w:rFonts w:eastAsia="Times New Roman"/>
                <w:sz w:val="20"/>
                <w:szCs w:val="20"/>
              </w:rPr>
            </w:pPr>
            <w:r>
              <w:rPr>
                <w:rFonts w:eastAsia="Times New Roman"/>
                <w:sz w:val="20"/>
                <w:szCs w:val="20"/>
              </w:rPr>
              <w:t>1,375</w:t>
            </w:r>
          </w:p>
        </w:tc>
        <w:tc>
          <w:tcPr>
            <w:tcW w:w="50" w:type="pct"/>
            <w:shd w:val="clear" w:color="auto" w:fill="CCEEFF"/>
            <w:noWrap/>
            <w:vAlign w:val="center"/>
            <w:hideMark/>
          </w:tcPr>
          <w:p w14:paraId="38D635D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DC1CA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42DD5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7327426" w14:textId="77777777" w:rsidR="00000000" w:rsidRDefault="00EB4933">
            <w:pPr>
              <w:jc w:val="right"/>
              <w:rPr>
                <w:rFonts w:eastAsia="Times New Roman"/>
                <w:sz w:val="20"/>
                <w:szCs w:val="20"/>
              </w:rPr>
            </w:pPr>
            <w:r>
              <w:rPr>
                <w:rFonts w:eastAsia="Times New Roman"/>
                <w:sz w:val="20"/>
                <w:szCs w:val="20"/>
              </w:rPr>
              <w:t>1,392</w:t>
            </w:r>
          </w:p>
        </w:tc>
        <w:tc>
          <w:tcPr>
            <w:tcW w:w="50" w:type="pct"/>
            <w:shd w:val="clear" w:color="auto" w:fill="CCEEFF"/>
            <w:noWrap/>
            <w:vAlign w:val="center"/>
            <w:hideMark/>
          </w:tcPr>
          <w:p w14:paraId="159EC75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5175C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1EFBD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EB191E5" w14:textId="77777777" w:rsidR="00000000" w:rsidRDefault="00EB4933">
            <w:pPr>
              <w:jc w:val="right"/>
              <w:rPr>
                <w:rFonts w:eastAsia="Times New Roman"/>
                <w:sz w:val="20"/>
                <w:szCs w:val="20"/>
              </w:rPr>
            </w:pPr>
            <w:r>
              <w:rPr>
                <w:rFonts w:eastAsia="Times New Roman"/>
                <w:sz w:val="20"/>
                <w:szCs w:val="20"/>
              </w:rPr>
              <w:t>200</w:t>
            </w:r>
          </w:p>
        </w:tc>
        <w:tc>
          <w:tcPr>
            <w:tcW w:w="50" w:type="pct"/>
            <w:shd w:val="clear" w:color="auto" w:fill="CCEEFF"/>
            <w:noWrap/>
            <w:vAlign w:val="center"/>
            <w:hideMark/>
          </w:tcPr>
          <w:p w14:paraId="0D36F003" w14:textId="77777777" w:rsidR="00000000" w:rsidRDefault="00EB4933">
            <w:pPr>
              <w:pStyle w:val="NormalWeb"/>
              <w:spacing w:before="0" w:beforeAutospacing="0" w:after="0" w:afterAutospacing="0"/>
              <w:rPr>
                <w:sz w:val="20"/>
                <w:szCs w:val="20"/>
              </w:rPr>
            </w:pPr>
            <w:r>
              <w:rPr>
                <w:sz w:val="20"/>
                <w:szCs w:val="20"/>
              </w:rPr>
              <w:t> </w:t>
            </w:r>
          </w:p>
        </w:tc>
      </w:tr>
      <w:tr w:rsidR="00000000" w14:paraId="1B588CB4" w14:textId="77777777">
        <w:trPr>
          <w:divId w:val="98525094"/>
          <w:trHeight w:val="225"/>
          <w:tblCellSpacing w:w="15" w:type="dxa"/>
        </w:trPr>
        <w:tc>
          <w:tcPr>
            <w:tcW w:w="0" w:type="auto"/>
            <w:shd w:val="clear" w:color="auto" w:fill="FFFFFF"/>
            <w:hideMark/>
          </w:tcPr>
          <w:p w14:paraId="615E702A" w14:textId="77777777" w:rsidR="00000000" w:rsidRDefault="00EB4933">
            <w:pPr>
              <w:pStyle w:val="NormalWeb"/>
              <w:spacing w:before="0" w:beforeAutospacing="0" w:after="0" w:afterAutospacing="0"/>
              <w:rPr>
                <w:sz w:val="20"/>
                <w:szCs w:val="20"/>
              </w:rPr>
            </w:pPr>
            <w:r>
              <w:rPr>
                <w:sz w:val="20"/>
                <w:szCs w:val="20"/>
              </w:rPr>
              <w:t>Audit-related fees</w:t>
            </w:r>
            <w:r>
              <w:rPr>
                <w:sz w:val="20"/>
                <w:szCs w:val="20"/>
                <w:vertAlign w:val="superscript"/>
              </w:rPr>
              <w:t>(2)</w:t>
            </w:r>
          </w:p>
        </w:tc>
        <w:tc>
          <w:tcPr>
            <w:tcW w:w="50" w:type="pct"/>
            <w:shd w:val="clear" w:color="auto" w:fill="FFFFFF"/>
            <w:noWrap/>
            <w:vAlign w:val="center"/>
            <w:hideMark/>
          </w:tcPr>
          <w:p w14:paraId="7F01F4A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131B5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D0B768C"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BCFB25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F8EF5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02F10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1E5DFF5"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ACD6CE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D6DA6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85025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FB6F561"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8F0722A" w14:textId="77777777" w:rsidR="00000000" w:rsidRDefault="00EB4933">
            <w:pPr>
              <w:pStyle w:val="NormalWeb"/>
              <w:spacing w:before="0" w:beforeAutospacing="0" w:after="0" w:afterAutospacing="0"/>
              <w:rPr>
                <w:sz w:val="20"/>
                <w:szCs w:val="20"/>
              </w:rPr>
            </w:pPr>
            <w:r>
              <w:rPr>
                <w:sz w:val="20"/>
                <w:szCs w:val="20"/>
              </w:rPr>
              <w:t> </w:t>
            </w:r>
          </w:p>
        </w:tc>
      </w:tr>
      <w:tr w:rsidR="00000000" w14:paraId="4B4CC7ED" w14:textId="77777777">
        <w:trPr>
          <w:divId w:val="98525094"/>
          <w:trHeight w:val="225"/>
          <w:tblCellSpacing w:w="15" w:type="dxa"/>
        </w:trPr>
        <w:tc>
          <w:tcPr>
            <w:tcW w:w="0" w:type="auto"/>
            <w:shd w:val="clear" w:color="auto" w:fill="CCEEFF"/>
            <w:hideMark/>
          </w:tcPr>
          <w:p w14:paraId="2F1A87E5" w14:textId="77777777" w:rsidR="00000000" w:rsidRDefault="00EB4933">
            <w:pPr>
              <w:pStyle w:val="NormalWeb"/>
              <w:spacing w:before="0" w:beforeAutospacing="0" w:after="0" w:afterAutospacing="0"/>
              <w:rPr>
                <w:sz w:val="20"/>
                <w:szCs w:val="20"/>
              </w:rPr>
            </w:pPr>
            <w:r>
              <w:rPr>
                <w:sz w:val="20"/>
                <w:szCs w:val="20"/>
              </w:rPr>
              <w:t>Tax fees</w:t>
            </w:r>
            <w:r>
              <w:rPr>
                <w:sz w:val="20"/>
                <w:szCs w:val="20"/>
                <w:vertAlign w:val="superscript"/>
              </w:rPr>
              <w:t>(3)</w:t>
            </w:r>
          </w:p>
        </w:tc>
        <w:tc>
          <w:tcPr>
            <w:tcW w:w="50" w:type="pct"/>
            <w:shd w:val="clear" w:color="auto" w:fill="CCEEFF"/>
            <w:noWrap/>
            <w:vAlign w:val="center"/>
            <w:hideMark/>
          </w:tcPr>
          <w:p w14:paraId="27DC200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C4889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8B9454E"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6A46E2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224CB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E703E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48E219F"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BAC7CA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3796E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A4A2C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506D451"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20BD73A" w14:textId="77777777" w:rsidR="00000000" w:rsidRDefault="00EB4933">
            <w:pPr>
              <w:pStyle w:val="NormalWeb"/>
              <w:spacing w:before="0" w:beforeAutospacing="0" w:after="0" w:afterAutospacing="0"/>
              <w:rPr>
                <w:sz w:val="20"/>
                <w:szCs w:val="20"/>
              </w:rPr>
            </w:pPr>
            <w:r>
              <w:rPr>
                <w:sz w:val="20"/>
                <w:szCs w:val="20"/>
              </w:rPr>
              <w:t> </w:t>
            </w:r>
          </w:p>
        </w:tc>
      </w:tr>
      <w:tr w:rsidR="00000000" w14:paraId="45F91AAF" w14:textId="77777777">
        <w:trPr>
          <w:divId w:val="98525094"/>
          <w:trHeight w:val="225"/>
          <w:tblCellSpacing w:w="15" w:type="dxa"/>
        </w:trPr>
        <w:tc>
          <w:tcPr>
            <w:tcW w:w="0" w:type="auto"/>
            <w:shd w:val="clear" w:color="auto" w:fill="FFFFFF"/>
            <w:hideMark/>
          </w:tcPr>
          <w:p w14:paraId="5B9EB2AD" w14:textId="77777777" w:rsidR="00000000" w:rsidRDefault="00EB4933">
            <w:pPr>
              <w:pStyle w:val="NormalWeb"/>
              <w:spacing w:before="0" w:beforeAutospacing="0" w:after="0" w:afterAutospacing="0"/>
              <w:rPr>
                <w:sz w:val="20"/>
                <w:szCs w:val="20"/>
              </w:rPr>
            </w:pPr>
            <w:r>
              <w:rPr>
                <w:sz w:val="20"/>
                <w:szCs w:val="20"/>
              </w:rPr>
              <w:t>All other fees</w:t>
            </w:r>
            <w:r>
              <w:rPr>
                <w:sz w:val="20"/>
                <w:szCs w:val="20"/>
                <w:vertAlign w:val="superscript"/>
              </w:rPr>
              <w:t>(4)</w:t>
            </w:r>
          </w:p>
        </w:tc>
        <w:tc>
          <w:tcPr>
            <w:tcW w:w="50" w:type="pct"/>
            <w:shd w:val="clear" w:color="auto" w:fill="FFFFFF"/>
            <w:noWrap/>
            <w:vAlign w:val="center"/>
            <w:hideMark/>
          </w:tcPr>
          <w:p w14:paraId="7239800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F2271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ED2C2B9"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685087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A2FEE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1A6BF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0ACC077"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E6077F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E7E7D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B544F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124BF14"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9C3574E" w14:textId="77777777" w:rsidR="00000000" w:rsidRDefault="00EB4933">
            <w:pPr>
              <w:pStyle w:val="NormalWeb"/>
              <w:spacing w:before="0" w:beforeAutospacing="0" w:after="0" w:afterAutospacing="0"/>
              <w:rPr>
                <w:sz w:val="20"/>
                <w:szCs w:val="20"/>
              </w:rPr>
            </w:pPr>
            <w:r>
              <w:rPr>
                <w:sz w:val="20"/>
                <w:szCs w:val="20"/>
              </w:rPr>
              <w:t> </w:t>
            </w:r>
          </w:p>
        </w:tc>
      </w:tr>
    </w:tbl>
    <w:p w14:paraId="00819321" w14:textId="77777777" w:rsidR="00000000" w:rsidRDefault="00EB4933">
      <w:pPr>
        <w:pStyle w:val="NormalWeb"/>
        <w:spacing w:before="0" w:beforeAutospacing="0" w:after="0" w:afterAutospacing="0"/>
        <w:jc w:val="both"/>
        <w:divId w:val="98525094"/>
        <w:rPr>
          <w:sz w:val="20"/>
          <w:szCs w:val="20"/>
        </w:rPr>
      </w:pPr>
      <w:r>
        <w:rPr>
          <w:sz w:val="20"/>
          <w:szCs w:val="20"/>
        </w:rPr>
        <w:t>_________________ </w:t>
      </w:r>
    </w:p>
    <w:p w14:paraId="05F60D84" w14:textId="77777777" w:rsidR="00000000" w:rsidRDefault="00EB4933">
      <w:pPr>
        <w:pStyle w:val="NormalWeb"/>
        <w:spacing w:before="0" w:beforeAutospacing="0" w:after="0" w:afterAutospacing="0"/>
        <w:jc w:val="both"/>
        <w:divId w:val="98525094"/>
        <w:rPr>
          <w:sz w:val="20"/>
          <w:szCs w:val="20"/>
        </w:rPr>
      </w:pPr>
      <w:r>
        <w:rPr>
          <w:sz w:val="20"/>
          <w:szCs w:val="20"/>
        </w:rPr>
        <w:t xml:space="preserve">(1) “Audit fees” </w:t>
      </w:r>
      <w:r>
        <w:rPr>
          <w:sz w:val="20"/>
          <w:szCs w:val="20"/>
        </w:rPr>
        <w:t>means the aggregate fees billed in each of the fiscal years listed for professional services rendered by our independent registered public accounting firm for the audit of our annual financial statements that are normally provided in connection with statut</w:t>
      </w:r>
      <w:r>
        <w:rPr>
          <w:sz w:val="20"/>
          <w:szCs w:val="20"/>
        </w:rPr>
        <w:t>ory and regulatory filings or engagements for those fiscal years.</w:t>
      </w:r>
    </w:p>
    <w:p w14:paraId="4B71411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2DB0746" w14:textId="77777777" w:rsidR="00000000" w:rsidRDefault="00EB4933">
      <w:pPr>
        <w:pStyle w:val="NormalWeb"/>
        <w:spacing w:before="0" w:beforeAutospacing="0" w:after="0" w:afterAutospacing="0"/>
        <w:jc w:val="both"/>
        <w:divId w:val="98525094"/>
        <w:rPr>
          <w:sz w:val="20"/>
          <w:szCs w:val="20"/>
        </w:rPr>
      </w:pPr>
      <w:r>
        <w:rPr>
          <w:sz w:val="20"/>
          <w:szCs w:val="20"/>
        </w:rPr>
        <w:t>(2) “Audit-related fees” means the aggregate fees billed in each of the fiscal years listed for assurance and related services by our independent registered public accounting firm that are</w:t>
      </w:r>
      <w:r>
        <w:rPr>
          <w:sz w:val="20"/>
          <w:szCs w:val="20"/>
        </w:rPr>
        <w:t xml:space="preserve"> reasonably related to the performance of the audit or review of our financial statements and are not reported under “Audit fees.” Services comprising the fees disclosed under category of “Audit-related fees” involve principally general audit-related servi</w:t>
      </w:r>
      <w:r>
        <w:rPr>
          <w:sz w:val="20"/>
          <w:szCs w:val="20"/>
        </w:rPr>
        <w:t>ces for the years ended December 31, 2018 and 2019.</w:t>
      </w:r>
    </w:p>
    <w:p w14:paraId="37B2E2F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4B92193"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xml:space="preserve">(3) “Tax fees” means the aggregate fees billed in each of the fiscal years listed for professional services rendered by our independent registered public accounting firm for tax compliance, tax advice, </w:t>
      </w:r>
      <w:r>
        <w:rPr>
          <w:sz w:val="20"/>
          <w:szCs w:val="20"/>
        </w:rPr>
        <w:t>and tax planning.</w:t>
      </w:r>
    </w:p>
    <w:p w14:paraId="2D49DF1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5FF60C7" w14:textId="77777777" w:rsidR="00000000" w:rsidRDefault="00EB4933">
      <w:pPr>
        <w:pStyle w:val="NormalWeb"/>
        <w:spacing w:before="0" w:beforeAutospacing="0" w:after="0" w:afterAutospacing="0"/>
        <w:jc w:val="both"/>
        <w:divId w:val="98525094"/>
        <w:rPr>
          <w:sz w:val="20"/>
          <w:szCs w:val="20"/>
        </w:rPr>
      </w:pPr>
      <w:r>
        <w:rPr>
          <w:sz w:val="20"/>
          <w:szCs w:val="20"/>
        </w:rPr>
        <w:t>(4) “All other fees” means the aggregate fees billed in each of the fiscal years listed for products and services provided by our independent registered public accounting firm, other than the services reported in the other categories.</w:t>
      </w:r>
    </w:p>
    <w:p w14:paraId="31305E5A"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1B6F260" w14:textId="77777777">
        <w:trPr>
          <w:divId w:val="98525094"/>
          <w:trHeight w:val="225"/>
          <w:tblCellSpacing w:w="15" w:type="dxa"/>
        </w:trPr>
        <w:tc>
          <w:tcPr>
            <w:tcW w:w="0" w:type="auto"/>
            <w:vAlign w:val="center"/>
            <w:hideMark/>
          </w:tcPr>
          <w:p w14:paraId="27A0750B" w14:textId="77777777" w:rsidR="00000000" w:rsidRDefault="00EB4933">
            <w:pPr>
              <w:rPr>
                <w:rFonts w:eastAsia="Times New Roman"/>
                <w:sz w:val="20"/>
                <w:szCs w:val="20"/>
              </w:rPr>
            </w:pPr>
            <w:r>
              <w:rPr>
                <w:rFonts w:eastAsia="Times New Roman"/>
                <w:sz w:val="20"/>
                <w:szCs w:val="20"/>
              </w:rPr>
              <w:t> </w:t>
            </w:r>
          </w:p>
        </w:tc>
      </w:tr>
      <w:tr w:rsidR="00000000" w14:paraId="44B65E00" w14:textId="77777777">
        <w:trPr>
          <w:divId w:val="98525094"/>
          <w:trHeight w:val="225"/>
          <w:tblCellSpacing w:w="15" w:type="dxa"/>
        </w:trPr>
        <w:tc>
          <w:tcPr>
            <w:tcW w:w="0" w:type="auto"/>
            <w:tcBorders>
              <w:bottom w:val="single" w:sz="6" w:space="0" w:color="000000"/>
            </w:tcBorders>
            <w:vAlign w:val="center"/>
            <w:hideMark/>
          </w:tcPr>
          <w:p w14:paraId="727D1C5F" w14:textId="77777777" w:rsidR="00000000" w:rsidRDefault="00EB4933">
            <w:pPr>
              <w:jc w:val="center"/>
              <w:rPr>
                <w:rFonts w:eastAsia="Times New Roman"/>
                <w:sz w:val="20"/>
                <w:szCs w:val="20"/>
              </w:rPr>
            </w:pPr>
            <w:r>
              <w:rPr>
                <w:rFonts w:eastAsia="Times New Roman"/>
                <w:sz w:val="20"/>
                <w:szCs w:val="20"/>
              </w:rPr>
              <w:t>106</w:t>
            </w:r>
          </w:p>
        </w:tc>
      </w:tr>
      <w:tr w:rsidR="00000000" w14:paraId="0E8FB932" w14:textId="77777777">
        <w:trPr>
          <w:divId w:val="98525094"/>
          <w:trHeight w:val="225"/>
          <w:tblCellSpacing w:w="15" w:type="dxa"/>
        </w:trPr>
        <w:tc>
          <w:tcPr>
            <w:tcW w:w="0" w:type="auto"/>
            <w:vAlign w:val="center"/>
            <w:hideMark/>
          </w:tcPr>
          <w:p w14:paraId="2340F8A6" w14:textId="77777777" w:rsidR="00000000" w:rsidRDefault="00EB4933">
            <w:pPr>
              <w:rPr>
                <w:rFonts w:eastAsia="Times New Roman"/>
                <w:sz w:val="20"/>
                <w:szCs w:val="20"/>
              </w:rPr>
            </w:pPr>
          </w:p>
        </w:tc>
      </w:tr>
      <w:tr w:rsidR="00000000" w14:paraId="03E91F56" w14:textId="77777777">
        <w:trPr>
          <w:divId w:val="98525094"/>
          <w:trHeight w:val="225"/>
          <w:tblCellSpacing w:w="15" w:type="dxa"/>
        </w:trPr>
        <w:tc>
          <w:tcPr>
            <w:tcW w:w="0" w:type="auto"/>
            <w:vAlign w:val="center"/>
            <w:hideMark/>
          </w:tcPr>
          <w:p w14:paraId="3AC0722E" w14:textId="77777777" w:rsidR="00000000" w:rsidRDefault="00EB4933">
            <w:pPr>
              <w:rPr>
                <w:rFonts w:eastAsia="Times New Roman"/>
                <w:sz w:val="20"/>
                <w:szCs w:val="20"/>
              </w:rPr>
            </w:pPr>
            <w:hyperlink r:id="rId166" w:anchor="toc" w:history="1">
              <w:r>
                <w:rPr>
                  <w:rStyle w:val="Hyperlink"/>
                  <w:rFonts w:eastAsia="Times New Roman"/>
                  <w:i/>
                  <w:iCs/>
                  <w:sz w:val="20"/>
                  <w:szCs w:val="20"/>
                </w:rPr>
                <w:t>Table of Contents</w:t>
              </w:r>
            </w:hyperlink>
          </w:p>
        </w:tc>
      </w:tr>
    </w:tbl>
    <w:p w14:paraId="2163EAC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1339C08"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audit committee of our board of directors is directly responsible for the appointment, retention, evaluation, compensation, oversight and termination of the work of the independent au</w:t>
      </w:r>
      <w:r>
        <w:rPr>
          <w:sz w:val="20"/>
          <w:szCs w:val="20"/>
        </w:rPr>
        <w:t>ditors employed by our company. Pursuant to the audit committee charter adopted by the board of directors on November 4, 2010, the committee has the authority and responsibility to appoint, retain and terminate our independent auditors and has the sole aut</w:t>
      </w:r>
      <w:r>
        <w:rPr>
          <w:sz w:val="20"/>
          <w:szCs w:val="20"/>
        </w:rPr>
        <w:t>hority to pre-approve any audit and non-audit services, including tax services, to be provided by our independent auditors. In addition, the audit committee has the power to pre-approve the hiring of any employee or former employee of the independent audit</w:t>
      </w:r>
      <w:r>
        <w:rPr>
          <w:sz w:val="20"/>
          <w:szCs w:val="20"/>
        </w:rPr>
        <w:t>ors who was a member of our company’s audit team during the preceding two fiscal years, or the hiring of any employee or former employee of the independent auditors (within the preceding two fiscal years) for a senior position within our company, regardles</w:t>
      </w:r>
      <w:r>
        <w:rPr>
          <w:sz w:val="20"/>
          <w:szCs w:val="20"/>
        </w:rPr>
        <w:t>s of whether that person was a member of our company’s audit team.</w:t>
      </w:r>
    </w:p>
    <w:p w14:paraId="03F5A56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1D7AA6E" w14:textId="77777777" w:rsidR="00000000" w:rsidRDefault="00EB4933">
      <w:pPr>
        <w:pStyle w:val="NormalWeb"/>
        <w:spacing w:before="0" w:beforeAutospacing="0" w:after="0" w:afterAutospacing="0"/>
        <w:jc w:val="both"/>
        <w:divId w:val="98525094"/>
        <w:rPr>
          <w:sz w:val="20"/>
          <w:szCs w:val="20"/>
        </w:rPr>
      </w:pPr>
      <w:bookmarkStart w:id="24" w:name="i16d"/>
      <w:r>
        <w:rPr>
          <w:rStyle w:val="Strong"/>
          <w:sz w:val="20"/>
          <w:szCs w:val="20"/>
        </w:rPr>
        <w:t>ITEM 16D. EXEMPTIONS FROM THE LISTING STANDARDS FOR AUDIT COMMITTEES</w:t>
      </w:r>
      <w:bookmarkEnd w:id="24"/>
    </w:p>
    <w:p w14:paraId="49B1E60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8D33B05" w14:textId="77777777" w:rsidR="00000000" w:rsidRDefault="00EB4933">
      <w:pPr>
        <w:pStyle w:val="NormalWeb"/>
        <w:spacing w:before="0" w:beforeAutospacing="0" w:after="0" w:afterAutospacing="0"/>
        <w:ind w:firstLine="675"/>
        <w:jc w:val="both"/>
        <w:divId w:val="98525094"/>
        <w:rPr>
          <w:sz w:val="20"/>
          <w:szCs w:val="20"/>
        </w:rPr>
      </w:pPr>
      <w:r>
        <w:rPr>
          <w:sz w:val="20"/>
          <w:szCs w:val="20"/>
        </w:rPr>
        <w:t>Not applicable.</w:t>
      </w:r>
    </w:p>
    <w:p w14:paraId="6A8C056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8B94C44" w14:textId="77777777" w:rsidR="00000000" w:rsidRDefault="00EB4933">
      <w:pPr>
        <w:pStyle w:val="NormalWeb"/>
        <w:spacing w:before="0" w:beforeAutospacing="0" w:after="0" w:afterAutospacing="0"/>
        <w:jc w:val="both"/>
        <w:divId w:val="98525094"/>
        <w:rPr>
          <w:sz w:val="20"/>
          <w:szCs w:val="20"/>
        </w:rPr>
      </w:pPr>
      <w:bookmarkStart w:id="25" w:name="i16e"/>
      <w:r>
        <w:rPr>
          <w:rStyle w:val="Strong"/>
          <w:sz w:val="20"/>
          <w:szCs w:val="20"/>
        </w:rPr>
        <w:t>ITEM 16E. PURCHASES OF EQUITY SECURITIES BY THE ISSUER AND AFFILIATED PURCHASERS</w:t>
      </w:r>
      <w:bookmarkEnd w:id="25"/>
    </w:p>
    <w:p w14:paraId="17AF977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6532E2A" w14:textId="77777777" w:rsidR="00000000" w:rsidRDefault="00EB4933">
      <w:pPr>
        <w:pStyle w:val="NormalWeb"/>
        <w:spacing w:before="0" w:beforeAutospacing="0" w:after="0" w:afterAutospacing="0"/>
        <w:ind w:firstLine="675"/>
        <w:jc w:val="both"/>
        <w:divId w:val="98525094"/>
        <w:rPr>
          <w:sz w:val="20"/>
          <w:szCs w:val="20"/>
        </w:rPr>
      </w:pPr>
      <w:r>
        <w:rPr>
          <w:sz w:val="20"/>
          <w:szCs w:val="20"/>
        </w:rPr>
        <w:t>Not applicable.</w:t>
      </w:r>
    </w:p>
    <w:p w14:paraId="001ECAF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85E1B8F" w14:textId="77777777" w:rsidR="00000000" w:rsidRDefault="00EB4933">
      <w:pPr>
        <w:pStyle w:val="NormalWeb"/>
        <w:spacing w:before="0" w:beforeAutospacing="0" w:after="0" w:afterAutospacing="0"/>
        <w:jc w:val="both"/>
        <w:divId w:val="98525094"/>
        <w:rPr>
          <w:sz w:val="20"/>
          <w:szCs w:val="20"/>
        </w:rPr>
      </w:pPr>
      <w:bookmarkStart w:id="26" w:name="i16f"/>
      <w:r>
        <w:rPr>
          <w:rStyle w:val="Strong"/>
          <w:sz w:val="20"/>
          <w:szCs w:val="20"/>
        </w:rPr>
        <w:t>ITEM 16F. CHANGE IN REGISTRANT’S CERTIFYING ACCOUNTANT</w:t>
      </w:r>
      <w:bookmarkEnd w:id="26"/>
    </w:p>
    <w:p w14:paraId="0D541A0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E76BDE1" w14:textId="77777777" w:rsidR="00000000" w:rsidRDefault="00EB4933">
      <w:pPr>
        <w:pStyle w:val="NormalWeb"/>
        <w:spacing w:before="0" w:beforeAutospacing="0" w:after="0" w:afterAutospacing="0"/>
        <w:ind w:firstLine="675"/>
        <w:jc w:val="both"/>
        <w:divId w:val="98525094"/>
        <w:rPr>
          <w:sz w:val="20"/>
          <w:szCs w:val="20"/>
        </w:rPr>
      </w:pPr>
      <w:r>
        <w:rPr>
          <w:sz w:val="20"/>
          <w:szCs w:val="20"/>
        </w:rPr>
        <w:t>Effective June 4, 2020, the Company dismissed the former auditors Marcum Bernstein &amp; Pinchuk LLP a</w:t>
      </w:r>
      <w:r>
        <w:rPr>
          <w:sz w:val="20"/>
          <w:szCs w:val="20"/>
        </w:rPr>
        <w:t>nd appointed Pan-China Singapore PAC as the successor auditor. In connection therewith, the Company provides that during the Company’s fiscal years ended December 31, 2018 and 2017 and through the subsequent interim period on or prior to the resignation of</w:t>
      </w:r>
      <w:r>
        <w:rPr>
          <w:sz w:val="20"/>
          <w:szCs w:val="20"/>
        </w:rPr>
        <w:t xml:space="preserve"> the former auditors: (a) there were no disagreements between the Company and the former auditors on any matter of accounting principles or practices, financial statement disclosure or auditing scope or procedure, which disagreement, if not resolved to the</w:t>
      </w:r>
      <w:r>
        <w:rPr>
          <w:sz w:val="20"/>
          <w:szCs w:val="20"/>
        </w:rPr>
        <w:t xml:space="preserve"> satisfaction of the former accountant, would have caused it to make reference to the subject matter of the disagreement in connection with its report; and (b) no reportable events as set forth in Item 16F(a)(1)(v)(A) through (D) of Form 20-F have occurred</w:t>
      </w:r>
      <w:r>
        <w:rPr>
          <w:sz w:val="20"/>
          <w:szCs w:val="20"/>
        </w:rPr>
        <w:t>.</w:t>
      </w:r>
    </w:p>
    <w:p w14:paraId="5C5F43F1"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4DBE6145" w14:textId="77777777" w:rsidR="00000000" w:rsidRDefault="00EB4933">
      <w:pPr>
        <w:pStyle w:val="NormalWeb"/>
        <w:spacing w:before="0" w:beforeAutospacing="0" w:after="0" w:afterAutospacing="0"/>
        <w:ind w:firstLine="675"/>
        <w:jc w:val="both"/>
        <w:divId w:val="98525094"/>
        <w:rPr>
          <w:sz w:val="20"/>
          <w:szCs w:val="20"/>
        </w:rPr>
      </w:pPr>
      <w:r>
        <w:rPr>
          <w:sz w:val="20"/>
          <w:szCs w:val="20"/>
        </w:rPr>
        <w:t>Effective October 28, 2020, the Company dismissed Pan-China Singapore PAC and appointed Audit Alliance LLC as the successor auditor. In connection therewith, the Company provides that from June 4, 2020, the date of engagement of Pan-China Singapore PAC</w:t>
      </w:r>
      <w:r>
        <w:rPr>
          <w:sz w:val="20"/>
          <w:szCs w:val="20"/>
        </w:rPr>
        <w:t xml:space="preserve"> through the subsequent interim period on or prior to the dismissal of Pan-China Singapore PAC, (a) there were no disagreements between the Company and the former auditors on any matter of accounting principles or practices, financial statement disclosure </w:t>
      </w:r>
      <w:r>
        <w:rPr>
          <w:sz w:val="20"/>
          <w:szCs w:val="20"/>
        </w:rPr>
        <w:t>or auditing scope or procedure, which disagreement, if not resolved to the satisfaction of the former accountant, would have caused it to make reference to the subject matter of the disagreement in connection with its report; and (b) no reportable events a</w:t>
      </w:r>
      <w:r>
        <w:rPr>
          <w:sz w:val="20"/>
          <w:szCs w:val="20"/>
        </w:rPr>
        <w:t>s set forth in Item 16F(a)(1)(v)(A) through (D) of Form 20-F have occurred.</w:t>
      </w:r>
    </w:p>
    <w:p w14:paraId="1BA6836A"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5E0C29D6" w14:textId="77777777" w:rsidR="00000000" w:rsidRDefault="00EB4933">
      <w:pPr>
        <w:pStyle w:val="NormalWeb"/>
        <w:spacing w:before="0" w:beforeAutospacing="0" w:after="0" w:afterAutospacing="0"/>
        <w:jc w:val="both"/>
        <w:divId w:val="98525094"/>
        <w:rPr>
          <w:sz w:val="20"/>
          <w:szCs w:val="20"/>
        </w:rPr>
      </w:pPr>
      <w:bookmarkStart w:id="27" w:name="i16g"/>
      <w:r>
        <w:rPr>
          <w:rStyle w:val="Strong"/>
          <w:sz w:val="20"/>
          <w:szCs w:val="20"/>
        </w:rPr>
        <w:t>ITEM 16G. CORPORATE GOVERNANCE</w:t>
      </w:r>
      <w:bookmarkEnd w:id="27"/>
    </w:p>
    <w:p w14:paraId="13ADD6A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F108B54" w14:textId="77777777" w:rsidR="00000000" w:rsidRDefault="00EB4933">
      <w:pPr>
        <w:pStyle w:val="NormalWeb"/>
        <w:spacing w:before="0" w:beforeAutospacing="0" w:after="0" w:afterAutospacing="0"/>
        <w:jc w:val="both"/>
        <w:divId w:val="98525094"/>
        <w:rPr>
          <w:sz w:val="20"/>
          <w:szCs w:val="20"/>
        </w:rPr>
      </w:pPr>
      <w:r>
        <w:rPr>
          <w:rStyle w:val="Strong"/>
          <w:sz w:val="20"/>
          <w:szCs w:val="20"/>
        </w:rPr>
        <w:t>NYSE American Company Guide and Home Country Laws</w:t>
      </w:r>
    </w:p>
    <w:p w14:paraId="08BDD40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57B16EE" w14:textId="77777777" w:rsidR="00000000" w:rsidRDefault="00EB4933">
      <w:pPr>
        <w:pStyle w:val="NormalWeb"/>
        <w:spacing w:before="0" w:beforeAutospacing="0" w:after="0" w:afterAutospacing="0"/>
        <w:ind w:firstLine="675"/>
        <w:jc w:val="both"/>
        <w:divId w:val="98525094"/>
        <w:rPr>
          <w:sz w:val="20"/>
          <w:szCs w:val="20"/>
        </w:rPr>
      </w:pPr>
      <w:r>
        <w:rPr>
          <w:sz w:val="20"/>
          <w:szCs w:val="20"/>
        </w:rPr>
        <w:lastRenderedPageBreak/>
        <w:t>We are a foreign private issuer with our ADSs listed on the NYSE American. Section 110 of the</w:t>
      </w:r>
      <w:r>
        <w:rPr>
          <w:sz w:val="20"/>
          <w:szCs w:val="20"/>
        </w:rPr>
        <w:t xml:space="preserve"> NYSE American Company Guide permits NYSE American to consider the laws, customs and practices of foreign private issuers like us in relaxing certain NYSE American corporate governance requirements, and to grant exemptions from NYSE MKT corporate governanc</w:t>
      </w:r>
      <w:r>
        <w:rPr>
          <w:sz w:val="20"/>
          <w:szCs w:val="20"/>
        </w:rPr>
        <w:t xml:space="preserve">e requirements on these considerations. A company seeking relief under these provisions is required to provide written certification from independent local counsel that the non-complying practice is not prohibited by home country law. A description of the </w:t>
      </w:r>
      <w:r>
        <w:rPr>
          <w:sz w:val="20"/>
          <w:szCs w:val="20"/>
        </w:rPr>
        <w:t>significant ways in which our governance practices different from those followed by domestic companies pursuant to NYSE American corporate governance standards is as follows:</w:t>
      </w:r>
    </w:p>
    <w:p w14:paraId="0E2BB03C"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45"/>
        <w:gridCol w:w="8815"/>
      </w:tblGrid>
      <w:tr w:rsidR="00000000" w14:paraId="0205FB67" w14:textId="77777777">
        <w:trPr>
          <w:divId w:val="98525094"/>
          <w:trHeight w:val="225"/>
          <w:tblCellSpacing w:w="15" w:type="dxa"/>
        </w:trPr>
        <w:tc>
          <w:tcPr>
            <w:tcW w:w="200" w:type="pct"/>
            <w:hideMark/>
          </w:tcPr>
          <w:p w14:paraId="3D14A65E" w14:textId="77777777" w:rsidR="00000000" w:rsidRDefault="00EB4933">
            <w:pPr>
              <w:pStyle w:val="NormalWeb"/>
              <w:spacing w:before="0" w:beforeAutospacing="0" w:after="0" w:afterAutospacing="0"/>
              <w:jc w:val="center"/>
              <w:rPr>
                <w:sz w:val="20"/>
                <w:szCs w:val="20"/>
              </w:rPr>
            </w:pPr>
            <w:r>
              <w:rPr>
                <w:sz w:val="20"/>
                <w:szCs w:val="20"/>
              </w:rPr>
              <w:t>-</w:t>
            </w:r>
          </w:p>
        </w:tc>
        <w:tc>
          <w:tcPr>
            <w:tcW w:w="0" w:type="auto"/>
            <w:hideMark/>
          </w:tcPr>
          <w:p w14:paraId="5C3F434E" w14:textId="77777777" w:rsidR="00000000" w:rsidRDefault="00EB4933">
            <w:pPr>
              <w:pStyle w:val="NormalWeb"/>
              <w:spacing w:before="0" w:beforeAutospacing="0" w:after="0" w:afterAutospacing="0"/>
              <w:jc w:val="both"/>
              <w:rPr>
                <w:sz w:val="20"/>
                <w:szCs w:val="20"/>
              </w:rPr>
            </w:pPr>
            <w:r>
              <w:rPr>
                <w:sz w:val="20"/>
                <w:szCs w:val="20"/>
              </w:rPr>
              <w:t>Independent Directors: U.S. domestic listed companies must have a majority of</w:t>
            </w:r>
            <w:r>
              <w:rPr>
                <w:sz w:val="20"/>
                <w:szCs w:val="20"/>
              </w:rPr>
              <w:t xml:space="preserve"> independent directors. Under the laws of Cayman Islands, we are not required to have a majority of our directors as independent directors. Of our four (4) directors, two are independent directors.</w:t>
            </w:r>
          </w:p>
        </w:tc>
      </w:tr>
      <w:tr w:rsidR="00000000" w14:paraId="2EA28774" w14:textId="77777777">
        <w:trPr>
          <w:divId w:val="98525094"/>
          <w:trHeight w:val="225"/>
          <w:tblCellSpacing w:w="15" w:type="dxa"/>
        </w:trPr>
        <w:tc>
          <w:tcPr>
            <w:tcW w:w="0" w:type="auto"/>
            <w:vAlign w:val="center"/>
            <w:hideMark/>
          </w:tcPr>
          <w:p w14:paraId="3A8A5FC2"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98857F0"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89E79F3" w14:textId="77777777">
        <w:trPr>
          <w:divId w:val="98525094"/>
          <w:trHeight w:val="225"/>
          <w:tblCellSpacing w:w="15" w:type="dxa"/>
        </w:trPr>
        <w:tc>
          <w:tcPr>
            <w:tcW w:w="0" w:type="auto"/>
            <w:hideMark/>
          </w:tcPr>
          <w:p w14:paraId="2C332AE2" w14:textId="77777777" w:rsidR="00000000" w:rsidRDefault="00EB4933">
            <w:pPr>
              <w:pStyle w:val="NormalWeb"/>
              <w:spacing w:before="0" w:beforeAutospacing="0" w:after="0" w:afterAutospacing="0"/>
              <w:jc w:val="center"/>
              <w:rPr>
                <w:sz w:val="20"/>
                <w:szCs w:val="20"/>
              </w:rPr>
            </w:pPr>
            <w:r>
              <w:rPr>
                <w:sz w:val="20"/>
                <w:szCs w:val="20"/>
              </w:rPr>
              <w:t>-</w:t>
            </w:r>
          </w:p>
        </w:tc>
        <w:tc>
          <w:tcPr>
            <w:tcW w:w="0" w:type="auto"/>
            <w:hideMark/>
          </w:tcPr>
          <w:p w14:paraId="4200ED5A" w14:textId="77777777" w:rsidR="00000000" w:rsidRDefault="00EB4933">
            <w:pPr>
              <w:pStyle w:val="NormalWeb"/>
              <w:spacing w:before="0" w:beforeAutospacing="0" w:after="0" w:afterAutospacing="0"/>
              <w:jc w:val="both"/>
              <w:rPr>
                <w:sz w:val="20"/>
                <w:szCs w:val="20"/>
              </w:rPr>
            </w:pPr>
            <w:r>
              <w:rPr>
                <w:sz w:val="20"/>
                <w:szCs w:val="20"/>
              </w:rPr>
              <w:t>Audit Committee: U.S. domestic listed companies must have an audit committee of at least three (3) members. These requirements differ from the Companies Law of the Cayman Islands. We currently have two (2) members, all of whom are independent directors.</w:t>
            </w:r>
          </w:p>
        </w:tc>
      </w:tr>
      <w:tr w:rsidR="00000000" w14:paraId="5CC2FD76" w14:textId="77777777">
        <w:trPr>
          <w:divId w:val="98525094"/>
          <w:trHeight w:val="225"/>
          <w:tblCellSpacing w:w="15" w:type="dxa"/>
        </w:trPr>
        <w:tc>
          <w:tcPr>
            <w:tcW w:w="0" w:type="auto"/>
            <w:vAlign w:val="center"/>
            <w:hideMark/>
          </w:tcPr>
          <w:p w14:paraId="32B93A77"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0704C33F"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605C9218" w14:textId="77777777">
        <w:trPr>
          <w:divId w:val="98525094"/>
          <w:trHeight w:val="225"/>
          <w:tblCellSpacing w:w="15" w:type="dxa"/>
        </w:trPr>
        <w:tc>
          <w:tcPr>
            <w:tcW w:w="0" w:type="auto"/>
            <w:hideMark/>
          </w:tcPr>
          <w:p w14:paraId="3F826CD6" w14:textId="77777777" w:rsidR="00000000" w:rsidRDefault="00EB4933">
            <w:pPr>
              <w:pStyle w:val="NormalWeb"/>
              <w:spacing w:before="0" w:beforeAutospacing="0" w:after="0" w:afterAutospacing="0"/>
              <w:jc w:val="center"/>
              <w:rPr>
                <w:sz w:val="20"/>
                <w:szCs w:val="20"/>
              </w:rPr>
            </w:pPr>
            <w:r>
              <w:rPr>
                <w:sz w:val="20"/>
                <w:szCs w:val="20"/>
              </w:rPr>
              <w:t>-</w:t>
            </w:r>
          </w:p>
        </w:tc>
        <w:tc>
          <w:tcPr>
            <w:tcW w:w="0" w:type="auto"/>
            <w:hideMark/>
          </w:tcPr>
          <w:p w14:paraId="099626D6" w14:textId="77777777" w:rsidR="00000000" w:rsidRDefault="00EB4933">
            <w:pPr>
              <w:pStyle w:val="NormalWeb"/>
              <w:spacing w:before="0" w:beforeAutospacing="0" w:after="0" w:afterAutospacing="0"/>
              <w:jc w:val="both"/>
              <w:rPr>
                <w:sz w:val="20"/>
                <w:szCs w:val="20"/>
              </w:rPr>
            </w:pPr>
            <w:r>
              <w:rPr>
                <w:sz w:val="20"/>
                <w:szCs w:val="20"/>
              </w:rPr>
              <w:t>Dissemination: Section 623 of the NYSE American Company Guide requires that the company to prepare and disseminate its interim/quarterly (unaudited) statements to its shareholders. We are a foreign private issuer and under the laws of the Cayman Isla</w:t>
            </w:r>
            <w:r>
              <w:rPr>
                <w:sz w:val="20"/>
                <w:szCs w:val="20"/>
              </w:rPr>
              <w:t>nds, we are not required to prepare and disseminate our interim/quarterly (unaudited) statements to our shareholders. However, we will continue to submit to the SEC on a Form 6-K our interim balance sheet as of the end of our second fiscal quarter, and a s</w:t>
            </w:r>
            <w:r>
              <w:rPr>
                <w:sz w:val="20"/>
                <w:szCs w:val="20"/>
              </w:rPr>
              <w:t>emi-annual income statement that covers our first two fiscal quarters as required under the NYSE American Company Guide.</w:t>
            </w:r>
          </w:p>
        </w:tc>
      </w:tr>
      <w:tr w:rsidR="00000000" w14:paraId="50AF28A7" w14:textId="77777777">
        <w:trPr>
          <w:divId w:val="98525094"/>
          <w:trHeight w:val="225"/>
          <w:tblCellSpacing w:w="15" w:type="dxa"/>
        </w:trPr>
        <w:tc>
          <w:tcPr>
            <w:tcW w:w="0" w:type="auto"/>
            <w:vAlign w:val="center"/>
            <w:hideMark/>
          </w:tcPr>
          <w:p w14:paraId="5A5D7EF4"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4FDC477B"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25BA666" w14:textId="77777777">
        <w:trPr>
          <w:divId w:val="98525094"/>
          <w:trHeight w:val="225"/>
          <w:tblCellSpacing w:w="15" w:type="dxa"/>
        </w:trPr>
        <w:tc>
          <w:tcPr>
            <w:tcW w:w="0" w:type="auto"/>
            <w:hideMark/>
          </w:tcPr>
          <w:p w14:paraId="6AB768E1" w14:textId="77777777" w:rsidR="00000000" w:rsidRDefault="00EB4933">
            <w:pPr>
              <w:pStyle w:val="NormalWeb"/>
              <w:spacing w:before="0" w:beforeAutospacing="0" w:after="0" w:afterAutospacing="0"/>
              <w:jc w:val="center"/>
              <w:rPr>
                <w:sz w:val="20"/>
                <w:szCs w:val="20"/>
              </w:rPr>
            </w:pPr>
            <w:r>
              <w:rPr>
                <w:sz w:val="20"/>
                <w:szCs w:val="20"/>
              </w:rPr>
              <w:t>-</w:t>
            </w:r>
          </w:p>
        </w:tc>
        <w:tc>
          <w:tcPr>
            <w:tcW w:w="0" w:type="auto"/>
            <w:hideMark/>
          </w:tcPr>
          <w:p w14:paraId="193F7441" w14:textId="77777777" w:rsidR="00000000" w:rsidRDefault="00EB4933">
            <w:pPr>
              <w:pStyle w:val="NormalWeb"/>
              <w:spacing w:before="0" w:beforeAutospacing="0" w:after="0" w:afterAutospacing="0"/>
              <w:jc w:val="both"/>
              <w:rPr>
                <w:sz w:val="20"/>
                <w:szCs w:val="20"/>
              </w:rPr>
            </w:pPr>
            <w:r>
              <w:rPr>
                <w:sz w:val="20"/>
                <w:szCs w:val="20"/>
              </w:rPr>
              <w:t>Shareholder Approval Requirement: Sections 711-713 of the NYSE American Company Guide require shareholder approval prior to an issuance of securities in connection with: (i) the acquisition of the stock or assets of another company; (ii) equity-based compe</w:t>
            </w:r>
            <w:r>
              <w:rPr>
                <w:sz w:val="20"/>
                <w:szCs w:val="20"/>
              </w:rPr>
              <w:t>nsation of officers, directors, employees or consultants; (iii) a change of control; and (iv) private placements. Under the laws of the Cayman Islands, we are not required to solicit shareholder approval of stock plans, including those in which our officer</w:t>
            </w:r>
            <w:r>
              <w:rPr>
                <w:sz w:val="20"/>
                <w:szCs w:val="20"/>
              </w:rPr>
              <w:t>s or directors may participate; stock issuances that will result in a change in control; the issuance of our stock in related party transactions or other transactions in which we may issue 20% or more of our outstanding shares; or, below market issuances o</w:t>
            </w:r>
            <w:r>
              <w:rPr>
                <w:sz w:val="20"/>
                <w:szCs w:val="20"/>
              </w:rPr>
              <w:t xml:space="preserve">f20% or more of our outstanding shares to any person. </w:t>
            </w:r>
          </w:p>
        </w:tc>
      </w:tr>
    </w:tbl>
    <w:p w14:paraId="010B6728"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E427BE4" w14:textId="77777777">
        <w:trPr>
          <w:divId w:val="98525094"/>
          <w:trHeight w:val="225"/>
          <w:tblCellSpacing w:w="15" w:type="dxa"/>
        </w:trPr>
        <w:tc>
          <w:tcPr>
            <w:tcW w:w="0" w:type="auto"/>
            <w:vAlign w:val="center"/>
            <w:hideMark/>
          </w:tcPr>
          <w:p w14:paraId="2D8123AD" w14:textId="77777777" w:rsidR="00000000" w:rsidRDefault="00EB4933">
            <w:pPr>
              <w:rPr>
                <w:rFonts w:eastAsia="Times New Roman"/>
                <w:sz w:val="20"/>
                <w:szCs w:val="20"/>
              </w:rPr>
            </w:pPr>
            <w:r>
              <w:rPr>
                <w:rFonts w:eastAsia="Times New Roman"/>
                <w:sz w:val="20"/>
                <w:szCs w:val="20"/>
              </w:rPr>
              <w:t> </w:t>
            </w:r>
          </w:p>
        </w:tc>
      </w:tr>
      <w:tr w:rsidR="00000000" w14:paraId="40437ACC" w14:textId="77777777">
        <w:trPr>
          <w:divId w:val="98525094"/>
          <w:trHeight w:val="225"/>
          <w:tblCellSpacing w:w="15" w:type="dxa"/>
        </w:trPr>
        <w:tc>
          <w:tcPr>
            <w:tcW w:w="0" w:type="auto"/>
            <w:tcBorders>
              <w:bottom w:val="single" w:sz="6" w:space="0" w:color="000000"/>
            </w:tcBorders>
            <w:vAlign w:val="center"/>
            <w:hideMark/>
          </w:tcPr>
          <w:p w14:paraId="6797A936" w14:textId="77777777" w:rsidR="00000000" w:rsidRDefault="00EB4933">
            <w:pPr>
              <w:jc w:val="center"/>
              <w:rPr>
                <w:rFonts w:eastAsia="Times New Roman"/>
                <w:sz w:val="20"/>
                <w:szCs w:val="20"/>
              </w:rPr>
            </w:pPr>
            <w:r>
              <w:rPr>
                <w:rFonts w:eastAsia="Times New Roman"/>
                <w:sz w:val="20"/>
                <w:szCs w:val="20"/>
              </w:rPr>
              <w:t>107</w:t>
            </w:r>
          </w:p>
        </w:tc>
      </w:tr>
      <w:tr w:rsidR="00000000" w14:paraId="37396CB6" w14:textId="77777777">
        <w:trPr>
          <w:divId w:val="98525094"/>
          <w:trHeight w:val="225"/>
          <w:tblCellSpacing w:w="15" w:type="dxa"/>
        </w:trPr>
        <w:tc>
          <w:tcPr>
            <w:tcW w:w="0" w:type="auto"/>
            <w:vAlign w:val="center"/>
            <w:hideMark/>
          </w:tcPr>
          <w:p w14:paraId="77CAB973" w14:textId="77777777" w:rsidR="00000000" w:rsidRDefault="00EB4933">
            <w:pPr>
              <w:rPr>
                <w:rFonts w:eastAsia="Times New Roman"/>
                <w:sz w:val="20"/>
                <w:szCs w:val="20"/>
              </w:rPr>
            </w:pPr>
          </w:p>
        </w:tc>
      </w:tr>
      <w:tr w:rsidR="00000000" w14:paraId="3EF4BCEC" w14:textId="77777777">
        <w:trPr>
          <w:divId w:val="98525094"/>
          <w:trHeight w:val="225"/>
          <w:tblCellSpacing w:w="15" w:type="dxa"/>
        </w:trPr>
        <w:tc>
          <w:tcPr>
            <w:tcW w:w="0" w:type="auto"/>
            <w:vAlign w:val="center"/>
            <w:hideMark/>
          </w:tcPr>
          <w:p w14:paraId="310C4661" w14:textId="77777777" w:rsidR="00000000" w:rsidRDefault="00EB4933">
            <w:pPr>
              <w:rPr>
                <w:rFonts w:eastAsia="Times New Roman"/>
                <w:sz w:val="20"/>
                <w:szCs w:val="20"/>
              </w:rPr>
            </w:pPr>
            <w:hyperlink r:id="rId167" w:anchor="toc" w:history="1">
              <w:r>
                <w:rPr>
                  <w:rStyle w:val="Hyperlink"/>
                  <w:rFonts w:eastAsia="Times New Roman"/>
                  <w:i/>
                  <w:iCs/>
                  <w:sz w:val="20"/>
                  <w:szCs w:val="20"/>
                </w:rPr>
                <w:t>Table of Contents</w:t>
              </w:r>
            </w:hyperlink>
          </w:p>
        </w:tc>
      </w:tr>
    </w:tbl>
    <w:p w14:paraId="4E0080B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45734FE" w14:textId="77777777" w:rsidR="00000000" w:rsidRDefault="00EB4933">
      <w:pPr>
        <w:pStyle w:val="NormalWeb"/>
        <w:spacing w:before="0" w:beforeAutospacing="0" w:after="0" w:afterAutospacing="0"/>
        <w:ind w:firstLine="675"/>
        <w:jc w:val="both"/>
        <w:divId w:val="98525094"/>
        <w:rPr>
          <w:sz w:val="20"/>
          <w:szCs w:val="20"/>
        </w:rPr>
      </w:pPr>
      <w:r>
        <w:rPr>
          <w:sz w:val="20"/>
          <w:szCs w:val="20"/>
        </w:rPr>
        <w:t>In addition, as a foreign private issuer, and our equity securities are accordingly exempt from the proxy rules set forth in Secti</w:t>
      </w:r>
      <w:r>
        <w:rPr>
          <w:sz w:val="20"/>
          <w:szCs w:val="20"/>
        </w:rPr>
        <w:t>ons 14(a), 14(b), 14(c) and 14(f) of the Exchange Act. We solicit proxies in accordance with our Memorandum and Articles of Association the applicable rules and regulations in the Cayman Islands.</w:t>
      </w:r>
    </w:p>
    <w:p w14:paraId="2098AA73" w14:textId="77777777" w:rsidR="00000000" w:rsidRDefault="00EB4933">
      <w:pPr>
        <w:pStyle w:val="NormalWeb"/>
        <w:spacing w:before="0" w:beforeAutospacing="0" w:after="0" w:afterAutospacing="0"/>
        <w:ind w:firstLine="675"/>
        <w:jc w:val="both"/>
        <w:divId w:val="98525094"/>
        <w:rPr>
          <w:sz w:val="20"/>
          <w:szCs w:val="20"/>
        </w:rPr>
      </w:pPr>
      <w:r>
        <w:rPr>
          <w:sz w:val="20"/>
          <w:szCs w:val="20"/>
        </w:rPr>
        <w:t> </w:t>
      </w:r>
    </w:p>
    <w:p w14:paraId="1BCFBDC5"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foregoing is consistent with the laws, customs and pra</w:t>
      </w:r>
      <w:r>
        <w:rPr>
          <w:sz w:val="20"/>
          <w:szCs w:val="20"/>
        </w:rPr>
        <w:t>ctices in the Cayman Islands. In addition, we may from time-to-time seek relief from NYSE American corporate governance requirements on specific transactions under Section 110 of the NYSE American Company Guide by providing written certification from indep</w:t>
      </w:r>
      <w:r>
        <w:rPr>
          <w:sz w:val="20"/>
          <w:szCs w:val="20"/>
        </w:rPr>
        <w:t>endent local counsel that the non-complying practice is not prohibited by our home country law.</w:t>
      </w:r>
    </w:p>
    <w:p w14:paraId="0BAFE6B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631C9A6" w14:textId="77777777" w:rsidR="00000000" w:rsidRDefault="00EB4933">
      <w:pPr>
        <w:pStyle w:val="NormalWeb"/>
        <w:spacing w:before="0" w:beforeAutospacing="0" w:after="0" w:afterAutospacing="0"/>
        <w:jc w:val="both"/>
        <w:divId w:val="98525094"/>
        <w:rPr>
          <w:sz w:val="20"/>
          <w:szCs w:val="20"/>
        </w:rPr>
      </w:pPr>
      <w:r>
        <w:rPr>
          <w:rStyle w:val="Strong"/>
          <w:sz w:val="20"/>
          <w:szCs w:val="20"/>
        </w:rPr>
        <w:t>Controlled Company</w:t>
      </w:r>
    </w:p>
    <w:p w14:paraId="6F11CBB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8C1AA77"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We are a “controlled company” </w:t>
      </w:r>
      <w:r>
        <w:rPr>
          <w:sz w:val="20"/>
          <w:szCs w:val="20"/>
        </w:rPr>
        <w:t xml:space="preserve">as defined in Section 801 of the NYSE American Company Guide. As a result, we are exempt from certain of the NYSE American Company Guide corporate governance requirements, including the requirement that a majority of the board of directors be independent, </w:t>
      </w:r>
      <w:r>
        <w:rPr>
          <w:sz w:val="20"/>
          <w:szCs w:val="20"/>
        </w:rPr>
        <w:t xml:space="preserve">the requirement applicable to the nomination process of directors and the requirements applicable to the determination or recommendation of executive </w:t>
      </w:r>
      <w:r>
        <w:rPr>
          <w:sz w:val="20"/>
          <w:szCs w:val="20"/>
        </w:rPr>
        <w:lastRenderedPageBreak/>
        <w:t>compensation by a committee comprised of independent directors or by a majority of the independent directo</w:t>
      </w:r>
      <w:r>
        <w:rPr>
          <w:sz w:val="20"/>
          <w:szCs w:val="20"/>
        </w:rPr>
        <w:t>rs. We follow the requirements of the Companies Law of Cayman Islands with respect to these issues.</w:t>
      </w:r>
    </w:p>
    <w:p w14:paraId="58B54F8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EB7CB26" w14:textId="77777777" w:rsidR="00000000" w:rsidRDefault="00EB4933">
      <w:pPr>
        <w:pStyle w:val="NormalWeb"/>
        <w:spacing w:before="0" w:beforeAutospacing="0" w:after="0" w:afterAutospacing="0"/>
        <w:jc w:val="both"/>
        <w:divId w:val="98525094"/>
        <w:rPr>
          <w:sz w:val="20"/>
          <w:szCs w:val="20"/>
        </w:rPr>
      </w:pPr>
      <w:bookmarkStart w:id="28" w:name="i16h"/>
      <w:r>
        <w:rPr>
          <w:rStyle w:val="Strong"/>
          <w:sz w:val="20"/>
          <w:szCs w:val="20"/>
        </w:rPr>
        <w:t>ITEM 16H. MINE SAFETY DISCLOSURE</w:t>
      </w:r>
      <w:bookmarkEnd w:id="28"/>
    </w:p>
    <w:p w14:paraId="2BF94EF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658261D" w14:textId="77777777" w:rsidR="00000000" w:rsidRDefault="00EB4933">
      <w:pPr>
        <w:pStyle w:val="NormalWeb"/>
        <w:spacing w:before="0" w:beforeAutospacing="0" w:after="0" w:afterAutospacing="0"/>
        <w:ind w:firstLine="675"/>
        <w:jc w:val="both"/>
        <w:divId w:val="98525094"/>
        <w:rPr>
          <w:sz w:val="20"/>
          <w:szCs w:val="20"/>
        </w:rPr>
      </w:pPr>
      <w:r>
        <w:rPr>
          <w:sz w:val="20"/>
          <w:szCs w:val="20"/>
        </w:rPr>
        <w:t>Not applicable.</w:t>
      </w:r>
    </w:p>
    <w:p w14:paraId="4EBAF715"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3736DCE" w14:textId="77777777">
        <w:trPr>
          <w:divId w:val="98525094"/>
          <w:trHeight w:val="225"/>
          <w:tblCellSpacing w:w="15" w:type="dxa"/>
        </w:trPr>
        <w:tc>
          <w:tcPr>
            <w:tcW w:w="0" w:type="auto"/>
            <w:vAlign w:val="center"/>
            <w:hideMark/>
          </w:tcPr>
          <w:p w14:paraId="75A5C495" w14:textId="77777777" w:rsidR="00000000" w:rsidRDefault="00EB4933">
            <w:pPr>
              <w:rPr>
                <w:rFonts w:eastAsia="Times New Roman"/>
                <w:sz w:val="20"/>
                <w:szCs w:val="20"/>
              </w:rPr>
            </w:pPr>
            <w:r>
              <w:rPr>
                <w:rFonts w:eastAsia="Times New Roman"/>
                <w:sz w:val="20"/>
                <w:szCs w:val="20"/>
              </w:rPr>
              <w:t> </w:t>
            </w:r>
          </w:p>
        </w:tc>
      </w:tr>
      <w:tr w:rsidR="00000000" w14:paraId="2A40CB44" w14:textId="77777777">
        <w:trPr>
          <w:divId w:val="98525094"/>
          <w:trHeight w:val="225"/>
          <w:tblCellSpacing w:w="15" w:type="dxa"/>
        </w:trPr>
        <w:tc>
          <w:tcPr>
            <w:tcW w:w="0" w:type="auto"/>
            <w:tcBorders>
              <w:bottom w:val="single" w:sz="6" w:space="0" w:color="000000"/>
            </w:tcBorders>
            <w:vAlign w:val="center"/>
            <w:hideMark/>
          </w:tcPr>
          <w:p w14:paraId="2E486469" w14:textId="77777777" w:rsidR="00000000" w:rsidRDefault="00EB4933">
            <w:pPr>
              <w:jc w:val="center"/>
              <w:rPr>
                <w:rFonts w:eastAsia="Times New Roman"/>
                <w:sz w:val="20"/>
                <w:szCs w:val="20"/>
              </w:rPr>
            </w:pPr>
            <w:r>
              <w:rPr>
                <w:rFonts w:eastAsia="Times New Roman"/>
                <w:sz w:val="20"/>
                <w:szCs w:val="20"/>
              </w:rPr>
              <w:t>108</w:t>
            </w:r>
          </w:p>
        </w:tc>
      </w:tr>
      <w:tr w:rsidR="00000000" w14:paraId="51C9B890" w14:textId="77777777">
        <w:trPr>
          <w:divId w:val="98525094"/>
          <w:trHeight w:val="225"/>
          <w:tblCellSpacing w:w="15" w:type="dxa"/>
        </w:trPr>
        <w:tc>
          <w:tcPr>
            <w:tcW w:w="0" w:type="auto"/>
            <w:vAlign w:val="center"/>
            <w:hideMark/>
          </w:tcPr>
          <w:p w14:paraId="12C2AF3F" w14:textId="77777777" w:rsidR="00000000" w:rsidRDefault="00EB4933">
            <w:pPr>
              <w:rPr>
                <w:rFonts w:eastAsia="Times New Roman"/>
                <w:sz w:val="20"/>
                <w:szCs w:val="20"/>
              </w:rPr>
            </w:pPr>
          </w:p>
        </w:tc>
      </w:tr>
      <w:tr w:rsidR="00000000" w14:paraId="7D5ECC24" w14:textId="77777777">
        <w:trPr>
          <w:divId w:val="98525094"/>
          <w:trHeight w:val="225"/>
          <w:tblCellSpacing w:w="15" w:type="dxa"/>
        </w:trPr>
        <w:tc>
          <w:tcPr>
            <w:tcW w:w="0" w:type="auto"/>
            <w:vAlign w:val="center"/>
            <w:hideMark/>
          </w:tcPr>
          <w:p w14:paraId="42BA3A63" w14:textId="77777777" w:rsidR="00000000" w:rsidRDefault="00EB4933">
            <w:pPr>
              <w:rPr>
                <w:rFonts w:eastAsia="Times New Roman"/>
                <w:sz w:val="20"/>
                <w:szCs w:val="20"/>
              </w:rPr>
            </w:pPr>
            <w:hyperlink r:id="rId168" w:anchor="toc" w:history="1">
              <w:r>
                <w:rPr>
                  <w:rStyle w:val="Hyperlink"/>
                  <w:rFonts w:eastAsia="Times New Roman"/>
                  <w:i/>
                  <w:iCs/>
                  <w:sz w:val="20"/>
                  <w:szCs w:val="20"/>
                </w:rPr>
                <w:t>Table of Contents</w:t>
              </w:r>
            </w:hyperlink>
          </w:p>
        </w:tc>
      </w:tr>
    </w:tbl>
    <w:p w14:paraId="38CA7BA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AF6E287" w14:textId="77777777" w:rsidR="00000000" w:rsidRDefault="00EB4933">
      <w:pPr>
        <w:pStyle w:val="NormalWeb"/>
        <w:spacing w:before="0" w:beforeAutospacing="0" w:after="0" w:afterAutospacing="0"/>
        <w:jc w:val="center"/>
        <w:divId w:val="98525094"/>
        <w:rPr>
          <w:sz w:val="20"/>
          <w:szCs w:val="20"/>
        </w:rPr>
      </w:pPr>
      <w:bookmarkStart w:id="29" w:name="p3"/>
      <w:r>
        <w:rPr>
          <w:rStyle w:val="Strong"/>
          <w:sz w:val="20"/>
          <w:szCs w:val="20"/>
        </w:rPr>
        <w:t>PART III</w:t>
      </w:r>
      <w:bookmarkEnd w:id="29"/>
    </w:p>
    <w:p w14:paraId="7C5D309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E1E82CD" w14:textId="77777777" w:rsidR="00000000" w:rsidRDefault="00EB4933">
      <w:pPr>
        <w:pStyle w:val="NormalWeb"/>
        <w:spacing w:before="0" w:beforeAutospacing="0" w:after="0" w:afterAutospacing="0"/>
        <w:jc w:val="both"/>
        <w:divId w:val="98525094"/>
        <w:rPr>
          <w:sz w:val="20"/>
          <w:szCs w:val="20"/>
        </w:rPr>
      </w:pPr>
      <w:bookmarkStart w:id="30" w:name="i17"/>
      <w:r>
        <w:rPr>
          <w:rStyle w:val="Strong"/>
          <w:sz w:val="20"/>
          <w:szCs w:val="20"/>
        </w:rPr>
        <w:t>ITEM 17. FINANCIAL STATEMENTS</w:t>
      </w:r>
      <w:bookmarkEnd w:id="30"/>
    </w:p>
    <w:p w14:paraId="138CB9E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8C3CA8D" w14:textId="77777777" w:rsidR="00000000" w:rsidRDefault="00EB4933">
      <w:pPr>
        <w:pStyle w:val="NormalWeb"/>
        <w:spacing w:before="0" w:beforeAutospacing="0" w:after="0" w:afterAutospacing="0"/>
        <w:ind w:firstLine="675"/>
        <w:jc w:val="both"/>
        <w:divId w:val="98525094"/>
        <w:rPr>
          <w:sz w:val="20"/>
          <w:szCs w:val="20"/>
        </w:rPr>
      </w:pPr>
      <w:r>
        <w:rPr>
          <w:sz w:val="20"/>
          <w:szCs w:val="20"/>
        </w:rPr>
        <w:t>We have elected to provide financial statements pursuant to Item 18.</w:t>
      </w:r>
    </w:p>
    <w:p w14:paraId="2A3E469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226A749" w14:textId="77777777" w:rsidR="00000000" w:rsidRDefault="00EB4933">
      <w:pPr>
        <w:pStyle w:val="NormalWeb"/>
        <w:spacing w:before="0" w:beforeAutospacing="0" w:after="0" w:afterAutospacing="0"/>
        <w:jc w:val="both"/>
        <w:divId w:val="98525094"/>
        <w:rPr>
          <w:sz w:val="20"/>
          <w:szCs w:val="20"/>
        </w:rPr>
      </w:pPr>
      <w:bookmarkStart w:id="31" w:name="i18"/>
      <w:r>
        <w:rPr>
          <w:rStyle w:val="Strong"/>
          <w:sz w:val="20"/>
          <w:szCs w:val="20"/>
        </w:rPr>
        <w:t>ITEM 18. FINANCIAL STATEMENTS</w:t>
      </w:r>
      <w:bookmarkEnd w:id="31"/>
    </w:p>
    <w:p w14:paraId="0FEC573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8DB9014" w14:textId="77777777" w:rsidR="00000000" w:rsidRDefault="00EB4933">
      <w:pPr>
        <w:pStyle w:val="NormalWeb"/>
        <w:spacing w:before="0" w:beforeAutospacing="0" w:after="0" w:afterAutospacing="0"/>
        <w:ind w:firstLine="675"/>
        <w:jc w:val="both"/>
        <w:divId w:val="98525094"/>
        <w:rPr>
          <w:sz w:val="20"/>
          <w:szCs w:val="20"/>
        </w:rPr>
      </w:pPr>
      <w:r>
        <w:rPr>
          <w:sz w:val="20"/>
          <w:szCs w:val="20"/>
        </w:rPr>
        <w:t>See “Index to Consolidated Financial Statements” on page F-1 for a list of all financial statements filed as part of this</w:t>
      </w:r>
      <w:r>
        <w:rPr>
          <w:sz w:val="20"/>
          <w:szCs w:val="20"/>
        </w:rPr>
        <w:t xml:space="preserve"> annual report.</w:t>
      </w:r>
    </w:p>
    <w:p w14:paraId="1A33561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E7974F6" w14:textId="77777777" w:rsidR="00000000" w:rsidRDefault="00EB4933">
      <w:pPr>
        <w:pStyle w:val="NormalWeb"/>
        <w:spacing w:before="0" w:beforeAutospacing="0" w:after="0" w:afterAutospacing="0"/>
        <w:jc w:val="both"/>
        <w:divId w:val="98525094"/>
        <w:rPr>
          <w:sz w:val="20"/>
          <w:szCs w:val="20"/>
        </w:rPr>
      </w:pPr>
      <w:bookmarkStart w:id="32" w:name="i19"/>
      <w:r>
        <w:rPr>
          <w:rStyle w:val="Strong"/>
          <w:sz w:val="20"/>
          <w:szCs w:val="20"/>
        </w:rPr>
        <w:t>ITEM 19. EXHIBITS</w:t>
      </w:r>
      <w:bookmarkEnd w:id="32"/>
    </w:p>
    <w:p w14:paraId="5488D05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FAD84AE" w14:textId="77777777" w:rsidR="00000000" w:rsidRDefault="00EB4933">
      <w:pPr>
        <w:pStyle w:val="NormalWeb"/>
        <w:spacing w:before="0" w:beforeAutospacing="0" w:after="0" w:afterAutospacing="0"/>
        <w:ind w:firstLine="675"/>
        <w:jc w:val="both"/>
        <w:divId w:val="98525094"/>
        <w:rPr>
          <w:sz w:val="20"/>
          <w:szCs w:val="20"/>
        </w:rPr>
      </w:pPr>
      <w:r>
        <w:rPr>
          <w:sz w:val="20"/>
          <w:szCs w:val="20"/>
        </w:rPr>
        <w:t xml:space="preserve">The following exhibits are furnished along with this annual report or are incorporated by reference as indicated. </w:t>
      </w:r>
    </w:p>
    <w:p w14:paraId="5EC7D057"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895"/>
        <w:gridCol w:w="205"/>
        <w:gridCol w:w="8260"/>
      </w:tblGrid>
      <w:tr w:rsidR="00000000" w14:paraId="0713AA1B" w14:textId="77777777">
        <w:trPr>
          <w:divId w:val="98525094"/>
          <w:trHeight w:val="225"/>
          <w:tblCellSpacing w:w="15" w:type="dxa"/>
        </w:trPr>
        <w:tc>
          <w:tcPr>
            <w:tcW w:w="450" w:type="pct"/>
            <w:tcBorders>
              <w:bottom w:val="single" w:sz="6" w:space="0" w:color="000000"/>
            </w:tcBorders>
            <w:vAlign w:val="bottom"/>
            <w:hideMark/>
          </w:tcPr>
          <w:p w14:paraId="32907E3C" w14:textId="77777777" w:rsidR="00000000" w:rsidRDefault="00EB4933">
            <w:pPr>
              <w:pStyle w:val="NormalWeb"/>
              <w:spacing w:before="0" w:beforeAutospacing="0" w:after="0" w:afterAutospacing="0"/>
              <w:rPr>
                <w:sz w:val="20"/>
                <w:szCs w:val="20"/>
              </w:rPr>
            </w:pPr>
            <w:r>
              <w:rPr>
                <w:rStyle w:val="Strong"/>
                <w:sz w:val="20"/>
                <w:szCs w:val="20"/>
              </w:rPr>
              <w:t>Number</w:t>
            </w:r>
          </w:p>
        </w:tc>
        <w:tc>
          <w:tcPr>
            <w:tcW w:w="100" w:type="pct"/>
            <w:vAlign w:val="center"/>
            <w:hideMark/>
          </w:tcPr>
          <w:p w14:paraId="6C479B76" w14:textId="77777777" w:rsidR="00000000" w:rsidRDefault="00EB4933">
            <w:pPr>
              <w:pStyle w:val="NormalWeb"/>
              <w:spacing w:before="0" w:beforeAutospacing="0" w:after="0" w:afterAutospacing="0"/>
              <w:rPr>
                <w:sz w:val="20"/>
                <w:szCs w:val="20"/>
              </w:rPr>
            </w:pPr>
            <w:r>
              <w:rPr>
                <w:sz w:val="20"/>
                <w:szCs w:val="20"/>
              </w:rPr>
              <w:t> </w:t>
            </w:r>
          </w:p>
        </w:tc>
        <w:tc>
          <w:tcPr>
            <w:tcW w:w="4450" w:type="pct"/>
            <w:tcBorders>
              <w:bottom w:val="single" w:sz="6" w:space="0" w:color="auto"/>
            </w:tcBorders>
            <w:vAlign w:val="bottom"/>
            <w:hideMark/>
          </w:tcPr>
          <w:p w14:paraId="1223EBA4" w14:textId="77777777" w:rsidR="00000000" w:rsidRDefault="00EB4933">
            <w:pPr>
              <w:pStyle w:val="NormalWeb"/>
              <w:spacing w:before="0" w:beforeAutospacing="0" w:after="0" w:afterAutospacing="0"/>
              <w:rPr>
                <w:sz w:val="20"/>
                <w:szCs w:val="20"/>
              </w:rPr>
            </w:pPr>
            <w:r>
              <w:rPr>
                <w:rStyle w:val="Strong"/>
                <w:sz w:val="20"/>
                <w:szCs w:val="20"/>
              </w:rPr>
              <w:t>Description of Document</w:t>
            </w:r>
          </w:p>
        </w:tc>
      </w:tr>
      <w:tr w:rsidR="00000000" w14:paraId="4DDBF00E" w14:textId="77777777">
        <w:trPr>
          <w:divId w:val="98525094"/>
          <w:trHeight w:val="225"/>
          <w:tblCellSpacing w:w="15" w:type="dxa"/>
        </w:trPr>
        <w:tc>
          <w:tcPr>
            <w:tcW w:w="0" w:type="auto"/>
            <w:shd w:val="clear" w:color="auto" w:fill="CCEEFF"/>
            <w:hideMark/>
          </w:tcPr>
          <w:p w14:paraId="187171C7" w14:textId="77777777" w:rsidR="00000000" w:rsidRDefault="00EB4933">
            <w:pPr>
              <w:pStyle w:val="NormalWeb"/>
              <w:spacing w:before="0" w:beforeAutospacing="0" w:after="0" w:afterAutospacing="0"/>
              <w:rPr>
                <w:sz w:val="20"/>
                <w:szCs w:val="20"/>
              </w:rPr>
            </w:pPr>
            <w:hyperlink r:id="rId169" w:history="1">
              <w:r>
                <w:rPr>
                  <w:rStyle w:val="Hyperlink"/>
                  <w:sz w:val="20"/>
                  <w:szCs w:val="20"/>
                </w:rPr>
                <w:t>1.1</w:t>
              </w:r>
            </w:hyperlink>
          </w:p>
        </w:tc>
        <w:tc>
          <w:tcPr>
            <w:tcW w:w="0" w:type="auto"/>
            <w:shd w:val="clear" w:color="auto" w:fill="CCEEFF"/>
            <w:vAlign w:val="center"/>
            <w:hideMark/>
          </w:tcPr>
          <w:p w14:paraId="532699F6"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0AED54D4" w14:textId="77777777" w:rsidR="00000000" w:rsidRDefault="00EB4933">
            <w:pPr>
              <w:pStyle w:val="NormalWeb"/>
              <w:spacing w:before="0" w:beforeAutospacing="0" w:after="0" w:afterAutospacing="0"/>
              <w:jc w:val="both"/>
              <w:rPr>
                <w:sz w:val="20"/>
                <w:szCs w:val="20"/>
              </w:rPr>
            </w:pPr>
            <w:hyperlink r:id="rId170" w:history="1">
              <w:r>
                <w:rPr>
                  <w:rStyle w:val="Hyperlink"/>
                  <w:sz w:val="20"/>
                  <w:szCs w:val="20"/>
                </w:rPr>
                <w:t>Second Amended and Restated Memorandum and Articles of Assoc</w:t>
              </w:r>
              <w:r>
                <w:rPr>
                  <w:rStyle w:val="Hyperlink"/>
                  <w:sz w:val="20"/>
                  <w:szCs w:val="20"/>
                </w:rPr>
                <w:t xml:space="preserve">iation of Dunxin Financial Holdings Limited Shares is incorporated herein by reference to Exhibit 1.1 to our Form 20-F filed on April 30, 2018. </w:t>
              </w:r>
            </w:hyperlink>
          </w:p>
        </w:tc>
      </w:tr>
      <w:tr w:rsidR="00000000" w14:paraId="05F87C51" w14:textId="77777777">
        <w:trPr>
          <w:divId w:val="98525094"/>
          <w:trHeight w:val="225"/>
          <w:tblCellSpacing w:w="15" w:type="dxa"/>
        </w:trPr>
        <w:tc>
          <w:tcPr>
            <w:tcW w:w="0" w:type="auto"/>
            <w:shd w:val="clear" w:color="auto" w:fill="FFFFFF"/>
            <w:vAlign w:val="center"/>
            <w:hideMark/>
          </w:tcPr>
          <w:p w14:paraId="099514EB"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375027F4"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9199868" w14:textId="77777777" w:rsidR="00000000" w:rsidRDefault="00EB4933">
            <w:pPr>
              <w:pStyle w:val="NormalWeb"/>
              <w:spacing w:before="0" w:beforeAutospacing="0" w:after="0" w:afterAutospacing="0"/>
              <w:rPr>
                <w:sz w:val="20"/>
                <w:szCs w:val="20"/>
              </w:rPr>
            </w:pPr>
            <w:r>
              <w:rPr>
                <w:sz w:val="20"/>
                <w:szCs w:val="20"/>
              </w:rPr>
              <w:t> </w:t>
            </w:r>
          </w:p>
        </w:tc>
      </w:tr>
      <w:tr w:rsidR="00000000" w14:paraId="3FFFDD3A" w14:textId="77777777">
        <w:trPr>
          <w:divId w:val="98525094"/>
          <w:trHeight w:val="225"/>
          <w:tblCellSpacing w:w="15" w:type="dxa"/>
        </w:trPr>
        <w:tc>
          <w:tcPr>
            <w:tcW w:w="0" w:type="auto"/>
            <w:shd w:val="clear" w:color="auto" w:fill="CCEEFF"/>
            <w:vAlign w:val="center"/>
            <w:hideMark/>
          </w:tcPr>
          <w:p w14:paraId="28C5DB30" w14:textId="77777777" w:rsidR="00000000" w:rsidRDefault="00EB4933">
            <w:pPr>
              <w:pStyle w:val="NormalWeb"/>
              <w:spacing w:before="0" w:beforeAutospacing="0" w:after="0" w:afterAutospacing="0"/>
              <w:rPr>
                <w:sz w:val="20"/>
                <w:szCs w:val="20"/>
              </w:rPr>
            </w:pPr>
            <w:hyperlink r:id="rId171" w:history="1">
              <w:r>
                <w:rPr>
                  <w:rStyle w:val="Hyperlink"/>
                  <w:sz w:val="20"/>
                  <w:szCs w:val="20"/>
                </w:rPr>
                <w:t>2.</w:t>
              </w:r>
              <w:r>
                <w:rPr>
                  <w:rStyle w:val="Hyperlink"/>
                  <w:sz w:val="20"/>
                  <w:szCs w:val="20"/>
                </w:rPr>
                <w:t>1</w:t>
              </w:r>
            </w:hyperlink>
          </w:p>
        </w:tc>
        <w:tc>
          <w:tcPr>
            <w:tcW w:w="0" w:type="auto"/>
            <w:shd w:val="clear" w:color="auto" w:fill="CCEEFF"/>
            <w:vAlign w:val="center"/>
            <w:hideMark/>
          </w:tcPr>
          <w:p w14:paraId="497676E9"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60BCA481" w14:textId="77777777" w:rsidR="00000000" w:rsidRDefault="00EB4933">
            <w:pPr>
              <w:pStyle w:val="NormalWeb"/>
              <w:spacing w:before="0" w:beforeAutospacing="0" w:after="0" w:afterAutospacing="0"/>
              <w:rPr>
                <w:sz w:val="20"/>
                <w:szCs w:val="20"/>
              </w:rPr>
            </w:pPr>
            <w:hyperlink r:id="rId172" w:history="1">
              <w:r>
                <w:rPr>
                  <w:rStyle w:val="Hyperlink"/>
                  <w:sz w:val="20"/>
                  <w:szCs w:val="20"/>
                </w:rPr>
                <w:t>Specimen Certificate for Ordinary Shares is incorporated herein by reference to Exhibit 4.2 to our Form F-1/A Registration Statement (File No. 333-1703</w:t>
              </w:r>
              <w:r>
                <w:rPr>
                  <w:rStyle w:val="Hyperlink"/>
                  <w:sz w:val="20"/>
                  <w:szCs w:val="20"/>
                </w:rPr>
                <w:t>68) filed on November 8, 2010. </w:t>
              </w:r>
            </w:hyperlink>
          </w:p>
        </w:tc>
      </w:tr>
      <w:tr w:rsidR="00000000" w14:paraId="02628048" w14:textId="77777777">
        <w:trPr>
          <w:divId w:val="98525094"/>
          <w:trHeight w:val="225"/>
          <w:tblCellSpacing w:w="15" w:type="dxa"/>
        </w:trPr>
        <w:tc>
          <w:tcPr>
            <w:tcW w:w="0" w:type="auto"/>
            <w:shd w:val="clear" w:color="auto" w:fill="FFFFFF"/>
            <w:vAlign w:val="center"/>
            <w:hideMark/>
          </w:tcPr>
          <w:p w14:paraId="55D6D748"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E0DBD80"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02B90E5" w14:textId="77777777" w:rsidR="00000000" w:rsidRDefault="00EB4933">
            <w:pPr>
              <w:pStyle w:val="NormalWeb"/>
              <w:spacing w:before="0" w:beforeAutospacing="0" w:after="0" w:afterAutospacing="0"/>
              <w:rPr>
                <w:sz w:val="20"/>
                <w:szCs w:val="20"/>
              </w:rPr>
            </w:pPr>
            <w:r>
              <w:rPr>
                <w:sz w:val="20"/>
                <w:szCs w:val="20"/>
              </w:rPr>
              <w:t> </w:t>
            </w:r>
          </w:p>
        </w:tc>
      </w:tr>
      <w:tr w:rsidR="00000000" w14:paraId="2AA8545B" w14:textId="77777777">
        <w:trPr>
          <w:divId w:val="98525094"/>
          <w:trHeight w:val="225"/>
          <w:tblCellSpacing w:w="15" w:type="dxa"/>
        </w:trPr>
        <w:tc>
          <w:tcPr>
            <w:tcW w:w="0" w:type="auto"/>
            <w:shd w:val="clear" w:color="auto" w:fill="CCEEFF"/>
            <w:hideMark/>
          </w:tcPr>
          <w:p w14:paraId="17DFEA87" w14:textId="77777777" w:rsidR="00000000" w:rsidRDefault="00EB4933">
            <w:pPr>
              <w:pStyle w:val="NormalWeb"/>
              <w:spacing w:before="0" w:beforeAutospacing="0" w:after="0" w:afterAutospacing="0"/>
              <w:rPr>
                <w:sz w:val="20"/>
                <w:szCs w:val="20"/>
              </w:rPr>
            </w:pPr>
            <w:hyperlink r:id="rId173" w:history="1">
              <w:r>
                <w:rPr>
                  <w:rStyle w:val="Hyperlink"/>
                  <w:sz w:val="20"/>
                  <w:szCs w:val="20"/>
                </w:rPr>
                <w:t>2.2</w:t>
              </w:r>
            </w:hyperlink>
          </w:p>
        </w:tc>
        <w:tc>
          <w:tcPr>
            <w:tcW w:w="0" w:type="auto"/>
            <w:shd w:val="clear" w:color="auto" w:fill="CCEEFF"/>
            <w:vAlign w:val="center"/>
            <w:hideMark/>
          </w:tcPr>
          <w:p w14:paraId="04350282"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00ADE7F5" w14:textId="77777777" w:rsidR="00000000" w:rsidRDefault="00EB4933">
            <w:pPr>
              <w:pStyle w:val="NormalWeb"/>
              <w:spacing w:before="0" w:beforeAutospacing="0" w:after="0" w:afterAutospacing="0"/>
              <w:rPr>
                <w:sz w:val="20"/>
                <w:szCs w:val="20"/>
              </w:rPr>
            </w:pPr>
            <w:hyperlink r:id="rId174" w:history="1">
              <w:r>
                <w:rPr>
                  <w:rStyle w:val="Hyperlink"/>
                  <w:sz w:val="20"/>
                  <w:szCs w:val="20"/>
                </w:rPr>
                <w:t>Form of Deposit Agreement, including form of American Depositary Receipts is incorporated herein by reference to Exhibit (a) to our Form F-6 Registration State</w:t>
              </w:r>
              <w:r>
                <w:rPr>
                  <w:rStyle w:val="Hyperlink"/>
                  <w:sz w:val="20"/>
                  <w:szCs w:val="20"/>
                </w:rPr>
                <w:t>ment (File No. 333-170489) filed on November 08, 2010.</w:t>
              </w:r>
            </w:hyperlink>
          </w:p>
        </w:tc>
      </w:tr>
      <w:tr w:rsidR="00000000" w14:paraId="5ED274D5" w14:textId="77777777">
        <w:trPr>
          <w:divId w:val="98525094"/>
          <w:trHeight w:val="225"/>
          <w:tblCellSpacing w:w="15" w:type="dxa"/>
        </w:trPr>
        <w:tc>
          <w:tcPr>
            <w:tcW w:w="0" w:type="auto"/>
            <w:shd w:val="clear" w:color="auto" w:fill="FFFFFF"/>
            <w:vAlign w:val="center"/>
            <w:hideMark/>
          </w:tcPr>
          <w:p w14:paraId="16B9034D"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2C05097"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36E0881C"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99B7B35" w14:textId="77777777">
        <w:trPr>
          <w:divId w:val="98525094"/>
          <w:trHeight w:val="225"/>
          <w:tblCellSpacing w:w="15" w:type="dxa"/>
        </w:trPr>
        <w:tc>
          <w:tcPr>
            <w:tcW w:w="0" w:type="auto"/>
            <w:shd w:val="clear" w:color="auto" w:fill="CCEEFF"/>
            <w:hideMark/>
          </w:tcPr>
          <w:p w14:paraId="4AD90757" w14:textId="77777777" w:rsidR="00000000" w:rsidRDefault="00EB4933">
            <w:pPr>
              <w:pStyle w:val="NormalWeb"/>
              <w:spacing w:before="0" w:beforeAutospacing="0" w:after="0" w:afterAutospacing="0"/>
              <w:jc w:val="both"/>
              <w:rPr>
                <w:sz w:val="20"/>
                <w:szCs w:val="20"/>
              </w:rPr>
            </w:pPr>
            <w:hyperlink r:id="rId175" w:history="1">
              <w:r>
                <w:rPr>
                  <w:rStyle w:val="Hyperlink"/>
                  <w:sz w:val="20"/>
                  <w:szCs w:val="20"/>
                </w:rPr>
                <w:t>2.3</w:t>
              </w:r>
            </w:hyperlink>
          </w:p>
        </w:tc>
        <w:tc>
          <w:tcPr>
            <w:tcW w:w="0" w:type="auto"/>
            <w:shd w:val="clear" w:color="auto" w:fill="CCEEFF"/>
            <w:vAlign w:val="center"/>
            <w:hideMark/>
          </w:tcPr>
          <w:p w14:paraId="02FB6708"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1AC49E5" w14:textId="77777777" w:rsidR="00000000" w:rsidRDefault="00EB4933">
            <w:pPr>
              <w:pStyle w:val="NormalWeb"/>
              <w:spacing w:before="0" w:beforeAutospacing="0" w:after="0" w:afterAutospacing="0"/>
              <w:jc w:val="both"/>
              <w:rPr>
                <w:sz w:val="20"/>
                <w:szCs w:val="20"/>
              </w:rPr>
            </w:pPr>
            <w:hyperlink r:id="rId176" w:history="1">
              <w:r>
                <w:rPr>
                  <w:rStyle w:val="Hyperlink"/>
                  <w:sz w:val="20"/>
                  <w:szCs w:val="20"/>
                </w:rPr>
                <w:t>Form of Amendment to Deposit Agreement including form of American Depositary Receipts is incorporated herein by reference to Exhibit (a)(2) to our Form F-6/A Registration Statement (File No. 333-170489) filed on November 25, 2014.</w:t>
              </w:r>
            </w:hyperlink>
          </w:p>
        </w:tc>
      </w:tr>
      <w:tr w:rsidR="00000000" w14:paraId="57F63757" w14:textId="77777777">
        <w:trPr>
          <w:divId w:val="98525094"/>
          <w:trHeight w:val="225"/>
          <w:tblCellSpacing w:w="15" w:type="dxa"/>
        </w:trPr>
        <w:tc>
          <w:tcPr>
            <w:tcW w:w="0" w:type="auto"/>
            <w:shd w:val="clear" w:color="auto" w:fill="FFFFFF"/>
            <w:vAlign w:val="center"/>
            <w:hideMark/>
          </w:tcPr>
          <w:p w14:paraId="6CD286C0"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3885887"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00B918BA"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28F16EB9" w14:textId="77777777">
        <w:trPr>
          <w:divId w:val="98525094"/>
          <w:trHeight w:val="225"/>
          <w:tblCellSpacing w:w="15" w:type="dxa"/>
        </w:trPr>
        <w:tc>
          <w:tcPr>
            <w:tcW w:w="0" w:type="auto"/>
            <w:shd w:val="clear" w:color="auto" w:fill="CCEEFF"/>
            <w:vAlign w:val="center"/>
            <w:hideMark/>
          </w:tcPr>
          <w:p w14:paraId="1BB5DF0C" w14:textId="77777777" w:rsidR="00000000" w:rsidRDefault="00EB4933">
            <w:pPr>
              <w:pStyle w:val="NormalWeb"/>
              <w:spacing w:before="0" w:beforeAutospacing="0" w:after="0" w:afterAutospacing="0"/>
              <w:jc w:val="both"/>
              <w:rPr>
                <w:sz w:val="20"/>
                <w:szCs w:val="20"/>
              </w:rPr>
            </w:pPr>
            <w:hyperlink r:id="rId177" w:history="1">
              <w:r>
                <w:rPr>
                  <w:rStyle w:val="Hyperlink"/>
                  <w:sz w:val="20"/>
                  <w:szCs w:val="20"/>
                </w:rPr>
                <w:t>2.4</w:t>
              </w:r>
            </w:hyperlink>
          </w:p>
        </w:tc>
        <w:tc>
          <w:tcPr>
            <w:tcW w:w="0" w:type="auto"/>
            <w:shd w:val="clear" w:color="auto" w:fill="CCEEFF"/>
            <w:vAlign w:val="center"/>
            <w:hideMark/>
          </w:tcPr>
          <w:p w14:paraId="2B3A9784"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01D379B9" w14:textId="77777777" w:rsidR="00000000" w:rsidRDefault="00EB4933">
            <w:pPr>
              <w:pStyle w:val="NormalWeb"/>
              <w:spacing w:before="0" w:beforeAutospacing="0" w:after="0" w:afterAutospacing="0"/>
              <w:jc w:val="both"/>
              <w:rPr>
                <w:sz w:val="20"/>
                <w:szCs w:val="20"/>
              </w:rPr>
            </w:pPr>
            <w:hyperlink r:id="rId178" w:history="1">
              <w:r>
                <w:rPr>
                  <w:rStyle w:val="Hyperlink"/>
                  <w:sz w:val="20"/>
                  <w:szCs w:val="20"/>
                </w:rPr>
                <w:t xml:space="preserve">Form of Second Amendment to Deposit Agreement </w:t>
              </w:r>
              <w:r>
                <w:rPr>
                  <w:rStyle w:val="Hyperlink"/>
                  <w:sz w:val="20"/>
                  <w:szCs w:val="20"/>
                </w:rPr>
                <w:t>including form of American Depositary Receipts is incorporated herein by reference to Exhibit (a)(3) to our Form F-6/A Registration Statement (File No. 333-170489) filed on December 15, 2017.</w:t>
              </w:r>
            </w:hyperlink>
          </w:p>
        </w:tc>
      </w:tr>
      <w:tr w:rsidR="00000000" w14:paraId="60D5D648" w14:textId="77777777">
        <w:trPr>
          <w:divId w:val="98525094"/>
          <w:trHeight w:val="225"/>
          <w:tblCellSpacing w:w="15" w:type="dxa"/>
        </w:trPr>
        <w:tc>
          <w:tcPr>
            <w:tcW w:w="0" w:type="auto"/>
            <w:shd w:val="clear" w:color="auto" w:fill="FFFFFF"/>
            <w:vAlign w:val="center"/>
            <w:hideMark/>
          </w:tcPr>
          <w:p w14:paraId="513171BF"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0E58240"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FC2D799" w14:textId="77777777" w:rsidR="00000000" w:rsidRDefault="00EB4933">
            <w:pPr>
              <w:pStyle w:val="NormalWeb"/>
              <w:spacing w:before="0" w:beforeAutospacing="0" w:after="0" w:afterAutospacing="0"/>
              <w:rPr>
                <w:sz w:val="20"/>
                <w:szCs w:val="20"/>
              </w:rPr>
            </w:pPr>
            <w:r>
              <w:rPr>
                <w:sz w:val="20"/>
                <w:szCs w:val="20"/>
              </w:rPr>
              <w:t> </w:t>
            </w:r>
          </w:p>
        </w:tc>
      </w:tr>
      <w:tr w:rsidR="00000000" w14:paraId="2EC35318" w14:textId="77777777">
        <w:trPr>
          <w:divId w:val="98525094"/>
          <w:trHeight w:val="225"/>
          <w:tblCellSpacing w:w="15" w:type="dxa"/>
        </w:trPr>
        <w:tc>
          <w:tcPr>
            <w:tcW w:w="0" w:type="auto"/>
            <w:shd w:val="clear" w:color="auto" w:fill="CCEEFF"/>
            <w:hideMark/>
          </w:tcPr>
          <w:p w14:paraId="068A6FDC" w14:textId="77777777" w:rsidR="00000000" w:rsidRDefault="00EB4933">
            <w:pPr>
              <w:pStyle w:val="NormalWeb"/>
              <w:spacing w:before="0" w:beforeAutospacing="0" w:after="0" w:afterAutospacing="0"/>
              <w:rPr>
                <w:sz w:val="20"/>
                <w:szCs w:val="20"/>
              </w:rPr>
            </w:pPr>
            <w:hyperlink r:id="rId179" w:history="1">
              <w:r>
                <w:rPr>
                  <w:rStyle w:val="Hyperlink"/>
                  <w:sz w:val="20"/>
                  <w:szCs w:val="20"/>
                </w:rPr>
                <w:t>2.5</w:t>
              </w:r>
            </w:hyperlink>
          </w:p>
        </w:tc>
        <w:tc>
          <w:tcPr>
            <w:tcW w:w="0" w:type="auto"/>
            <w:shd w:val="clear" w:color="auto" w:fill="CCEEFF"/>
            <w:vAlign w:val="center"/>
            <w:hideMark/>
          </w:tcPr>
          <w:p w14:paraId="07F20D63"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6BF846DC" w14:textId="77777777" w:rsidR="00000000" w:rsidRDefault="00EB4933">
            <w:pPr>
              <w:pStyle w:val="NormalWeb"/>
              <w:spacing w:before="0" w:beforeAutospacing="0" w:after="0" w:afterAutospacing="0"/>
              <w:rPr>
                <w:sz w:val="20"/>
                <w:szCs w:val="20"/>
              </w:rPr>
            </w:pPr>
            <w:hyperlink r:id="rId180" w:history="1">
              <w:r>
                <w:rPr>
                  <w:rStyle w:val="Hyperlink"/>
                  <w:sz w:val="20"/>
                  <w:szCs w:val="20"/>
                </w:rPr>
                <w:t>Form of Third Amendment to Deposit Agreement including form of American Depositary Receipts is incorporated herein by reference to Exhibit (a)(4) to our F</w:t>
              </w:r>
              <w:r>
                <w:rPr>
                  <w:rStyle w:val="Hyperlink"/>
                  <w:sz w:val="20"/>
                  <w:szCs w:val="20"/>
                </w:rPr>
                <w:t>orm F-6 Registration Statement (File No. 333-223442) filed on March 5, 2018.</w:t>
              </w:r>
            </w:hyperlink>
          </w:p>
        </w:tc>
      </w:tr>
      <w:tr w:rsidR="00000000" w14:paraId="2FA82F4D" w14:textId="77777777">
        <w:trPr>
          <w:divId w:val="98525094"/>
          <w:trHeight w:val="225"/>
          <w:tblCellSpacing w:w="15" w:type="dxa"/>
        </w:trPr>
        <w:tc>
          <w:tcPr>
            <w:tcW w:w="0" w:type="auto"/>
            <w:shd w:val="clear" w:color="auto" w:fill="FFFFFF"/>
            <w:vAlign w:val="center"/>
            <w:hideMark/>
          </w:tcPr>
          <w:p w14:paraId="16578C39"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37AB2BA4"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3CB6109D"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51CAAD3" w14:textId="77777777">
        <w:trPr>
          <w:divId w:val="98525094"/>
          <w:trHeight w:val="225"/>
          <w:tblCellSpacing w:w="15" w:type="dxa"/>
        </w:trPr>
        <w:tc>
          <w:tcPr>
            <w:tcW w:w="0" w:type="auto"/>
            <w:shd w:val="clear" w:color="auto" w:fill="CCEEFF"/>
            <w:hideMark/>
          </w:tcPr>
          <w:p w14:paraId="622B75C3" w14:textId="77777777" w:rsidR="00000000" w:rsidRDefault="00EB4933">
            <w:pPr>
              <w:pStyle w:val="NormalWeb"/>
              <w:spacing w:before="0" w:beforeAutospacing="0" w:after="0" w:afterAutospacing="0"/>
              <w:jc w:val="both"/>
              <w:rPr>
                <w:sz w:val="20"/>
                <w:szCs w:val="20"/>
              </w:rPr>
            </w:pPr>
            <w:hyperlink r:id="rId181" w:history="1">
              <w:r>
                <w:rPr>
                  <w:rStyle w:val="Hyperlink"/>
                  <w:sz w:val="20"/>
                  <w:szCs w:val="20"/>
                </w:rPr>
                <w:t>4.1</w:t>
              </w:r>
            </w:hyperlink>
          </w:p>
        </w:tc>
        <w:tc>
          <w:tcPr>
            <w:tcW w:w="0" w:type="auto"/>
            <w:shd w:val="clear" w:color="auto" w:fill="CCEEFF"/>
            <w:vAlign w:val="center"/>
            <w:hideMark/>
          </w:tcPr>
          <w:p w14:paraId="38519D0C"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2E029BB8" w14:textId="77777777" w:rsidR="00000000" w:rsidRDefault="00EB4933">
            <w:pPr>
              <w:pStyle w:val="NormalWeb"/>
              <w:spacing w:before="0" w:beforeAutospacing="0" w:after="0" w:afterAutospacing="0"/>
              <w:jc w:val="both"/>
              <w:rPr>
                <w:sz w:val="20"/>
                <w:szCs w:val="20"/>
              </w:rPr>
            </w:pPr>
            <w:hyperlink r:id="rId182" w:history="1">
              <w:r>
                <w:rPr>
                  <w:rStyle w:val="Hyperlink"/>
                  <w:sz w:val="20"/>
                  <w:szCs w:val="20"/>
                </w:rPr>
                <w:t>Form of 2010 Equity Incentive Plan is incorporated herein by reference to Exhibit 10.3 to our Form F-1/A Registration Statement (File No. 333-170368) filed on November 10, 2010.</w:t>
              </w:r>
            </w:hyperlink>
          </w:p>
        </w:tc>
      </w:tr>
      <w:tr w:rsidR="00000000" w14:paraId="6E4FA78B" w14:textId="77777777">
        <w:trPr>
          <w:divId w:val="98525094"/>
          <w:trHeight w:val="225"/>
          <w:tblCellSpacing w:w="15" w:type="dxa"/>
        </w:trPr>
        <w:tc>
          <w:tcPr>
            <w:tcW w:w="0" w:type="auto"/>
            <w:shd w:val="clear" w:color="auto" w:fill="FFFFFF"/>
            <w:vAlign w:val="center"/>
            <w:hideMark/>
          </w:tcPr>
          <w:p w14:paraId="27D23759"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46A20AE0"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1882065"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8EFF268" w14:textId="77777777">
        <w:trPr>
          <w:divId w:val="98525094"/>
          <w:trHeight w:val="225"/>
          <w:tblCellSpacing w:w="15" w:type="dxa"/>
        </w:trPr>
        <w:tc>
          <w:tcPr>
            <w:tcW w:w="0" w:type="auto"/>
            <w:shd w:val="clear" w:color="auto" w:fill="CCEEFF"/>
            <w:hideMark/>
          </w:tcPr>
          <w:p w14:paraId="00DB6C12" w14:textId="77777777" w:rsidR="00000000" w:rsidRDefault="00EB4933">
            <w:pPr>
              <w:pStyle w:val="NormalWeb"/>
              <w:spacing w:before="0" w:beforeAutospacing="0" w:after="0" w:afterAutospacing="0"/>
              <w:jc w:val="both"/>
              <w:rPr>
                <w:sz w:val="20"/>
                <w:szCs w:val="20"/>
              </w:rPr>
            </w:pPr>
            <w:hyperlink r:id="rId183" w:history="1">
              <w:r>
                <w:rPr>
                  <w:rStyle w:val="Hyperlink"/>
                  <w:sz w:val="20"/>
                  <w:szCs w:val="20"/>
                </w:rPr>
                <w:t>4.2</w:t>
              </w:r>
            </w:hyperlink>
          </w:p>
        </w:tc>
        <w:tc>
          <w:tcPr>
            <w:tcW w:w="0" w:type="auto"/>
            <w:shd w:val="clear" w:color="auto" w:fill="CCEEFF"/>
            <w:vAlign w:val="center"/>
            <w:hideMark/>
          </w:tcPr>
          <w:p w14:paraId="7CCDA9A7"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8F277EF" w14:textId="77777777" w:rsidR="00000000" w:rsidRDefault="00EB4933">
            <w:pPr>
              <w:pStyle w:val="NormalWeb"/>
              <w:spacing w:before="0" w:beforeAutospacing="0" w:after="0" w:afterAutospacing="0"/>
              <w:jc w:val="both"/>
              <w:rPr>
                <w:sz w:val="20"/>
                <w:szCs w:val="20"/>
              </w:rPr>
            </w:pPr>
            <w:hyperlink r:id="rId184" w:history="1">
              <w:r>
                <w:rPr>
                  <w:rStyle w:val="Hyperlink"/>
                  <w:sz w:val="20"/>
                  <w:szCs w:val="20"/>
                </w:rPr>
                <w:t>Share Transfer Agreement, dated December 10, 2017, between China Xiniya Fashion Limited a</w:t>
              </w:r>
              <w:r>
                <w:rPr>
                  <w:rStyle w:val="Hyperlink"/>
                  <w:sz w:val="20"/>
                  <w:szCs w:val="20"/>
                </w:rPr>
                <w:t>nd Qiming Investment Limited is incorporated herein by reference to Exhibit 99.4 to our Form 6-K furnished on December 11, 2017.</w:t>
              </w:r>
            </w:hyperlink>
          </w:p>
        </w:tc>
      </w:tr>
      <w:tr w:rsidR="00000000" w14:paraId="55F1896B" w14:textId="77777777">
        <w:trPr>
          <w:divId w:val="98525094"/>
          <w:trHeight w:val="225"/>
          <w:tblCellSpacing w:w="15" w:type="dxa"/>
        </w:trPr>
        <w:tc>
          <w:tcPr>
            <w:tcW w:w="0" w:type="auto"/>
            <w:shd w:val="clear" w:color="auto" w:fill="FFFFFF"/>
            <w:vAlign w:val="center"/>
            <w:hideMark/>
          </w:tcPr>
          <w:p w14:paraId="78332684"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D5992A2"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05B3448"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5D8BEAE4" w14:textId="77777777">
        <w:trPr>
          <w:divId w:val="98525094"/>
          <w:trHeight w:val="225"/>
          <w:tblCellSpacing w:w="15" w:type="dxa"/>
        </w:trPr>
        <w:tc>
          <w:tcPr>
            <w:tcW w:w="0" w:type="auto"/>
            <w:shd w:val="clear" w:color="auto" w:fill="CCEEFF"/>
            <w:hideMark/>
          </w:tcPr>
          <w:p w14:paraId="2E31B0DA" w14:textId="77777777" w:rsidR="00000000" w:rsidRDefault="00EB4933">
            <w:pPr>
              <w:pStyle w:val="NormalWeb"/>
              <w:spacing w:before="0" w:beforeAutospacing="0" w:after="0" w:afterAutospacing="0"/>
              <w:jc w:val="both"/>
              <w:rPr>
                <w:sz w:val="20"/>
                <w:szCs w:val="20"/>
              </w:rPr>
            </w:pPr>
            <w:hyperlink r:id="rId185" w:history="1">
              <w:r>
                <w:rPr>
                  <w:rStyle w:val="Hyperlink"/>
                  <w:sz w:val="20"/>
                  <w:szCs w:val="20"/>
                </w:rPr>
                <w:t>4.3</w:t>
              </w:r>
            </w:hyperlink>
          </w:p>
        </w:tc>
        <w:tc>
          <w:tcPr>
            <w:tcW w:w="0" w:type="auto"/>
            <w:shd w:val="clear" w:color="auto" w:fill="CCEEFF"/>
            <w:vAlign w:val="center"/>
            <w:hideMark/>
          </w:tcPr>
          <w:p w14:paraId="435A730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7FFB0F6E" w14:textId="77777777" w:rsidR="00000000" w:rsidRDefault="00EB4933">
            <w:pPr>
              <w:pStyle w:val="NormalWeb"/>
              <w:spacing w:before="0" w:beforeAutospacing="0" w:after="0" w:afterAutospacing="0"/>
              <w:jc w:val="both"/>
              <w:rPr>
                <w:sz w:val="20"/>
                <w:szCs w:val="20"/>
              </w:rPr>
            </w:pPr>
            <w:hyperlink r:id="rId186" w:history="1">
              <w:r>
                <w:rPr>
                  <w:rStyle w:val="Hyperlink"/>
                  <w:sz w:val="20"/>
                  <w:szCs w:val="20"/>
                </w:rPr>
                <w:t>Securities Purchase Agreement, dated December 10, 2017, by</w:t>
              </w:r>
              <w:r>
                <w:rPr>
                  <w:rStyle w:val="Hyperlink"/>
                  <w:sz w:val="20"/>
                  <w:szCs w:val="20"/>
                </w:rPr>
                <w:t xml:space="preserve"> and among China Xiniya Fashion Limited, True Silver Limited, and Honest Plus Investments Limited is incorporated herein by reference to Exhibit 99.5 to our Form 6-K furnished on December 11, 2017.</w:t>
              </w:r>
            </w:hyperlink>
          </w:p>
        </w:tc>
      </w:tr>
      <w:tr w:rsidR="00000000" w14:paraId="43D5225C" w14:textId="77777777">
        <w:trPr>
          <w:divId w:val="98525094"/>
          <w:trHeight w:val="225"/>
          <w:tblCellSpacing w:w="15" w:type="dxa"/>
        </w:trPr>
        <w:tc>
          <w:tcPr>
            <w:tcW w:w="0" w:type="auto"/>
            <w:shd w:val="clear" w:color="auto" w:fill="FFFFFF"/>
            <w:vAlign w:val="center"/>
            <w:hideMark/>
          </w:tcPr>
          <w:p w14:paraId="5BBF177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4CF382D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34EEAFA5"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9E1CD36" w14:textId="77777777">
        <w:trPr>
          <w:divId w:val="98525094"/>
          <w:trHeight w:val="225"/>
          <w:tblCellSpacing w:w="15" w:type="dxa"/>
        </w:trPr>
        <w:tc>
          <w:tcPr>
            <w:tcW w:w="0" w:type="auto"/>
            <w:shd w:val="clear" w:color="auto" w:fill="CCEEFF"/>
            <w:hideMark/>
          </w:tcPr>
          <w:p w14:paraId="6293FFF5" w14:textId="77777777" w:rsidR="00000000" w:rsidRDefault="00EB4933">
            <w:pPr>
              <w:pStyle w:val="NormalWeb"/>
              <w:spacing w:before="0" w:beforeAutospacing="0" w:after="0" w:afterAutospacing="0"/>
              <w:jc w:val="both"/>
              <w:rPr>
                <w:sz w:val="20"/>
                <w:szCs w:val="20"/>
              </w:rPr>
            </w:pPr>
            <w:hyperlink r:id="rId187" w:history="1">
              <w:r>
                <w:rPr>
                  <w:rStyle w:val="Hyperlink"/>
                  <w:sz w:val="20"/>
                  <w:szCs w:val="20"/>
                </w:rPr>
                <w:t>4.4</w:t>
              </w:r>
            </w:hyperlink>
          </w:p>
        </w:tc>
        <w:tc>
          <w:tcPr>
            <w:tcW w:w="0" w:type="auto"/>
            <w:shd w:val="clear" w:color="auto" w:fill="CCEEFF"/>
            <w:vAlign w:val="center"/>
            <w:hideMark/>
          </w:tcPr>
          <w:p w14:paraId="62CF405B"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43E4C18B" w14:textId="77777777" w:rsidR="00000000" w:rsidRDefault="00EB4933">
            <w:pPr>
              <w:pStyle w:val="NormalWeb"/>
              <w:spacing w:before="0" w:beforeAutospacing="0" w:after="0" w:afterAutospacing="0"/>
              <w:jc w:val="both"/>
              <w:rPr>
                <w:sz w:val="20"/>
                <w:szCs w:val="20"/>
              </w:rPr>
            </w:pPr>
            <w:hyperlink r:id="rId188" w:history="1">
              <w:r>
                <w:rPr>
                  <w:rStyle w:val="Hyperlink"/>
                  <w:sz w:val="20"/>
                  <w:szCs w:val="20"/>
                </w:rPr>
                <w:t>Exclusive Cosigned Management Service Agreement, dated August 10, 2017, by Hubei Chutian Microfinance Co., L</w:t>
              </w:r>
              <w:r>
                <w:rPr>
                  <w:rStyle w:val="Hyperlink"/>
                  <w:sz w:val="20"/>
                  <w:szCs w:val="20"/>
                </w:rPr>
                <w:t>td. and Wuhan Chutian Investment Holding Co., Ltd is incorporated herein by reference to Exhibit 99.6 to our Form 6-K furnished on December 11, 2017.</w:t>
              </w:r>
            </w:hyperlink>
          </w:p>
        </w:tc>
      </w:tr>
      <w:tr w:rsidR="00000000" w14:paraId="05EFF223" w14:textId="77777777">
        <w:trPr>
          <w:divId w:val="98525094"/>
          <w:trHeight w:val="225"/>
          <w:tblCellSpacing w:w="15" w:type="dxa"/>
        </w:trPr>
        <w:tc>
          <w:tcPr>
            <w:tcW w:w="0" w:type="auto"/>
            <w:shd w:val="clear" w:color="auto" w:fill="FFFFFF"/>
            <w:vAlign w:val="center"/>
            <w:hideMark/>
          </w:tcPr>
          <w:p w14:paraId="268A50AF"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234608AA"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0C73959"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5494A688" w14:textId="77777777">
        <w:trPr>
          <w:divId w:val="98525094"/>
          <w:trHeight w:val="225"/>
          <w:tblCellSpacing w:w="15" w:type="dxa"/>
        </w:trPr>
        <w:tc>
          <w:tcPr>
            <w:tcW w:w="0" w:type="auto"/>
            <w:shd w:val="clear" w:color="auto" w:fill="CCEEFF"/>
            <w:hideMark/>
          </w:tcPr>
          <w:p w14:paraId="6128E448" w14:textId="77777777" w:rsidR="00000000" w:rsidRDefault="00EB4933">
            <w:pPr>
              <w:pStyle w:val="NormalWeb"/>
              <w:spacing w:before="0" w:beforeAutospacing="0" w:after="0" w:afterAutospacing="0"/>
              <w:jc w:val="both"/>
              <w:rPr>
                <w:sz w:val="20"/>
                <w:szCs w:val="20"/>
              </w:rPr>
            </w:pPr>
            <w:hyperlink r:id="rId189" w:history="1">
              <w:r>
                <w:rPr>
                  <w:rStyle w:val="Hyperlink"/>
                  <w:sz w:val="20"/>
                  <w:szCs w:val="20"/>
                </w:rPr>
                <w:t>4.</w:t>
              </w:r>
              <w:r>
                <w:rPr>
                  <w:rStyle w:val="Hyperlink"/>
                  <w:sz w:val="20"/>
                  <w:szCs w:val="20"/>
                </w:rPr>
                <w:t>5</w:t>
              </w:r>
            </w:hyperlink>
          </w:p>
        </w:tc>
        <w:tc>
          <w:tcPr>
            <w:tcW w:w="0" w:type="auto"/>
            <w:shd w:val="clear" w:color="auto" w:fill="CCEEFF"/>
            <w:vAlign w:val="center"/>
            <w:hideMark/>
          </w:tcPr>
          <w:p w14:paraId="78CA8781"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0CBD488B" w14:textId="77777777" w:rsidR="00000000" w:rsidRDefault="00EB4933">
            <w:pPr>
              <w:pStyle w:val="NormalWeb"/>
              <w:spacing w:before="0" w:beforeAutospacing="0" w:after="0" w:afterAutospacing="0"/>
              <w:jc w:val="both"/>
              <w:rPr>
                <w:sz w:val="20"/>
                <w:szCs w:val="20"/>
              </w:rPr>
            </w:pPr>
            <w:hyperlink r:id="rId190" w:history="1">
              <w:r>
                <w:rPr>
                  <w:rStyle w:val="Hyperlink"/>
                  <w:sz w:val="20"/>
                  <w:szCs w:val="20"/>
                </w:rPr>
                <w:t>Exclusive Purchase Option Agreement, dated August 10, 2017, by Wuhan Chutian Investment Holding Co., Ltd. Hubei Chutian Microfinance Co., Ltd. and the share</w:t>
              </w:r>
              <w:r>
                <w:rPr>
                  <w:rStyle w:val="Hyperlink"/>
                  <w:sz w:val="20"/>
                  <w:szCs w:val="20"/>
                </w:rPr>
                <w:t>holders holding 80% equity interests of Hubei Chutian Microfinance Co., Ltd (Hubei New Nature Investment Co., Ltd, Qizhi Wei, Sizhi Yang, Yuyou Hu, Wanxin Deng, Jing Liang, Hailin Wang, Wenting Xiao, Ling Li)is incorporated herein by reference to Exhibit 9</w:t>
              </w:r>
              <w:r>
                <w:rPr>
                  <w:rStyle w:val="Hyperlink"/>
                  <w:sz w:val="20"/>
                  <w:szCs w:val="20"/>
                </w:rPr>
                <w:t>9.7 to our Form 6-K furnished on December 11, 2017.</w:t>
              </w:r>
            </w:hyperlink>
          </w:p>
        </w:tc>
      </w:tr>
      <w:tr w:rsidR="00000000" w14:paraId="10FB277E" w14:textId="77777777">
        <w:trPr>
          <w:divId w:val="98525094"/>
          <w:trHeight w:val="225"/>
          <w:tblCellSpacing w:w="15" w:type="dxa"/>
        </w:trPr>
        <w:tc>
          <w:tcPr>
            <w:tcW w:w="0" w:type="auto"/>
            <w:shd w:val="clear" w:color="auto" w:fill="FFFFFF"/>
            <w:vAlign w:val="center"/>
            <w:hideMark/>
          </w:tcPr>
          <w:p w14:paraId="65C5856C"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59C6E27"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3D3AB9EA"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6ADF6D7F" w14:textId="77777777">
        <w:trPr>
          <w:divId w:val="98525094"/>
          <w:trHeight w:val="225"/>
          <w:tblCellSpacing w:w="15" w:type="dxa"/>
        </w:trPr>
        <w:tc>
          <w:tcPr>
            <w:tcW w:w="0" w:type="auto"/>
            <w:shd w:val="clear" w:color="auto" w:fill="CCEEFF"/>
            <w:hideMark/>
          </w:tcPr>
          <w:p w14:paraId="0E26CC51" w14:textId="77777777" w:rsidR="00000000" w:rsidRDefault="00EB4933">
            <w:pPr>
              <w:pStyle w:val="NormalWeb"/>
              <w:spacing w:before="0" w:beforeAutospacing="0" w:after="0" w:afterAutospacing="0"/>
              <w:jc w:val="both"/>
              <w:rPr>
                <w:sz w:val="20"/>
                <w:szCs w:val="20"/>
              </w:rPr>
            </w:pPr>
            <w:hyperlink r:id="rId191" w:history="1">
              <w:r>
                <w:rPr>
                  <w:rStyle w:val="Hyperlink"/>
                  <w:sz w:val="20"/>
                  <w:szCs w:val="20"/>
                </w:rPr>
                <w:t>4.6</w:t>
              </w:r>
            </w:hyperlink>
          </w:p>
        </w:tc>
        <w:tc>
          <w:tcPr>
            <w:tcW w:w="0" w:type="auto"/>
            <w:shd w:val="clear" w:color="auto" w:fill="CCEEFF"/>
            <w:vAlign w:val="center"/>
            <w:hideMark/>
          </w:tcPr>
          <w:p w14:paraId="0178F41B"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18395786" w14:textId="77777777" w:rsidR="00000000" w:rsidRDefault="00EB4933">
            <w:pPr>
              <w:pStyle w:val="NormalWeb"/>
              <w:spacing w:before="0" w:beforeAutospacing="0" w:after="0" w:afterAutospacing="0"/>
              <w:jc w:val="both"/>
              <w:rPr>
                <w:sz w:val="20"/>
                <w:szCs w:val="20"/>
              </w:rPr>
            </w:pPr>
            <w:hyperlink r:id="rId192" w:history="1">
              <w:r>
                <w:rPr>
                  <w:rStyle w:val="Hyperlink"/>
                  <w:sz w:val="20"/>
                  <w:szCs w:val="20"/>
                </w:rPr>
                <w:t>Shareholders’ Voting Proxy Agreement, dated August 10, 2017, by Wuhan Chutian Investment Holding Co., Ltd. Hubei Chutian Microfinance Co., Ltd. and the sharehol</w:t>
              </w:r>
              <w:r>
                <w:rPr>
                  <w:rStyle w:val="Hyperlink"/>
                  <w:sz w:val="20"/>
                  <w:szCs w:val="20"/>
                </w:rPr>
                <w:t>ders holding 80% equity interests of Hubei Chutian Microfinance Co., Ltd (namely Hubei New Nature Investment Co., Ltd, Qizhi Wei, Sizhi Yang, Yuyou Hu, Wanxin Deng, Jing Liang, Hailin Wang, Wenting Xiao, Ling Li)is incorporated herein by reference to Exhib</w:t>
              </w:r>
              <w:r>
                <w:rPr>
                  <w:rStyle w:val="Hyperlink"/>
                  <w:sz w:val="20"/>
                  <w:szCs w:val="20"/>
                </w:rPr>
                <w:t>it 99.8 to our Form 6-K furnished on December 11, 2017.</w:t>
              </w:r>
            </w:hyperlink>
          </w:p>
        </w:tc>
      </w:tr>
      <w:tr w:rsidR="00000000" w14:paraId="7EB2BF58" w14:textId="77777777">
        <w:trPr>
          <w:divId w:val="98525094"/>
          <w:trHeight w:val="225"/>
          <w:tblCellSpacing w:w="15" w:type="dxa"/>
        </w:trPr>
        <w:tc>
          <w:tcPr>
            <w:tcW w:w="0" w:type="auto"/>
            <w:shd w:val="clear" w:color="auto" w:fill="FFFFFF"/>
            <w:vAlign w:val="center"/>
            <w:hideMark/>
          </w:tcPr>
          <w:p w14:paraId="187880DC"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1F44060"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72569583"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4310A8D" w14:textId="77777777">
        <w:trPr>
          <w:divId w:val="98525094"/>
          <w:trHeight w:val="225"/>
          <w:tblCellSpacing w:w="15" w:type="dxa"/>
        </w:trPr>
        <w:tc>
          <w:tcPr>
            <w:tcW w:w="0" w:type="auto"/>
            <w:shd w:val="clear" w:color="auto" w:fill="CCEEFF"/>
            <w:hideMark/>
          </w:tcPr>
          <w:p w14:paraId="2A637D72" w14:textId="77777777" w:rsidR="00000000" w:rsidRDefault="00EB4933">
            <w:pPr>
              <w:pStyle w:val="NormalWeb"/>
              <w:spacing w:before="0" w:beforeAutospacing="0" w:after="0" w:afterAutospacing="0"/>
              <w:jc w:val="both"/>
              <w:rPr>
                <w:sz w:val="20"/>
                <w:szCs w:val="20"/>
              </w:rPr>
            </w:pPr>
            <w:hyperlink r:id="rId193" w:history="1">
              <w:r>
                <w:rPr>
                  <w:rStyle w:val="Hyperlink"/>
                  <w:sz w:val="20"/>
                  <w:szCs w:val="20"/>
                </w:rPr>
                <w:t>4.7</w:t>
              </w:r>
            </w:hyperlink>
          </w:p>
        </w:tc>
        <w:tc>
          <w:tcPr>
            <w:tcW w:w="0" w:type="auto"/>
            <w:shd w:val="clear" w:color="auto" w:fill="CCEEFF"/>
            <w:vAlign w:val="center"/>
            <w:hideMark/>
          </w:tcPr>
          <w:p w14:paraId="45D0363C"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5FBD81FF" w14:textId="77777777" w:rsidR="00000000" w:rsidRDefault="00EB4933">
            <w:pPr>
              <w:pStyle w:val="NormalWeb"/>
              <w:spacing w:before="0" w:beforeAutospacing="0" w:after="0" w:afterAutospacing="0"/>
              <w:jc w:val="both"/>
              <w:rPr>
                <w:sz w:val="20"/>
                <w:szCs w:val="20"/>
              </w:rPr>
            </w:pPr>
            <w:hyperlink r:id="rId194" w:history="1">
              <w:r>
                <w:rPr>
                  <w:rStyle w:val="Hyperlink"/>
                  <w:sz w:val="20"/>
                  <w:szCs w:val="20"/>
                </w:rPr>
                <w:t>Share Pledge Agreement, dated August 10, 2017, by Wuhan Chutian Investment Holding Co., Ltd. Hubei Chutian Microfinance Co., Ltd. and the shareholders holding 80% equity interests of Hubei Chutian Microfinance Co., Ltd (namely Hubei New Nature Invest</w:t>
              </w:r>
              <w:r>
                <w:rPr>
                  <w:rStyle w:val="Hyperlink"/>
                  <w:sz w:val="20"/>
                  <w:szCs w:val="20"/>
                </w:rPr>
                <w:t>ment Co., Ltd, Qizhi Wei, Sizhi Yang, Yuyou Hu, Wanxin Deng, Jing Liang, Hailin Wang, Wenting Xiao, Ling Li) is incorporated herein by reference to Exhibit 99.9 to our Form 6-K furnished on December 11, 2017.</w:t>
              </w:r>
            </w:hyperlink>
          </w:p>
        </w:tc>
      </w:tr>
      <w:tr w:rsidR="00000000" w14:paraId="23D8B079" w14:textId="77777777">
        <w:trPr>
          <w:divId w:val="98525094"/>
          <w:trHeight w:val="225"/>
          <w:tblCellSpacing w:w="15" w:type="dxa"/>
        </w:trPr>
        <w:tc>
          <w:tcPr>
            <w:tcW w:w="0" w:type="auto"/>
            <w:shd w:val="clear" w:color="auto" w:fill="FFFFFF"/>
            <w:vAlign w:val="center"/>
            <w:hideMark/>
          </w:tcPr>
          <w:p w14:paraId="686E80D0"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7250913D"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7E0BDA9"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1B6557B6" w14:textId="77777777">
        <w:trPr>
          <w:divId w:val="98525094"/>
          <w:trHeight w:val="225"/>
          <w:tblCellSpacing w:w="15" w:type="dxa"/>
        </w:trPr>
        <w:tc>
          <w:tcPr>
            <w:tcW w:w="0" w:type="auto"/>
            <w:shd w:val="clear" w:color="auto" w:fill="CCEEFF"/>
            <w:vAlign w:val="center"/>
            <w:hideMark/>
          </w:tcPr>
          <w:p w14:paraId="4AF6CEA6" w14:textId="77777777" w:rsidR="00000000" w:rsidRDefault="00EB4933">
            <w:pPr>
              <w:pStyle w:val="NormalWeb"/>
              <w:spacing w:before="0" w:beforeAutospacing="0" w:after="0" w:afterAutospacing="0"/>
              <w:jc w:val="both"/>
              <w:rPr>
                <w:sz w:val="20"/>
                <w:szCs w:val="20"/>
              </w:rPr>
            </w:pPr>
            <w:hyperlink r:id="rId195" w:history="1">
              <w:r>
                <w:rPr>
                  <w:rStyle w:val="Hyperlink"/>
                  <w:sz w:val="20"/>
                  <w:szCs w:val="20"/>
                </w:rPr>
                <w:t>4.8</w:t>
              </w:r>
            </w:hyperlink>
          </w:p>
        </w:tc>
        <w:tc>
          <w:tcPr>
            <w:tcW w:w="0" w:type="auto"/>
            <w:shd w:val="clear" w:color="auto" w:fill="CCEEFF"/>
            <w:vAlign w:val="center"/>
            <w:hideMark/>
          </w:tcPr>
          <w:p w14:paraId="79629516"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55FE6494" w14:textId="77777777" w:rsidR="00000000" w:rsidRDefault="00EB4933">
            <w:pPr>
              <w:pStyle w:val="NormalWeb"/>
              <w:spacing w:before="0" w:beforeAutospacing="0" w:after="0" w:afterAutospacing="0"/>
              <w:jc w:val="both"/>
              <w:rPr>
                <w:sz w:val="20"/>
                <w:szCs w:val="20"/>
              </w:rPr>
            </w:pPr>
            <w:hyperlink r:id="rId196" w:history="1">
              <w:r>
                <w:rPr>
                  <w:rStyle w:val="Hyperlink"/>
                  <w:sz w:val="20"/>
                  <w:szCs w:val="20"/>
                </w:rPr>
                <w:t>Financial Support Commitment from Dunxin Holdings Co., Ltd.*</w:t>
              </w:r>
            </w:hyperlink>
          </w:p>
        </w:tc>
      </w:tr>
      <w:tr w:rsidR="00000000" w14:paraId="3623B60E" w14:textId="77777777">
        <w:trPr>
          <w:divId w:val="98525094"/>
          <w:trHeight w:val="225"/>
          <w:tblCellSpacing w:w="15" w:type="dxa"/>
        </w:trPr>
        <w:tc>
          <w:tcPr>
            <w:tcW w:w="0" w:type="auto"/>
            <w:shd w:val="clear" w:color="auto" w:fill="FFFFFF"/>
            <w:vAlign w:val="center"/>
            <w:hideMark/>
          </w:tcPr>
          <w:p w14:paraId="19E2A1B5"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2662664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27F9D316"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59187B6B" w14:textId="77777777">
        <w:trPr>
          <w:divId w:val="98525094"/>
          <w:trHeight w:val="225"/>
          <w:tblCellSpacing w:w="15" w:type="dxa"/>
        </w:trPr>
        <w:tc>
          <w:tcPr>
            <w:tcW w:w="0" w:type="auto"/>
            <w:shd w:val="clear" w:color="auto" w:fill="CCEEFF"/>
            <w:vAlign w:val="center"/>
            <w:hideMark/>
          </w:tcPr>
          <w:p w14:paraId="130C005E" w14:textId="77777777" w:rsidR="00000000" w:rsidRDefault="00EB4933">
            <w:pPr>
              <w:pStyle w:val="NormalWeb"/>
              <w:spacing w:before="0" w:beforeAutospacing="0" w:after="0" w:afterAutospacing="0"/>
              <w:jc w:val="both"/>
              <w:rPr>
                <w:sz w:val="20"/>
                <w:szCs w:val="20"/>
              </w:rPr>
            </w:pPr>
            <w:hyperlink r:id="rId197" w:history="1">
              <w:r>
                <w:rPr>
                  <w:rStyle w:val="Hyperlink"/>
                  <w:sz w:val="20"/>
                  <w:szCs w:val="20"/>
                </w:rPr>
                <w:t>4.9</w:t>
              </w:r>
            </w:hyperlink>
          </w:p>
        </w:tc>
        <w:tc>
          <w:tcPr>
            <w:tcW w:w="0" w:type="auto"/>
            <w:shd w:val="clear" w:color="auto" w:fill="CCEEFF"/>
            <w:vAlign w:val="center"/>
            <w:hideMark/>
          </w:tcPr>
          <w:p w14:paraId="4E76E25A"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41D6661F" w14:textId="77777777" w:rsidR="00000000" w:rsidRDefault="00EB4933">
            <w:pPr>
              <w:pStyle w:val="NormalWeb"/>
              <w:spacing w:before="0" w:beforeAutospacing="0" w:after="0" w:afterAutospacing="0"/>
              <w:jc w:val="both"/>
              <w:rPr>
                <w:sz w:val="20"/>
                <w:szCs w:val="20"/>
              </w:rPr>
            </w:pPr>
            <w:hyperlink r:id="rId198" w:history="1">
              <w:r>
                <w:rPr>
                  <w:rStyle w:val="Hyperlink"/>
                  <w:sz w:val="20"/>
                  <w:szCs w:val="20"/>
                </w:rPr>
                <w:t>Financial Support Commitment from Hubei New Nature Investment (Group) Co., Ltd.*</w:t>
              </w:r>
            </w:hyperlink>
          </w:p>
        </w:tc>
      </w:tr>
      <w:tr w:rsidR="00000000" w14:paraId="421E6BD7" w14:textId="77777777">
        <w:trPr>
          <w:divId w:val="98525094"/>
          <w:trHeight w:val="225"/>
          <w:tblCellSpacing w:w="15" w:type="dxa"/>
        </w:trPr>
        <w:tc>
          <w:tcPr>
            <w:tcW w:w="0" w:type="auto"/>
            <w:shd w:val="clear" w:color="auto" w:fill="FFFFFF"/>
            <w:vAlign w:val="center"/>
            <w:hideMark/>
          </w:tcPr>
          <w:p w14:paraId="1B438EA4"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09C3EA18"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3BF85D41"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6BEF997C" w14:textId="77777777">
        <w:trPr>
          <w:divId w:val="98525094"/>
          <w:trHeight w:val="225"/>
          <w:tblCellSpacing w:w="15" w:type="dxa"/>
        </w:trPr>
        <w:tc>
          <w:tcPr>
            <w:tcW w:w="0" w:type="auto"/>
            <w:shd w:val="clear" w:color="auto" w:fill="CCEEFF"/>
            <w:hideMark/>
          </w:tcPr>
          <w:p w14:paraId="241C0028" w14:textId="77777777" w:rsidR="00000000" w:rsidRDefault="00EB4933">
            <w:pPr>
              <w:pStyle w:val="NormalWeb"/>
              <w:spacing w:before="0" w:beforeAutospacing="0" w:after="0" w:afterAutospacing="0"/>
              <w:jc w:val="both"/>
              <w:rPr>
                <w:sz w:val="20"/>
                <w:szCs w:val="20"/>
              </w:rPr>
            </w:pPr>
            <w:hyperlink r:id="rId199" w:history="1">
              <w:r>
                <w:rPr>
                  <w:rStyle w:val="Hyperlink"/>
                  <w:sz w:val="20"/>
                  <w:szCs w:val="20"/>
                </w:rPr>
                <w:t>8.1</w:t>
              </w:r>
            </w:hyperlink>
          </w:p>
        </w:tc>
        <w:tc>
          <w:tcPr>
            <w:tcW w:w="0" w:type="auto"/>
            <w:shd w:val="clear" w:color="auto" w:fill="CCEEFF"/>
            <w:vAlign w:val="center"/>
            <w:hideMark/>
          </w:tcPr>
          <w:p w14:paraId="613ECB55"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410B5CB0" w14:textId="77777777" w:rsidR="00000000" w:rsidRDefault="00EB4933">
            <w:pPr>
              <w:pStyle w:val="NormalWeb"/>
              <w:spacing w:before="0" w:beforeAutospacing="0" w:after="0" w:afterAutospacing="0"/>
              <w:rPr>
                <w:sz w:val="20"/>
                <w:szCs w:val="20"/>
              </w:rPr>
            </w:pPr>
            <w:hyperlink r:id="rId200" w:history="1">
              <w:r>
                <w:rPr>
                  <w:rStyle w:val="Hyperlink"/>
                  <w:sz w:val="20"/>
                  <w:szCs w:val="20"/>
                </w:rPr>
                <w:t>Principal subsidiaries and VIE of Dunxin Financial Holdings Limited.*</w:t>
              </w:r>
            </w:hyperlink>
            <w:r>
              <w:rPr>
                <w:sz w:val="20"/>
                <w:szCs w:val="20"/>
              </w:rPr>
              <w:t> </w:t>
            </w:r>
          </w:p>
        </w:tc>
      </w:tr>
      <w:tr w:rsidR="00000000" w14:paraId="0C909295" w14:textId="77777777">
        <w:trPr>
          <w:divId w:val="98525094"/>
          <w:trHeight w:val="225"/>
          <w:tblCellSpacing w:w="15" w:type="dxa"/>
        </w:trPr>
        <w:tc>
          <w:tcPr>
            <w:tcW w:w="0" w:type="auto"/>
            <w:shd w:val="clear" w:color="auto" w:fill="FFFFFF"/>
            <w:vAlign w:val="center"/>
            <w:hideMark/>
          </w:tcPr>
          <w:p w14:paraId="61E02A2C"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FBECB33"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5864EFA" w14:textId="77777777" w:rsidR="00000000" w:rsidRDefault="00EB4933">
            <w:pPr>
              <w:pStyle w:val="NormalWeb"/>
              <w:spacing w:before="0" w:beforeAutospacing="0" w:after="0" w:afterAutospacing="0"/>
              <w:rPr>
                <w:sz w:val="20"/>
                <w:szCs w:val="20"/>
              </w:rPr>
            </w:pPr>
            <w:r>
              <w:rPr>
                <w:sz w:val="20"/>
                <w:szCs w:val="20"/>
              </w:rPr>
              <w:t> </w:t>
            </w:r>
          </w:p>
        </w:tc>
      </w:tr>
      <w:tr w:rsidR="00000000" w14:paraId="26B8E6C8" w14:textId="77777777">
        <w:trPr>
          <w:divId w:val="98525094"/>
          <w:trHeight w:val="225"/>
          <w:tblCellSpacing w:w="15" w:type="dxa"/>
        </w:trPr>
        <w:tc>
          <w:tcPr>
            <w:tcW w:w="0" w:type="auto"/>
            <w:shd w:val="clear" w:color="auto" w:fill="CCEEFF"/>
            <w:hideMark/>
          </w:tcPr>
          <w:p w14:paraId="215415BA" w14:textId="77777777" w:rsidR="00000000" w:rsidRDefault="00EB4933">
            <w:pPr>
              <w:pStyle w:val="NormalWeb"/>
              <w:spacing w:before="0" w:beforeAutospacing="0" w:after="0" w:afterAutospacing="0"/>
              <w:rPr>
                <w:sz w:val="20"/>
                <w:szCs w:val="20"/>
              </w:rPr>
            </w:pPr>
            <w:hyperlink r:id="rId201" w:history="1">
              <w:r>
                <w:rPr>
                  <w:rStyle w:val="Hyperlink"/>
                  <w:sz w:val="20"/>
                  <w:szCs w:val="20"/>
                </w:rPr>
                <w:t>11.1</w:t>
              </w:r>
            </w:hyperlink>
          </w:p>
        </w:tc>
        <w:tc>
          <w:tcPr>
            <w:tcW w:w="0" w:type="auto"/>
            <w:shd w:val="clear" w:color="auto" w:fill="CCEEFF"/>
            <w:vAlign w:val="center"/>
            <w:hideMark/>
          </w:tcPr>
          <w:p w14:paraId="31D251DE"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6C9B8E8F" w14:textId="77777777" w:rsidR="00000000" w:rsidRDefault="00EB4933">
            <w:pPr>
              <w:pStyle w:val="NormalWeb"/>
              <w:spacing w:before="0" w:beforeAutospacing="0" w:after="0" w:afterAutospacing="0"/>
              <w:rPr>
                <w:sz w:val="20"/>
                <w:szCs w:val="20"/>
              </w:rPr>
            </w:pPr>
            <w:hyperlink r:id="rId202" w:history="1">
              <w:r>
                <w:rPr>
                  <w:rStyle w:val="Hyperlink"/>
                  <w:sz w:val="20"/>
                  <w:szCs w:val="20"/>
                </w:rPr>
                <w:t>Code of Business Conduct and Ethics of China Xiniya Fashion L</w:t>
              </w:r>
              <w:r>
                <w:rPr>
                  <w:rStyle w:val="Hyperlink"/>
                  <w:sz w:val="20"/>
                  <w:szCs w:val="20"/>
                </w:rPr>
                <w:t>imited is incorporated herein by reference to Exhibit 99.1 to our Form F-1 Registration Statement (File No. 333-170368) filed on November 4, 2010. </w:t>
              </w:r>
            </w:hyperlink>
          </w:p>
        </w:tc>
      </w:tr>
      <w:tr w:rsidR="00000000" w14:paraId="4B6EEB18" w14:textId="77777777">
        <w:trPr>
          <w:divId w:val="98525094"/>
          <w:trHeight w:val="225"/>
          <w:tblCellSpacing w:w="15" w:type="dxa"/>
        </w:trPr>
        <w:tc>
          <w:tcPr>
            <w:tcW w:w="0" w:type="auto"/>
            <w:shd w:val="clear" w:color="auto" w:fill="FFFFFF"/>
            <w:vAlign w:val="center"/>
            <w:hideMark/>
          </w:tcPr>
          <w:p w14:paraId="1E7A509D"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573553A"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449962C5"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B4BD4DF" w14:textId="77777777">
        <w:trPr>
          <w:divId w:val="98525094"/>
          <w:trHeight w:val="225"/>
          <w:tblCellSpacing w:w="15" w:type="dxa"/>
        </w:trPr>
        <w:tc>
          <w:tcPr>
            <w:tcW w:w="0" w:type="auto"/>
            <w:shd w:val="clear" w:color="auto" w:fill="CCEEFF"/>
            <w:hideMark/>
          </w:tcPr>
          <w:p w14:paraId="793DD527" w14:textId="77777777" w:rsidR="00000000" w:rsidRDefault="00EB4933">
            <w:pPr>
              <w:pStyle w:val="NormalWeb"/>
              <w:spacing w:before="0" w:beforeAutospacing="0" w:after="0" w:afterAutospacing="0"/>
              <w:jc w:val="both"/>
              <w:rPr>
                <w:sz w:val="20"/>
                <w:szCs w:val="20"/>
              </w:rPr>
            </w:pPr>
            <w:hyperlink r:id="rId203" w:history="1">
              <w:r>
                <w:rPr>
                  <w:rStyle w:val="Hyperlink"/>
                  <w:sz w:val="20"/>
                  <w:szCs w:val="20"/>
                </w:rPr>
                <w:t>12.1</w:t>
              </w:r>
            </w:hyperlink>
          </w:p>
        </w:tc>
        <w:tc>
          <w:tcPr>
            <w:tcW w:w="0" w:type="auto"/>
            <w:shd w:val="clear" w:color="auto" w:fill="CCEEFF"/>
            <w:vAlign w:val="center"/>
            <w:hideMark/>
          </w:tcPr>
          <w:p w14:paraId="5427266A"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CF9840D" w14:textId="77777777" w:rsidR="00000000" w:rsidRDefault="00EB4933">
            <w:pPr>
              <w:pStyle w:val="NormalWeb"/>
              <w:spacing w:before="0" w:beforeAutospacing="0" w:after="0" w:afterAutospacing="0"/>
              <w:jc w:val="both"/>
              <w:rPr>
                <w:sz w:val="20"/>
                <w:szCs w:val="20"/>
              </w:rPr>
            </w:pPr>
            <w:hyperlink r:id="rId204" w:history="1">
              <w:r>
                <w:rPr>
                  <w:rStyle w:val="Hyperlink"/>
                  <w:sz w:val="20"/>
                  <w:szCs w:val="20"/>
                </w:rPr>
                <w:t>Certification of Chief Executive Officer required by Section 302 of the Sarbanes-Oxley Act of 2002.*</w:t>
              </w:r>
            </w:hyperlink>
          </w:p>
        </w:tc>
      </w:tr>
      <w:tr w:rsidR="00000000" w14:paraId="3888D168" w14:textId="77777777">
        <w:trPr>
          <w:divId w:val="98525094"/>
          <w:trHeight w:val="225"/>
          <w:tblCellSpacing w:w="15" w:type="dxa"/>
        </w:trPr>
        <w:tc>
          <w:tcPr>
            <w:tcW w:w="0" w:type="auto"/>
            <w:shd w:val="clear" w:color="auto" w:fill="FFFFFF"/>
            <w:vAlign w:val="center"/>
            <w:hideMark/>
          </w:tcPr>
          <w:p w14:paraId="77322315"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978E60C"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0E1E394C"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67B81EF" w14:textId="77777777">
        <w:trPr>
          <w:divId w:val="98525094"/>
          <w:trHeight w:val="225"/>
          <w:tblCellSpacing w:w="15" w:type="dxa"/>
        </w:trPr>
        <w:tc>
          <w:tcPr>
            <w:tcW w:w="0" w:type="auto"/>
            <w:shd w:val="clear" w:color="auto" w:fill="CCEEFF"/>
            <w:hideMark/>
          </w:tcPr>
          <w:p w14:paraId="73D6507B" w14:textId="77777777" w:rsidR="00000000" w:rsidRDefault="00EB4933">
            <w:pPr>
              <w:pStyle w:val="NormalWeb"/>
              <w:spacing w:before="0" w:beforeAutospacing="0" w:after="0" w:afterAutospacing="0"/>
              <w:jc w:val="both"/>
              <w:rPr>
                <w:sz w:val="20"/>
                <w:szCs w:val="20"/>
              </w:rPr>
            </w:pPr>
            <w:hyperlink r:id="rId205" w:history="1">
              <w:r>
                <w:rPr>
                  <w:rStyle w:val="Hyperlink"/>
                  <w:sz w:val="20"/>
                  <w:szCs w:val="20"/>
                </w:rPr>
                <w:t>12.2</w:t>
              </w:r>
            </w:hyperlink>
          </w:p>
        </w:tc>
        <w:tc>
          <w:tcPr>
            <w:tcW w:w="0" w:type="auto"/>
            <w:shd w:val="clear" w:color="auto" w:fill="CCEEFF"/>
            <w:vAlign w:val="center"/>
            <w:hideMark/>
          </w:tcPr>
          <w:p w14:paraId="7FDA6661"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896A66C" w14:textId="77777777" w:rsidR="00000000" w:rsidRDefault="00EB4933">
            <w:pPr>
              <w:pStyle w:val="NormalWeb"/>
              <w:spacing w:before="0" w:beforeAutospacing="0" w:after="0" w:afterAutospacing="0"/>
              <w:jc w:val="both"/>
              <w:rPr>
                <w:sz w:val="20"/>
                <w:szCs w:val="20"/>
              </w:rPr>
            </w:pPr>
            <w:hyperlink r:id="rId206" w:history="1">
              <w:r>
                <w:rPr>
                  <w:rStyle w:val="Hyperlink"/>
                  <w:sz w:val="20"/>
                  <w:szCs w:val="20"/>
                </w:rPr>
                <w:t>Certification of Chief Financial Officer required by Section 302 of the Sarbanes-Oxley Act of 2002.*</w:t>
              </w:r>
            </w:hyperlink>
          </w:p>
        </w:tc>
      </w:tr>
      <w:tr w:rsidR="00000000" w14:paraId="519C918D" w14:textId="77777777">
        <w:trPr>
          <w:divId w:val="98525094"/>
          <w:trHeight w:val="225"/>
          <w:tblCellSpacing w:w="15" w:type="dxa"/>
        </w:trPr>
        <w:tc>
          <w:tcPr>
            <w:tcW w:w="0" w:type="auto"/>
            <w:shd w:val="clear" w:color="auto" w:fill="FFFFFF"/>
            <w:vAlign w:val="center"/>
            <w:hideMark/>
          </w:tcPr>
          <w:p w14:paraId="0B347BAE"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77796B1E"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080F64D9"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26F467E5" w14:textId="77777777">
        <w:trPr>
          <w:divId w:val="98525094"/>
          <w:trHeight w:val="225"/>
          <w:tblCellSpacing w:w="15" w:type="dxa"/>
        </w:trPr>
        <w:tc>
          <w:tcPr>
            <w:tcW w:w="0" w:type="auto"/>
            <w:shd w:val="clear" w:color="auto" w:fill="CCEEFF"/>
            <w:hideMark/>
          </w:tcPr>
          <w:p w14:paraId="7E88BB51" w14:textId="77777777" w:rsidR="00000000" w:rsidRDefault="00EB4933">
            <w:pPr>
              <w:pStyle w:val="NormalWeb"/>
              <w:spacing w:before="0" w:beforeAutospacing="0" w:after="0" w:afterAutospacing="0"/>
              <w:jc w:val="both"/>
              <w:rPr>
                <w:sz w:val="20"/>
                <w:szCs w:val="20"/>
              </w:rPr>
            </w:pPr>
            <w:hyperlink r:id="rId207" w:history="1">
              <w:r>
                <w:rPr>
                  <w:rStyle w:val="Hyperlink"/>
                  <w:sz w:val="20"/>
                  <w:szCs w:val="20"/>
                </w:rPr>
                <w:t>13.1</w:t>
              </w:r>
            </w:hyperlink>
          </w:p>
        </w:tc>
        <w:tc>
          <w:tcPr>
            <w:tcW w:w="0" w:type="auto"/>
            <w:shd w:val="clear" w:color="auto" w:fill="CCEEFF"/>
            <w:vAlign w:val="center"/>
            <w:hideMark/>
          </w:tcPr>
          <w:p w14:paraId="5E86FE3F"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BD49F69" w14:textId="77777777" w:rsidR="00000000" w:rsidRDefault="00EB4933">
            <w:pPr>
              <w:pStyle w:val="NormalWeb"/>
              <w:spacing w:before="0" w:beforeAutospacing="0" w:after="0" w:afterAutospacing="0"/>
              <w:jc w:val="both"/>
              <w:rPr>
                <w:sz w:val="20"/>
                <w:szCs w:val="20"/>
              </w:rPr>
            </w:pPr>
            <w:hyperlink r:id="rId208" w:history="1">
              <w:r>
                <w:rPr>
                  <w:rStyle w:val="Hyperlink"/>
                  <w:sz w:val="20"/>
                  <w:szCs w:val="20"/>
                </w:rPr>
                <w:t>Certification of Chief Executive Officer required by 18 U.S.C. Secti</w:t>
              </w:r>
              <w:r>
                <w:rPr>
                  <w:rStyle w:val="Hyperlink"/>
                  <w:sz w:val="20"/>
                  <w:szCs w:val="20"/>
                </w:rPr>
                <w:t>on 1350, as adopted pursuant to Section 906 of the Sarbanes-Oxley Act of 2002.**</w:t>
              </w:r>
            </w:hyperlink>
          </w:p>
        </w:tc>
      </w:tr>
      <w:tr w:rsidR="00000000" w14:paraId="28BE6345" w14:textId="77777777">
        <w:trPr>
          <w:divId w:val="98525094"/>
          <w:trHeight w:val="225"/>
          <w:tblCellSpacing w:w="15" w:type="dxa"/>
        </w:trPr>
        <w:tc>
          <w:tcPr>
            <w:tcW w:w="0" w:type="auto"/>
            <w:shd w:val="clear" w:color="auto" w:fill="FFFFFF"/>
            <w:vAlign w:val="center"/>
            <w:hideMark/>
          </w:tcPr>
          <w:p w14:paraId="094293A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A2686B7"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30B04A8"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12BD5687" w14:textId="77777777">
        <w:trPr>
          <w:divId w:val="98525094"/>
          <w:trHeight w:val="225"/>
          <w:tblCellSpacing w:w="15" w:type="dxa"/>
        </w:trPr>
        <w:tc>
          <w:tcPr>
            <w:tcW w:w="0" w:type="auto"/>
            <w:shd w:val="clear" w:color="auto" w:fill="CCEEFF"/>
            <w:hideMark/>
          </w:tcPr>
          <w:p w14:paraId="2AF3176C" w14:textId="77777777" w:rsidR="00000000" w:rsidRDefault="00EB4933">
            <w:pPr>
              <w:pStyle w:val="NormalWeb"/>
              <w:spacing w:before="0" w:beforeAutospacing="0" w:after="0" w:afterAutospacing="0"/>
              <w:jc w:val="both"/>
              <w:rPr>
                <w:sz w:val="20"/>
                <w:szCs w:val="20"/>
              </w:rPr>
            </w:pPr>
            <w:hyperlink r:id="rId209" w:history="1">
              <w:r>
                <w:rPr>
                  <w:rStyle w:val="Hyperlink"/>
                  <w:sz w:val="20"/>
                  <w:szCs w:val="20"/>
                </w:rPr>
                <w:t>13.2</w:t>
              </w:r>
            </w:hyperlink>
          </w:p>
        </w:tc>
        <w:tc>
          <w:tcPr>
            <w:tcW w:w="0" w:type="auto"/>
            <w:shd w:val="clear" w:color="auto" w:fill="CCEEFF"/>
            <w:vAlign w:val="center"/>
            <w:hideMark/>
          </w:tcPr>
          <w:p w14:paraId="4AD65D68"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1CCA2A16" w14:textId="77777777" w:rsidR="00000000" w:rsidRDefault="00EB4933">
            <w:pPr>
              <w:pStyle w:val="NormalWeb"/>
              <w:spacing w:before="0" w:beforeAutospacing="0" w:after="0" w:afterAutospacing="0"/>
              <w:jc w:val="both"/>
              <w:rPr>
                <w:sz w:val="20"/>
                <w:szCs w:val="20"/>
              </w:rPr>
            </w:pPr>
            <w:hyperlink r:id="rId210" w:history="1">
              <w:r>
                <w:rPr>
                  <w:rStyle w:val="Hyperlink"/>
                  <w:sz w:val="20"/>
                  <w:szCs w:val="20"/>
                </w:rPr>
                <w:t>Certification of Chief Financial Officer required by 18 U.S.C. Section 1350, as adopted pursuant to Section 906 of the Sarbanes-Oxley Act of 2002.**</w:t>
              </w:r>
            </w:hyperlink>
          </w:p>
        </w:tc>
      </w:tr>
      <w:tr w:rsidR="00000000" w14:paraId="03BA705C" w14:textId="77777777">
        <w:trPr>
          <w:divId w:val="98525094"/>
          <w:trHeight w:val="225"/>
          <w:tblCellSpacing w:w="15" w:type="dxa"/>
        </w:trPr>
        <w:tc>
          <w:tcPr>
            <w:tcW w:w="0" w:type="auto"/>
            <w:shd w:val="clear" w:color="auto" w:fill="FFFFFF"/>
            <w:vAlign w:val="center"/>
            <w:hideMark/>
          </w:tcPr>
          <w:p w14:paraId="04AD25EE" w14:textId="77777777" w:rsidR="00000000" w:rsidRDefault="00EB4933">
            <w:pPr>
              <w:pStyle w:val="NormalWeb"/>
              <w:spacing w:before="0" w:beforeAutospacing="0" w:after="0" w:afterAutospacing="0"/>
              <w:jc w:val="both"/>
              <w:rPr>
                <w:sz w:val="20"/>
                <w:szCs w:val="20"/>
              </w:rPr>
            </w:pPr>
            <w:r>
              <w:rPr>
                <w:sz w:val="20"/>
                <w:szCs w:val="20"/>
              </w:rPr>
              <w:lastRenderedPageBreak/>
              <w:t> </w:t>
            </w:r>
          </w:p>
        </w:tc>
        <w:tc>
          <w:tcPr>
            <w:tcW w:w="0" w:type="auto"/>
            <w:shd w:val="clear" w:color="auto" w:fill="FFFFFF"/>
            <w:vAlign w:val="center"/>
            <w:hideMark/>
          </w:tcPr>
          <w:p w14:paraId="0194C760"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43B14BEC"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679A5D1B" w14:textId="77777777">
        <w:trPr>
          <w:divId w:val="98525094"/>
          <w:trHeight w:val="225"/>
          <w:tblCellSpacing w:w="15" w:type="dxa"/>
        </w:trPr>
        <w:tc>
          <w:tcPr>
            <w:tcW w:w="0" w:type="auto"/>
            <w:shd w:val="clear" w:color="auto" w:fill="CCEEFF"/>
            <w:hideMark/>
          </w:tcPr>
          <w:p w14:paraId="22752D46" w14:textId="77777777" w:rsidR="00000000" w:rsidRDefault="00EB4933">
            <w:pPr>
              <w:pStyle w:val="NormalWeb"/>
              <w:spacing w:before="0" w:beforeAutospacing="0" w:after="0" w:afterAutospacing="0"/>
              <w:jc w:val="both"/>
              <w:rPr>
                <w:sz w:val="20"/>
                <w:szCs w:val="20"/>
              </w:rPr>
            </w:pPr>
            <w:r>
              <w:rPr>
                <w:sz w:val="20"/>
                <w:szCs w:val="20"/>
              </w:rPr>
              <w:t>101.INS*</w:t>
            </w:r>
          </w:p>
        </w:tc>
        <w:tc>
          <w:tcPr>
            <w:tcW w:w="0" w:type="auto"/>
            <w:shd w:val="clear" w:color="auto" w:fill="CCEEFF"/>
            <w:vAlign w:val="center"/>
            <w:hideMark/>
          </w:tcPr>
          <w:p w14:paraId="0456A495"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AF4ACEB" w14:textId="77777777" w:rsidR="00000000" w:rsidRDefault="00EB4933">
            <w:pPr>
              <w:pStyle w:val="NormalWeb"/>
              <w:spacing w:before="0" w:beforeAutospacing="0" w:after="0" w:afterAutospacing="0"/>
              <w:jc w:val="both"/>
              <w:rPr>
                <w:sz w:val="20"/>
                <w:szCs w:val="20"/>
              </w:rPr>
            </w:pPr>
            <w:r>
              <w:rPr>
                <w:sz w:val="20"/>
                <w:szCs w:val="20"/>
              </w:rPr>
              <w:t>XBRL Instance Document</w:t>
            </w:r>
          </w:p>
        </w:tc>
      </w:tr>
      <w:tr w:rsidR="00000000" w14:paraId="16B636E4" w14:textId="77777777">
        <w:trPr>
          <w:divId w:val="98525094"/>
          <w:trHeight w:val="225"/>
          <w:tblCellSpacing w:w="15" w:type="dxa"/>
        </w:trPr>
        <w:tc>
          <w:tcPr>
            <w:tcW w:w="0" w:type="auto"/>
            <w:shd w:val="clear" w:color="auto" w:fill="FFFFFF"/>
            <w:hideMark/>
          </w:tcPr>
          <w:p w14:paraId="27F2B551" w14:textId="77777777" w:rsidR="00000000" w:rsidRDefault="00EB4933">
            <w:pPr>
              <w:pStyle w:val="NormalWeb"/>
              <w:spacing w:before="0" w:beforeAutospacing="0" w:after="0" w:afterAutospacing="0"/>
              <w:jc w:val="both"/>
              <w:rPr>
                <w:sz w:val="20"/>
                <w:szCs w:val="20"/>
              </w:rPr>
            </w:pPr>
            <w:r>
              <w:rPr>
                <w:sz w:val="20"/>
                <w:szCs w:val="20"/>
              </w:rPr>
              <w:t>101.SCH*</w:t>
            </w:r>
          </w:p>
        </w:tc>
        <w:tc>
          <w:tcPr>
            <w:tcW w:w="0" w:type="auto"/>
            <w:shd w:val="clear" w:color="auto" w:fill="FFFFFF"/>
            <w:vAlign w:val="center"/>
            <w:hideMark/>
          </w:tcPr>
          <w:p w14:paraId="2522BC78"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40A50B7B" w14:textId="77777777" w:rsidR="00000000" w:rsidRDefault="00EB4933">
            <w:pPr>
              <w:pStyle w:val="NormalWeb"/>
              <w:spacing w:before="0" w:beforeAutospacing="0" w:after="0" w:afterAutospacing="0"/>
              <w:jc w:val="both"/>
              <w:rPr>
                <w:sz w:val="20"/>
                <w:szCs w:val="20"/>
              </w:rPr>
            </w:pPr>
            <w:r>
              <w:rPr>
                <w:sz w:val="20"/>
                <w:szCs w:val="20"/>
              </w:rPr>
              <w:t>XBRL Taxonomy Extension Schema Document</w:t>
            </w:r>
          </w:p>
        </w:tc>
      </w:tr>
      <w:tr w:rsidR="00000000" w14:paraId="0630D92F" w14:textId="77777777">
        <w:trPr>
          <w:divId w:val="98525094"/>
          <w:trHeight w:val="225"/>
          <w:tblCellSpacing w:w="15" w:type="dxa"/>
        </w:trPr>
        <w:tc>
          <w:tcPr>
            <w:tcW w:w="0" w:type="auto"/>
            <w:shd w:val="clear" w:color="auto" w:fill="CCEEFF"/>
            <w:hideMark/>
          </w:tcPr>
          <w:p w14:paraId="67648E0F" w14:textId="77777777" w:rsidR="00000000" w:rsidRDefault="00EB4933">
            <w:pPr>
              <w:pStyle w:val="NormalWeb"/>
              <w:spacing w:before="0" w:beforeAutospacing="0" w:after="0" w:afterAutospacing="0"/>
              <w:jc w:val="both"/>
              <w:rPr>
                <w:sz w:val="20"/>
                <w:szCs w:val="20"/>
              </w:rPr>
            </w:pPr>
            <w:r>
              <w:rPr>
                <w:sz w:val="20"/>
                <w:szCs w:val="20"/>
              </w:rPr>
              <w:t>101.CAL*</w:t>
            </w:r>
          </w:p>
        </w:tc>
        <w:tc>
          <w:tcPr>
            <w:tcW w:w="0" w:type="auto"/>
            <w:shd w:val="clear" w:color="auto" w:fill="CCEEFF"/>
            <w:vAlign w:val="center"/>
            <w:hideMark/>
          </w:tcPr>
          <w:p w14:paraId="17AACF5C"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EE1C435" w14:textId="77777777" w:rsidR="00000000" w:rsidRDefault="00EB4933">
            <w:pPr>
              <w:pStyle w:val="NormalWeb"/>
              <w:spacing w:before="0" w:beforeAutospacing="0" w:after="0" w:afterAutospacing="0"/>
              <w:jc w:val="both"/>
              <w:rPr>
                <w:sz w:val="20"/>
                <w:szCs w:val="20"/>
              </w:rPr>
            </w:pPr>
            <w:r>
              <w:rPr>
                <w:sz w:val="20"/>
                <w:szCs w:val="20"/>
              </w:rPr>
              <w:t>X</w:t>
            </w:r>
            <w:r>
              <w:rPr>
                <w:sz w:val="20"/>
                <w:szCs w:val="20"/>
              </w:rPr>
              <w:t>BRL Taxonomy Extension Calculation Linkbase Document</w:t>
            </w:r>
          </w:p>
        </w:tc>
      </w:tr>
      <w:tr w:rsidR="00000000" w14:paraId="7A0D8894" w14:textId="77777777">
        <w:trPr>
          <w:divId w:val="98525094"/>
          <w:trHeight w:val="225"/>
          <w:tblCellSpacing w:w="15" w:type="dxa"/>
        </w:trPr>
        <w:tc>
          <w:tcPr>
            <w:tcW w:w="0" w:type="auto"/>
            <w:shd w:val="clear" w:color="auto" w:fill="FFFFFF"/>
            <w:hideMark/>
          </w:tcPr>
          <w:p w14:paraId="1B088ED5" w14:textId="77777777" w:rsidR="00000000" w:rsidRDefault="00EB4933">
            <w:pPr>
              <w:pStyle w:val="NormalWeb"/>
              <w:spacing w:before="0" w:beforeAutospacing="0" w:after="0" w:afterAutospacing="0"/>
              <w:jc w:val="both"/>
              <w:rPr>
                <w:sz w:val="20"/>
                <w:szCs w:val="20"/>
              </w:rPr>
            </w:pPr>
            <w:r>
              <w:rPr>
                <w:sz w:val="20"/>
                <w:szCs w:val="20"/>
              </w:rPr>
              <w:t>101.DEF*</w:t>
            </w:r>
          </w:p>
        </w:tc>
        <w:tc>
          <w:tcPr>
            <w:tcW w:w="0" w:type="auto"/>
            <w:shd w:val="clear" w:color="auto" w:fill="FFFFFF"/>
            <w:vAlign w:val="center"/>
            <w:hideMark/>
          </w:tcPr>
          <w:p w14:paraId="325C420B"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185E7079" w14:textId="77777777" w:rsidR="00000000" w:rsidRDefault="00EB4933">
            <w:pPr>
              <w:pStyle w:val="NormalWeb"/>
              <w:spacing w:before="0" w:beforeAutospacing="0" w:after="0" w:afterAutospacing="0"/>
              <w:jc w:val="both"/>
              <w:rPr>
                <w:sz w:val="20"/>
                <w:szCs w:val="20"/>
              </w:rPr>
            </w:pPr>
            <w:r>
              <w:rPr>
                <w:sz w:val="20"/>
                <w:szCs w:val="20"/>
              </w:rPr>
              <w:t>XBRL Taxonomy Extension Definition Linkbase Document</w:t>
            </w:r>
          </w:p>
        </w:tc>
      </w:tr>
      <w:tr w:rsidR="00000000" w14:paraId="19D41CC4" w14:textId="77777777">
        <w:trPr>
          <w:divId w:val="98525094"/>
          <w:trHeight w:val="225"/>
          <w:tblCellSpacing w:w="15" w:type="dxa"/>
        </w:trPr>
        <w:tc>
          <w:tcPr>
            <w:tcW w:w="0" w:type="auto"/>
            <w:shd w:val="clear" w:color="auto" w:fill="CCEEFF"/>
            <w:hideMark/>
          </w:tcPr>
          <w:p w14:paraId="743D7F90" w14:textId="77777777" w:rsidR="00000000" w:rsidRDefault="00EB4933">
            <w:pPr>
              <w:pStyle w:val="NormalWeb"/>
              <w:spacing w:before="0" w:beforeAutospacing="0" w:after="0" w:afterAutospacing="0"/>
              <w:jc w:val="both"/>
              <w:rPr>
                <w:sz w:val="20"/>
                <w:szCs w:val="20"/>
              </w:rPr>
            </w:pPr>
            <w:r>
              <w:rPr>
                <w:sz w:val="20"/>
                <w:szCs w:val="20"/>
              </w:rPr>
              <w:t>101.LAB*</w:t>
            </w:r>
          </w:p>
        </w:tc>
        <w:tc>
          <w:tcPr>
            <w:tcW w:w="0" w:type="auto"/>
            <w:shd w:val="clear" w:color="auto" w:fill="CCEEFF"/>
            <w:vAlign w:val="center"/>
            <w:hideMark/>
          </w:tcPr>
          <w:p w14:paraId="7653A36E"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1B1B75D" w14:textId="77777777" w:rsidR="00000000" w:rsidRDefault="00EB4933">
            <w:pPr>
              <w:pStyle w:val="NormalWeb"/>
              <w:spacing w:before="0" w:beforeAutospacing="0" w:after="0" w:afterAutospacing="0"/>
              <w:jc w:val="both"/>
              <w:rPr>
                <w:sz w:val="20"/>
                <w:szCs w:val="20"/>
              </w:rPr>
            </w:pPr>
            <w:r>
              <w:rPr>
                <w:sz w:val="20"/>
                <w:szCs w:val="20"/>
              </w:rPr>
              <w:t>XBRL Taxonomy Extension Label Linkbase Document</w:t>
            </w:r>
          </w:p>
        </w:tc>
      </w:tr>
    </w:tbl>
    <w:p w14:paraId="79604499" w14:textId="77777777" w:rsidR="00000000" w:rsidRDefault="00EB4933">
      <w:pPr>
        <w:pStyle w:val="NormalWeb"/>
        <w:spacing w:before="0" w:beforeAutospacing="0" w:after="0" w:afterAutospacing="0"/>
        <w:jc w:val="both"/>
        <w:divId w:val="98525094"/>
        <w:rPr>
          <w:sz w:val="20"/>
          <w:szCs w:val="20"/>
        </w:rPr>
      </w:pPr>
      <w:r>
        <w:rPr>
          <w:sz w:val="20"/>
          <w:szCs w:val="20"/>
        </w:rPr>
        <w:t>_________________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7A6E2186" w14:textId="77777777">
        <w:trPr>
          <w:divId w:val="98525094"/>
          <w:trHeight w:val="225"/>
          <w:tblCellSpacing w:w="15" w:type="dxa"/>
        </w:trPr>
        <w:tc>
          <w:tcPr>
            <w:tcW w:w="200" w:type="pct"/>
            <w:hideMark/>
          </w:tcPr>
          <w:p w14:paraId="7D3497AA" w14:textId="77777777" w:rsidR="00000000" w:rsidRDefault="00EB4933">
            <w:pPr>
              <w:pStyle w:val="NormalWeb"/>
              <w:spacing w:before="0" w:beforeAutospacing="0" w:after="0" w:afterAutospacing="0"/>
              <w:rPr>
                <w:sz w:val="20"/>
                <w:szCs w:val="20"/>
              </w:rPr>
            </w:pPr>
            <w:r>
              <w:rPr>
                <w:sz w:val="20"/>
                <w:szCs w:val="20"/>
              </w:rPr>
              <w:t>*</w:t>
            </w:r>
          </w:p>
        </w:tc>
        <w:tc>
          <w:tcPr>
            <w:tcW w:w="4800" w:type="pct"/>
            <w:hideMark/>
          </w:tcPr>
          <w:p w14:paraId="65AB5F26" w14:textId="77777777" w:rsidR="00000000" w:rsidRDefault="00EB4933">
            <w:pPr>
              <w:pStyle w:val="NormalWeb"/>
              <w:spacing w:before="0" w:beforeAutospacing="0" w:after="0" w:afterAutospacing="0"/>
              <w:rPr>
                <w:sz w:val="20"/>
                <w:szCs w:val="20"/>
              </w:rPr>
            </w:pPr>
            <w:r>
              <w:rPr>
                <w:sz w:val="20"/>
                <w:szCs w:val="20"/>
              </w:rPr>
              <w:t>Filed herewith.</w:t>
            </w:r>
          </w:p>
        </w:tc>
      </w:tr>
    </w:tbl>
    <w:p w14:paraId="6E090105"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2E81FBD" w14:textId="77777777">
        <w:trPr>
          <w:divId w:val="98525094"/>
          <w:trHeight w:val="225"/>
          <w:tblCellSpacing w:w="15" w:type="dxa"/>
        </w:trPr>
        <w:tc>
          <w:tcPr>
            <w:tcW w:w="0" w:type="auto"/>
            <w:vAlign w:val="center"/>
            <w:hideMark/>
          </w:tcPr>
          <w:p w14:paraId="6A791A05" w14:textId="77777777" w:rsidR="00000000" w:rsidRDefault="00EB4933">
            <w:pPr>
              <w:rPr>
                <w:rFonts w:eastAsia="Times New Roman"/>
                <w:sz w:val="20"/>
                <w:szCs w:val="20"/>
              </w:rPr>
            </w:pPr>
            <w:r>
              <w:rPr>
                <w:rFonts w:eastAsia="Times New Roman"/>
                <w:sz w:val="20"/>
                <w:szCs w:val="20"/>
              </w:rPr>
              <w:t> </w:t>
            </w:r>
          </w:p>
        </w:tc>
      </w:tr>
      <w:tr w:rsidR="00000000" w14:paraId="1AAF967B" w14:textId="77777777">
        <w:trPr>
          <w:divId w:val="98525094"/>
          <w:trHeight w:val="225"/>
          <w:tblCellSpacing w:w="15" w:type="dxa"/>
        </w:trPr>
        <w:tc>
          <w:tcPr>
            <w:tcW w:w="0" w:type="auto"/>
            <w:tcBorders>
              <w:bottom w:val="single" w:sz="6" w:space="0" w:color="000000"/>
            </w:tcBorders>
            <w:vAlign w:val="center"/>
            <w:hideMark/>
          </w:tcPr>
          <w:p w14:paraId="5E165B0B" w14:textId="77777777" w:rsidR="00000000" w:rsidRDefault="00EB4933">
            <w:pPr>
              <w:jc w:val="center"/>
              <w:rPr>
                <w:rFonts w:eastAsia="Times New Roman"/>
                <w:sz w:val="20"/>
                <w:szCs w:val="20"/>
              </w:rPr>
            </w:pPr>
            <w:r>
              <w:rPr>
                <w:rFonts w:eastAsia="Times New Roman"/>
                <w:sz w:val="20"/>
                <w:szCs w:val="20"/>
              </w:rPr>
              <w:t>109</w:t>
            </w:r>
          </w:p>
        </w:tc>
      </w:tr>
      <w:tr w:rsidR="00000000" w14:paraId="15D7E1BF" w14:textId="77777777">
        <w:trPr>
          <w:divId w:val="98525094"/>
          <w:trHeight w:val="225"/>
          <w:tblCellSpacing w:w="15" w:type="dxa"/>
        </w:trPr>
        <w:tc>
          <w:tcPr>
            <w:tcW w:w="0" w:type="auto"/>
            <w:vAlign w:val="center"/>
            <w:hideMark/>
          </w:tcPr>
          <w:p w14:paraId="5D2CAC39" w14:textId="77777777" w:rsidR="00000000" w:rsidRDefault="00EB4933">
            <w:pPr>
              <w:rPr>
                <w:rFonts w:eastAsia="Times New Roman"/>
                <w:sz w:val="20"/>
                <w:szCs w:val="20"/>
              </w:rPr>
            </w:pPr>
          </w:p>
        </w:tc>
      </w:tr>
      <w:tr w:rsidR="00000000" w14:paraId="05F5D50D" w14:textId="77777777">
        <w:trPr>
          <w:divId w:val="98525094"/>
          <w:trHeight w:val="225"/>
          <w:tblCellSpacing w:w="15" w:type="dxa"/>
        </w:trPr>
        <w:tc>
          <w:tcPr>
            <w:tcW w:w="0" w:type="auto"/>
            <w:vAlign w:val="center"/>
            <w:hideMark/>
          </w:tcPr>
          <w:p w14:paraId="15FC2A77" w14:textId="77777777" w:rsidR="00000000" w:rsidRDefault="00EB4933">
            <w:pPr>
              <w:rPr>
                <w:rFonts w:eastAsia="Times New Roman"/>
                <w:sz w:val="20"/>
                <w:szCs w:val="20"/>
              </w:rPr>
            </w:pPr>
            <w:hyperlink r:id="rId211" w:anchor="toc" w:history="1">
              <w:r>
                <w:rPr>
                  <w:rStyle w:val="Hyperlink"/>
                  <w:rFonts w:eastAsia="Times New Roman"/>
                  <w:i/>
                  <w:iCs/>
                  <w:sz w:val="20"/>
                  <w:szCs w:val="20"/>
                </w:rPr>
                <w:t>Table of Contents</w:t>
              </w:r>
            </w:hyperlink>
          </w:p>
        </w:tc>
      </w:tr>
    </w:tbl>
    <w:p w14:paraId="42FB019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2786AE6" w14:textId="77777777" w:rsidR="00000000" w:rsidRDefault="00EB4933">
      <w:pPr>
        <w:pStyle w:val="NormalWeb"/>
        <w:spacing w:before="0" w:beforeAutospacing="0" w:after="0" w:afterAutospacing="0"/>
        <w:jc w:val="center"/>
        <w:divId w:val="98525094"/>
        <w:rPr>
          <w:sz w:val="20"/>
          <w:szCs w:val="20"/>
        </w:rPr>
      </w:pPr>
      <w:bookmarkStart w:id="33" w:name="sig"/>
      <w:r>
        <w:rPr>
          <w:rStyle w:val="Strong"/>
          <w:sz w:val="20"/>
          <w:szCs w:val="20"/>
        </w:rPr>
        <w:t>SIGNATURE</w:t>
      </w:r>
      <w:bookmarkEnd w:id="33"/>
    </w:p>
    <w:p w14:paraId="50A9D51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E61B864" w14:textId="77777777" w:rsidR="00000000" w:rsidRDefault="00EB4933">
      <w:pPr>
        <w:pStyle w:val="NormalWeb"/>
        <w:spacing w:before="0" w:beforeAutospacing="0" w:after="0" w:afterAutospacing="0"/>
        <w:ind w:firstLine="720"/>
        <w:jc w:val="both"/>
        <w:divId w:val="98525094"/>
        <w:rPr>
          <w:sz w:val="20"/>
          <w:szCs w:val="20"/>
        </w:rPr>
      </w:pPr>
      <w:r>
        <w:rPr>
          <w:sz w:val="20"/>
          <w:szCs w:val="20"/>
        </w:rPr>
        <w:t>The registrant hereby certifies that it meets all of the requirements for filing its annual report on Form 20-F and that it has duly caused and authorized the undersigned to sign this annual report on its behalf.</w:t>
      </w:r>
    </w:p>
    <w:p w14:paraId="25EB9BA9" w14:textId="77777777" w:rsidR="00000000" w:rsidRDefault="00EB4933">
      <w:pPr>
        <w:pStyle w:val="NormalWeb"/>
        <w:spacing w:before="0" w:beforeAutospacing="0" w:after="0" w:afterAutospacing="0"/>
        <w:ind w:firstLine="72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668100BC" w14:textId="77777777">
        <w:trPr>
          <w:divId w:val="98525094"/>
          <w:trHeight w:val="225"/>
          <w:tblCellSpacing w:w="15" w:type="dxa"/>
        </w:trPr>
        <w:tc>
          <w:tcPr>
            <w:tcW w:w="0" w:type="auto"/>
            <w:vAlign w:val="center"/>
            <w:hideMark/>
          </w:tcPr>
          <w:p w14:paraId="5ABF793C" w14:textId="77777777" w:rsidR="00000000" w:rsidRDefault="00EB4933">
            <w:pPr>
              <w:rPr>
                <w:rFonts w:eastAsia="Times New Roman"/>
                <w:sz w:val="20"/>
                <w:szCs w:val="20"/>
              </w:rPr>
            </w:pPr>
            <w:r>
              <w:rPr>
                <w:rFonts w:eastAsia="Times New Roman"/>
                <w:sz w:val="20"/>
                <w:szCs w:val="20"/>
              </w:rPr>
              <w:t> </w:t>
            </w:r>
          </w:p>
        </w:tc>
        <w:tc>
          <w:tcPr>
            <w:tcW w:w="0" w:type="auto"/>
            <w:gridSpan w:val="2"/>
            <w:vAlign w:val="center"/>
            <w:hideMark/>
          </w:tcPr>
          <w:p w14:paraId="7E9AE0A3" w14:textId="77777777" w:rsidR="00000000" w:rsidRDefault="00EB4933">
            <w:pPr>
              <w:rPr>
                <w:rFonts w:eastAsia="Times New Roman"/>
                <w:sz w:val="20"/>
                <w:szCs w:val="20"/>
              </w:rPr>
            </w:pPr>
            <w:r>
              <w:rPr>
                <w:rStyle w:val="Strong"/>
                <w:rFonts w:eastAsia="Times New Roman"/>
                <w:sz w:val="20"/>
                <w:szCs w:val="20"/>
              </w:rPr>
              <w:t>DUNXIN FINANCIAL HOLDINGS LIMITED</w:t>
            </w:r>
          </w:p>
        </w:tc>
        <w:tc>
          <w:tcPr>
            <w:tcW w:w="0" w:type="auto"/>
            <w:vAlign w:val="center"/>
            <w:hideMark/>
          </w:tcPr>
          <w:p w14:paraId="16A8D85C" w14:textId="77777777" w:rsidR="00000000" w:rsidRDefault="00EB4933">
            <w:pPr>
              <w:rPr>
                <w:rFonts w:eastAsia="Times New Roman"/>
                <w:sz w:val="20"/>
                <w:szCs w:val="20"/>
              </w:rPr>
            </w:pPr>
          </w:p>
        </w:tc>
      </w:tr>
      <w:tr w:rsidR="00000000" w14:paraId="6E4F4B0A" w14:textId="77777777">
        <w:trPr>
          <w:divId w:val="98525094"/>
          <w:trHeight w:val="225"/>
          <w:tblCellSpacing w:w="15" w:type="dxa"/>
        </w:trPr>
        <w:tc>
          <w:tcPr>
            <w:tcW w:w="2500" w:type="pct"/>
            <w:vAlign w:val="center"/>
            <w:hideMark/>
          </w:tcPr>
          <w:p w14:paraId="7E0618CA" w14:textId="77777777" w:rsidR="00000000" w:rsidRDefault="00EB4933">
            <w:pPr>
              <w:rPr>
                <w:rFonts w:eastAsia="Times New Roman"/>
                <w:sz w:val="20"/>
                <w:szCs w:val="20"/>
              </w:rPr>
            </w:pPr>
            <w:r>
              <w:rPr>
                <w:rFonts w:eastAsia="Times New Roman"/>
                <w:sz w:val="20"/>
                <w:szCs w:val="20"/>
              </w:rPr>
              <w:t> </w:t>
            </w:r>
          </w:p>
        </w:tc>
        <w:tc>
          <w:tcPr>
            <w:tcW w:w="150" w:type="pct"/>
            <w:vAlign w:val="center"/>
            <w:hideMark/>
          </w:tcPr>
          <w:p w14:paraId="4AF1FE2F" w14:textId="77777777" w:rsidR="00000000" w:rsidRDefault="00EB4933">
            <w:pPr>
              <w:rPr>
                <w:rFonts w:eastAsia="Times New Roman"/>
                <w:sz w:val="20"/>
                <w:szCs w:val="20"/>
              </w:rPr>
            </w:pPr>
            <w:r>
              <w:rPr>
                <w:rFonts w:eastAsia="Times New Roman"/>
                <w:sz w:val="20"/>
                <w:szCs w:val="20"/>
              </w:rPr>
              <w:t> </w:t>
            </w:r>
          </w:p>
        </w:tc>
        <w:tc>
          <w:tcPr>
            <w:tcW w:w="1750" w:type="pct"/>
            <w:vAlign w:val="center"/>
            <w:hideMark/>
          </w:tcPr>
          <w:p w14:paraId="40B13434" w14:textId="77777777" w:rsidR="00000000" w:rsidRDefault="00EB4933">
            <w:pPr>
              <w:rPr>
                <w:rFonts w:eastAsia="Times New Roman"/>
                <w:sz w:val="20"/>
                <w:szCs w:val="20"/>
              </w:rPr>
            </w:pPr>
            <w:r>
              <w:rPr>
                <w:rFonts w:eastAsia="Times New Roman"/>
                <w:sz w:val="20"/>
                <w:szCs w:val="20"/>
              </w:rPr>
              <w:t> </w:t>
            </w:r>
          </w:p>
        </w:tc>
        <w:tc>
          <w:tcPr>
            <w:tcW w:w="600" w:type="pct"/>
            <w:vAlign w:val="center"/>
            <w:hideMark/>
          </w:tcPr>
          <w:p w14:paraId="692C94A4" w14:textId="77777777" w:rsidR="00000000" w:rsidRDefault="00EB4933">
            <w:pPr>
              <w:rPr>
                <w:rFonts w:eastAsia="Times New Roman"/>
                <w:sz w:val="20"/>
                <w:szCs w:val="20"/>
              </w:rPr>
            </w:pPr>
            <w:r>
              <w:rPr>
                <w:rFonts w:eastAsia="Times New Roman"/>
                <w:sz w:val="20"/>
                <w:szCs w:val="20"/>
              </w:rPr>
              <w:t> </w:t>
            </w:r>
          </w:p>
        </w:tc>
      </w:tr>
      <w:tr w:rsidR="00000000" w14:paraId="0D9514F6" w14:textId="77777777">
        <w:trPr>
          <w:divId w:val="98525094"/>
          <w:trHeight w:val="225"/>
          <w:tblCellSpacing w:w="15" w:type="dxa"/>
        </w:trPr>
        <w:tc>
          <w:tcPr>
            <w:tcW w:w="0" w:type="auto"/>
            <w:vAlign w:val="center"/>
            <w:hideMark/>
          </w:tcPr>
          <w:p w14:paraId="72FEBB50" w14:textId="77777777" w:rsidR="00000000" w:rsidRDefault="00EB4933">
            <w:pPr>
              <w:rPr>
                <w:rFonts w:eastAsia="Times New Roman"/>
                <w:sz w:val="20"/>
                <w:szCs w:val="20"/>
              </w:rPr>
            </w:pPr>
            <w:r>
              <w:rPr>
                <w:rFonts w:eastAsia="Times New Roman"/>
                <w:sz w:val="20"/>
                <w:szCs w:val="20"/>
              </w:rPr>
              <w:t>Date: November 9, 2020</w:t>
            </w:r>
          </w:p>
        </w:tc>
        <w:tc>
          <w:tcPr>
            <w:tcW w:w="0" w:type="auto"/>
            <w:vAlign w:val="center"/>
            <w:hideMark/>
          </w:tcPr>
          <w:p w14:paraId="3164CF7E" w14:textId="77777777" w:rsidR="00000000" w:rsidRDefault="00EB4933">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0378F01D" w14:textId="77777777" w:rsidR="00000000" w:rsidRDefault="00EB4933">
            <w:pPr>
              <w:rPr>
                <w:rFonts w:eastAsia="Times New Roman"/>
                <w:sz w:val="20"/>
                <w:szCs w:val="20"/>
              </w:rPr>
            </w:pPr>
            <w:r>
              <w:rPr>
                <w:rStyle w:val="Emphasis"/>
                <w:rFonts w:eastAsia="Times New Roman"/>
                <w:sz w:val="20"/>
                <w:szCs w:val="20"/>
              </w:rPr>
              <w:t>/s/ Ricky Qizhi Wei</w:t>
            </w:r>
          </w:p>
        </w:tc>
        <w:tc>
          <w:tcPr>
            <w:tcW w:w="0" w:type="auto"/>
            <w:vAlign w:val="center"/>
            <w:hideMark/>
          </w:tcPr>
          <w:p w14:paraId="51A04C1F" w14:textId="77777777" w:rsidR="00000000" w:rsidRDefault="00EB4933">
            <w:pPr>
              <w:rPr>
                <w:rFonts w:eastAsia="Times New Roman"/>
                <w:sz w:val="20"/>
                <w:szCs w:val="20"/>
              </w:rPr>
            </w:pPr>
          </w:p>
        </w:tc>
      </w:tr>
      <w:tr w:rsidR="00000000" w14:paraId="453D757D" w14:textId="77777777">
        <w:trPr>
          <w:divId w:val="98525094"/>
          <w:trHeight w:val="225"/>
          <w:tblCellSpacing w:w="15" w:type="dxa"/>
        </w:trPr>
        <w:tc>
          <w:tcPr>
            <w:tcW w:w="0" w:type="auto"/>
            <w:vAlign w:val="center"/>
            <w:hideMark/>
          </w:tcPr>
          <w:p w14:paraId="2B51D0B9"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7CC11B40"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173F627C" w14:textId="77777777" w:rsidR="00000000" w:rsidRDefault="00EB4933">
            <w:pPr>
              <w:rPr>
                <w:rFonts w:eastAsia="Times New Roman"/>
                <w:sz w:val="20"/>
                <w:szCs w:val="20"/>
              </w:rPr>
            </w:pPr>
            <w:r>
              <w:rPr>
                <w:rFonts w:eastAsia="Times New Roman"/>
                <w:sz w:val="20"/>
                <w:szCs w:val="20"/>
              </w:rPr>
              <w:t>Name: Ricky Qizhi Wei</w:t>
            </w:r>
          </w:p>
        </w:tc>
        <w:tc>
          <w:tcPr>
            <w:tcW w:w="0" w:type="auto"/>
            <w:vAlign w:val="center"/>
            <w:hideMark/>
          </w:tcPr>
          <w:p w14:paraId="75B1E8D0" w14:textId="77777777" w:rsidR="00000000" w:rsidRDefault="00EB4933">
            <w:pPr>
              <w:rPr>
                <w:rFonts w:eastAsia="Times New Roman"/>
                <w:sz w:val="20"/>
                <w:szCs w:val="20"/>
              </w:rPr>
            </w:pPr>
            <w:r>
              <w:rPr>
                <w:rFonts w:eastAsia="Times New Roman"/>
                <w:sz w:val="20"/>
                <w:szCs w:val="20"/>
              </w:rPr>
              <w:t> </w:t>
            </w:r>
          </w:p>
        </w:tc>
      </w:tr>
      <w:tr w:rsidR="00000000" w14:paraId="19EDC30C" w14:textId="77777777">
        <w:trPr>
          <w:divId w:val="98525094"/>
          <w:trHeight w:val="225"/>
          <w:tblCellSpacing w:w="15" w:type="dxa"/>
        </w:trPr>
        <w:tc>
          <w:tcPr>
            <w:tcW w:w="0" w:type="auto"/>
            <w:vAlign w:val="center"/>
            <w:hideMark/>
          </w:tcPr>
          <w:p w14:paraId="61D1150C" w14:textId="77777777" w:rsidR="00000000" w:rsidRDefault="00EB4933">
            <w:pPr>
              <w:rPr>
                <w:rFonts w:eastAsia="Times New Roman"/>
                <w:sz w:val="20"/>
                <w:szCs w:val="20"/>
              </w:rPr>
            </w:pPr>
            <w:r>
              <w:rPr>
                <w:rFonts w:eastAsia="Times New Roman"/>
                <w:sz w:val="20"/>
                <w:szCs w:val="20"/>
              </w:rPr>
              <w:t> </w:t>
            </w:r>
          </w:p>
        </w:tc>
        <w:tc>
          <w:tcPr>
            <w:tcW w:w="0" w:type="auto"/>
            <w:vAlign w:val="center"/>
            <w:hideMark/>
          </w:tcPr>
          <w:p w14:paraId="2D2168FE" w14:textId="77777777" w:rsidR="00000000" w:rsidRDefault="00EB4933">
            <w:pPr>
              <w:rPr>
                <w:rFonts w:eastAsia="Times New Roman"/>
                <w:sz w:val="20"/>
                <w:szCs w:val="20"/>
              </w:rPr>
            </w:pPr>
            <w:r>
              <w:rPr>
                <w:rFonts w:eastAsia="Times New Roman"/>
                <w:sz w:val="20"/>
                <w:szCs w:val="20"/>
              </w:rPr>
              <w:t> </w:t>
            </w:r>
          </w:p>
        </w:tc>
        <w:tc>
          <w:tcPr>
            <w:tcW w:w="0" w:type="auto"/>
            <w:vAlign w:val="center"/>
            <w:hideMark/>
          </w:tcPr>
          <w:p w14:paraId="75C5A6DF" w14:textId="77777777" w:rsidR="00000000" w:rsidRDefault="00EB4933">
            <w:pPr>
              <w:rPr>
                <w:rFonts w:eastAsia="Times New Roman"/>
                <w:sz w:val="20"/>
                <w:szCs w:val="20"/>
              </w:rPr>
            </w:pPr>
            <w:r>
              <w:rPr>
                <w:rFonts w:eastAsia="Times New Roman"/>
                <w:sz w:val="20"/>
                <w:szCs w:val="20"/>
              </w:rPr>
              <w:t>Title: Chairman and Chief Executive Officer</w:t>
            </w:r>
          </w:p>
        </w:tc>
        <w:tc>
          <w:tcPr>
            <w:tcW w:w="0" w:type="auto"/>
            <w:vAlign w:val="center"/>
            <w:hideMark/>
          </w:tcPr>
          <w:p w14:paraId="3A9FA79B" w14:textId="77777777" w:rsidR="00000000" w:rsidRDefault="00EB4933">
            <w:pPr>
              <w:rPr>
                <w:rFonts w:eastAsia="Times New Roman"/>
                <w:sz w:val="20"/>
                <w:szCs w:val="20"/>
              </w:rPr>
            </w:pPr>
            <w:r>
              <w:rPr>
                <w:rFonts w:eastAsia="Times New Roman"/>
                <w:sz w:val="20"/>
                <w:szCs w:val="20"/>
              </w:rPr>
              <w:t> </w:t>
            </w:r>
          </w:p>
        </w:tc>
      </w:tr>
      <w:tr w:rsidR="00000000" w14:paraId="3D6F6A52" w14:textId="77777777">
        <w:trPr>
          <w:divId w:val="98525094"/>
          <w:trHeight w:val="225"/>
          <w:tblCellSpacing w:w="15" w:type="dxa"/>
        </w:trPr>
        <w:tc>
          <w:tcPr>
            <w:tcW w:w="0" w:type="auto"/>
            <w:vAlign w:val="center"/>
            <w:hideMark/>
          </w:tcPr>
          <w:p w14:paraId="51605FC0" w14:textId="77777777" w:rsidR="00000000" w:rsidRDefault="00EB4933">
            <w:pPr>
              <w:rPr>
                <w:rFonts w:eastAsia="Times New Roman"/>
                <w:sz w:val="20"/>
                <w:szCs w:val="20"/>
              </w:rPr>
            </w:pPr>
            <w:r>
              <w:rPr>
                <w:rFonts w:eastAsia="Times New Roman"/>
                <w:sz w:val="20"/>
                <w:szCs w:val="20"/>
              </w:rPr>
              <w:t> </w:t>
            </w:r>
          </w:p>
        </w:tc>
        <w:tc>
          <w:tcPr>
            <w:tcW w:w="0" w:type="auto"/>
            <w:vAlign w:val="center"/>
            <w:hideMark/>
          </w:tcPr>
          <w:p w14:paraId="79463205" w14:textId="77777777" w:rsidR="00000000" w:rsidRDefault="00EB4933">
            <w:pPr>
              <w:rPr>
                <w:rFonts w:eastAsia="Times New Roman"/>
                <w:sz w:val="20"/>
                <w:szCs w:val="20"/>
              </w:rPr>
            </w:pPr>
            <w:r>
              <w:rPr>
                <w:rFonts w:eastAsia="Times New Roman"/>
                <w:sz w:val="20"/>
                <w:szCs w:val="20"/>
              </w:rPr>
              <w:t> </w:t>
            </w:r>
          </w:p>
        </w:tc>
        <w:tc>
          <w:tcPr>
            <w:tcW w:w="0" w:type="auto"/>
            <w:vAlign w:val="center"/>
            <w:hideMark/>
          </w:tcPr>
          <w:p w14:paraId="14F9F1E4" w14:textId="77777777" w:rsidR="00000000" w:rsidRDefault="00EB4933">
            <w:pPr>
              <w:rPr>
                <w:rFonts w:eastAsia="Times New Roman"/>
                <w:sz w:val="20"/>
                <w:szCs w:val="20"/>
              </w:rPr>
            </w:pPr>
            <w:r>
              <w:rPr>
                <w:rFonts w:eastAsia="Times New Roman"/>
                <w:sz w:val="20"/>
                <w:szCs w:val="20"/>
              </w:rPr>
              <w:t> </w:t>
            </w:r>
          </w:p>
        </w:tc>
        <w:tc>
          <w:tcPr>
            <w:tcW w:w="0" w:type="auto"/>
            <w:vAlign w:val="center"/>
            <w:hideMark/>
          </w:tcPr>
          <w:p w14:paraId="53C165E8" w14:textId="77777777" w:rsidR="00000000" w:rsidRDefault="00EB4933">
            <w:pPr>
              <w:rPr>
                <w:rFonts w:eastAsia="Times New Roman"/>
                <w:sz w:val="20"/>
                <w:szCs w:val="20"/>
              </w:rPr>
            </w:pPr>
            <w:r>
              <w:rPr>
                <w:rFonts w:eastAsia="Times New Roman"/>
                <w:sz w:val="20"/>
                <w:szCs w:val="20"/>
              </w:rPr>
              <w:t> </w:t>
            </w:r>
          </w:p>
        </w:tc>
      </w:tr>
    </w:tbl>
    <w:p w14:paraId="764E9AFC"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6ECB8CF" w14:textId="77777777">
        <w:trPr>
          <w:divId w:val="98525094"/>
          <w:trHeight w:val="225"/>
          <w:tblCellSpacing w:w="15" w:type="dxa"/>
        </w:trPr>
        <w:tc>
          <w:tcPr>
            <w:tcW w:w="0" w:type="auto"/>
            <w:vAlign w:val="center"/>
            <w:hideMark/>
          </w:tcPr>
          <w:p w14:paraId="409CB586" w14:textId="77777777" w:rsidR="00000000" w:rsidRDefault="00EB4933">
            <w:pPr>
              <w:rPr>
                <w:rFonts w:eastAsia="Times New Roman"/>
                <w:sz w:val="20"/>
                <w:szCs w:val="20"/>
              </w:rPr>
            </w:pPr>
            <w:r>
              <w:rPr>
                <w:rFonts w:eastAsia="Times New Roman"/>
                <w:sz w:val="20"/>
                <w:szCs w:val="20"/>
              </w:rPr>
              <w:t> </w:t>
            </w:r>
          </w:p>
        </w:tc>
      </w:tr>
      <w:tr w:rsidR="00000000" w14:paraId="4A95D7BE" w14:textId="77777777">
        <w:trPr>
          <w:divId w:val="98525094"/>
          <w:trHeight w:val="225"/>
          <w:tblCellSpacing w:w="15" w:type="dxa"/>
        </w:trPr>
        <w:tc>
          <w:tcPr>
            <w:tcW w:w="0" w:type="auto"/>
            <w:tcBorders>
              <w:bottom w:val="single" w:sz="6" w:space="0" w:color="000000"/>
            </w:tcBorders>
            <w:vAlign w:val="center"/>
            <w:hideMark/>
          </w:tcPr>
          <w:p w14:paraId="527AC2F3" w14:textId="77777777" w:rsidR="00000000" w:rsidRDefault="00EB4933">
            <w:pPr>
              <w:jc w:val="center"/>
              <w:rPr>
                <w:rFonts w:eastAsia="Times New Roman"/>
                <w:sz w:val="20"/>
                <w:szCs w:val="20"/>
              </w:rPr>
            </w:pPr>
            <w:r>
              <w:rPr>
                <w:rFonts w:eastAsia="Times New Roman"/>
                <w:sz w:val="20"/>
                <w:szCs w:val="20"/>
              </w:rPr>
              <w:t>110</w:t>
            </w:r>
          </w:p>
        </w:tc>
      </w:tr>
      <w:tr w:rsidR="00000000" w14:paraId="33366F09" w14:textId="77777777">
        <w:trPr>
          <w:divId w:val="98525094"/>
          <w:trHeight w:val="225"/>
          <w:tblCellSpacing w:w="15" w:type="dxa"/>
        </w:trPr>
        <w:tc>
          <w:tcPr>
            <w:tcW w:w="0" w:type="auto"/>
            <w:vAlign w:val="center"/>
            <w:hideMark/>
          </w:tcPr>
          <w:p w14:paraId="71826A57" w14:textId="77777777" w:rsidR="00000000" w:rsidRDefault="00EB4933">
            <w:pPr>
              <w:rPr>
                <w:rFonts w:eastAsia="Times New Roman"/>
                <w:sz w:val="20"/>
                <w:szCs w:val="20"/>
              </w:rPr>
            </w:pPr>
          </w:p>
        </w:tc>
      </w:tr>
      <w:tr w:rsidR="00000000" w14:paraId="41B52F42" w14:textId="77777777">
        <w:trPr>
          <w:divId w:val="98525094"/>
          <w:trHeight w:val="225"/>
          <w:tblCellSpacing w:w="15" w:type="dxa"/>
        </w:trPr>
        <w:tc>
          <w:tcPr>
            <w:tcW w:w="0" w:type="auto"/>
            <w:vAlign w:val="center"/>
            <w:hideMark/>
          </w:tcPr>
          <w:p w14:paraId="4A4E879B" w14:textId="77777777" w:rsidR="00000000" w:rsidRDefault="00EB4933">
            <w:pPr>
              <w:rPr>
                <w:rFonts w:eastAsia="Times New Roman"/>
                <w:sz w:val="20"/>
                <w:szCs w:val="20"/>
              </w:rPr>
            </w:pPr>
            <w:hyperlink r:id="rId212" w:anchor="toc" w:history="1">
              <w:r>
                <w:rPr>
                  <w:rStyle w:val="Hyperlink"/>
                  <w:rFonts w:eastAsia="Times New Roman"/>
                  <w:i/>
                  <w:iCs/>
                  <w:sz w:val="20"/>
                  <w:szCs w:val="20"/>
                </w:rPr>
                <w:t>Table of Contents</w:t>
              </w:r>
            </w:hyperlink>
          </w:p>
        </w:tc>
      </w:tr>
    </w:tbl>
    <w:p w14:paraId="5EE2CAA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D85FE3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875E2F0" w14:textId="77777777" w:rsidR="00000000" w:rsidRDefault="00EB4933">
      <w:pPr>
        <w:pStyle w:val="NormalWeb"/>
        <w:spacing w:before="0" w:beforeAutospacing="0" w:after="0" w:afterAutospacing="0"/>
        <w:jc w:val="center"/>
        <w:divId w:val="98525094"/>
        <w:rPr>
          <w:sz w:val="20"/>
          <w:szCs w:val="20"/>
        </w:rPr>
      </w:pPr>
      <w:bookmarkStart w:id="34" w:name="finindex"/>
      <w:r>
        <w:rPr>
          <w:rStyle w:val="Strong"/>
          <w:sz w:val="20"/>
          <w:szCs w:val="20"/>
        </w:rPr>
        <w:t>DUNXIN FINANCIAL HOLDINGS LIMITED</w:t>
      </w:r>
      <w:bookmarkEnd w:id="34"/>
    </w:p>
    <w:p w14:paraId="3D8FE70E"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INDEX TO CONSOLIDATED FINANCIAL STATEMENTS</w:t>
      </w:r>
    </w:p>
    <w:p w14:paraId="549FE411"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8123"/>
        <w:gridCol w:w="122"/>
        <w:gridCol w:w="122"/>
        <w:gridCol w:w="856"/>
        <w:gridCol w:w="137"/>
      </w:tblGrid>
      <w:tr w:rsidR="00000000" w14:paraId="512DE3D1" w14:textId="77777777">
        <w:trPr>
          <w:divId w:val="98525094"/>
          <w:trHeight w:val="225"/>
          <w:tblCellSpacing w:w="15" w:type="dxa"/>
        </w:trPr>
        <w:tc>
          <w:tcPr>
            <w:tcW w:w="0" w:type="auto"/>
            <w:vAlign w:val="center"/>
            <w:hideMark/>
          </w:tcPr>
          <w:p w14:paraId="14FD542B"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5592AFFD" w14:textId="77777777" w:rsidR="00000000" w:rsidRDefault="00EB4933">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vAlign w:val="bottom"/>
            <w:hideMark/>
          </w:tcPr>
          <w:p w14:paraId="777669DA" w14:textId="77777777" w:rsidR="00000000" w:rsidRDefault="00EB4933">
            <w:pPr>
              <w:pStyle w:val="NormalWeb"/>
              <w:spacing w:before="0" w:beforeAutospacing="0" w:after="0" w:afterAutospacing="0"/>
              <w:jc w:val="center"/>
              <w:rPr>
                <w:sz w:val="20"/>
                <w:szCs w:val="20"/>
              </w:rPr>
            </w:pPr>
            <w:r>
              <w:rPr>
                <w:rStyle w:val="Strong"/>
                <w:sz w:val="20"/>
                <w:szCs w:val="20"/>
              </w:rPr>
              <w:t>Page</w:t>
            </w:r>
          </w:p>
        </w:tc>
        <w:tc>
          <w:tcPr>
            <w:tcW w:w="0" w:type="auto"/>
            <w:vAlign w:val="center"/>
            <w:hideMark/>
          </w:tcPr>
          <w:p w14:paraId="14C7D472" w14:textId="77777777" w:rsidR="00000000" w:rsidRDefault="00EB4933">
            <w:pPr>
              <w:pStyle w:val="NormalWeb"/>
              <w:spacing w:before="0" w:beforeAutospacing="0" w:after="0" w:afterAutospacing="0"/>
              <w:rPr>
                <w:sz w:val="20"/>
                <w:szCs w:val="20"/>
              </w:rPr>
            </w:pPr>
            <w:r>
              <w:rPr>
                <w:sz w:val="20"/>
                <w:szCs w:val="20"/>
              </w:rPr>
              <w:t> </w:t>
            </w:r>
          </w:p>
        </w:tc>
      </w:tr>
      <w:tr w:rsidR="00000000" w14:paraId="1106F9C7" w14:textId="77777777">
        <w:trPr>
          <w:divId w:val="98525094"/>
          <w:trHeight w:val="225"/>
          <w:tblCellSpacing w:w="15" w:type="dxa"/>
        </w:trPr>
        <w:tc>
          <w:tcPr>
            <w:tcW w:w="0" w:type="auto"/>
            <w:shd w:val="clear" w:color="auto" w:fill="CCEEFF"/>
            <w:hideMark/>
          </w:tcPr>
          <w:p w14:paraId="6889B0ED" w14:textId="77777777" w:rsidR="00000000" w:rsidRDefault="00EB4933">
            <w:pPr>
              <w:pStyle w:val="NormalWeb"/>
              <w:spacing w:before="0" w:beforeAutospacing="0" w:after="0" w:afterAutospacing="0"/>
              <w:rPr>
                <w:sz w:val="20"/>
                <w:szCs w:val="20"/>
              </w:rPr>
            </w:pPr>
            <w:hyperlink r:id="rId213" w:anchor="r" w:history="1">
              <w:r>
                <w:rPr>
                  <w:rStyle w:val="Hyperlink"/>
                  <w:sz w:val="20"/>
                  <w:szCs w:val="20"/>
                </w:rPr>
                <w:t>Report of Independent Registered Public Accounting Firm</w:t>
              </w:r>
            </w:hyperlink>
          </w:p>
        </w:tc>
        <w:tc>
          <w:tcPr>
            <w:tcW w:w="50" w:type="pct"/>
            <w:shd w:val="clear" w:color="auto" w:fill="CCEEFF"/>
            <w:vAlign w:val="center"/>
            <w:hideMark/>
          </w:tcPr>
          <w:p w14:paraId="0555527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35483A1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EE9BFC1" w14:textId="77777777" w:rsidR="00000000" w:rsidRDefault="00EB4933">
            <w:pPr>
              <w:pStyle w:val="NormalWeb"/>
              <w:spacing w:before="0" w:beforeAutospacing="0" w:after="0" w:afterAutospacing="0"/>
              <w:jc w:val="right"/>
              <w:rPr>
                <w:sz w:val="20"/>
                <w:szCs w:val="20"/>
              </w:rPr>
            </w:pPr>
            <w:r>
              <w:rPr>
                <w:sz w:val="20"/>
                <w:szCs w:val="20"/>
              </w:rPr>
              <w:t>F-2</w:t>
            </w:r>
          </w:p>
        </w:tc>
        <w:tc>
          <w:tcPr>
            <w:tcW w:w="50" w:type="pct"/>
            <w:shd w:val="clear" w:color="auto" w:fill="CCEEFF"/>
            <w:vAlign w:val="center"/>
            <w:hideMark/>
          </w:tcPr>
          <w:p w14:paraId="586E0D74" w14:textId="77777777" w:rsidR="00000000" w:rsidRDefault="00EB4933">
            <w:pPr>
              <w:pStyle w:val="NormalWeb"/>
              <w:spacing w:before="0" w:beforeAutospacing="0" w:after="0" w:afterAutospacing="0"/>
              <w:rPr>
                <w:sz w:val="20"/>
                <w:szCs w:val="20"/>
              </w:rPr>
            </w:pPr>
            <w:r>
              <w:rPr>
                <w:sz w:val="20"/>
                <w:szCs w:val="20"/>
              </w:rPr>
              <w:t> </w:t>
            </w:r>
          </w:p>
        </w:tc>
      </w:tr>
      <w:tr w:rsidR="00000000" w14:paraId="0C23EEA5" w14:textId="77777777">
        <w:trPr>
          <w:divId w:val="98525094"/>
          <w:trHeight w:val="225"/>
          <w:tblCellSpacing w:w="15" w:type="dxa"/>
        </w:trPr>
        <w:tc>
          <w:tcPr>
            <w:tcW w:w="0" w:type="auto"/>
            <w:shd w:val="clear" w:color="auto" w:fill="FFFFFF"/>
            <w:hideMark/>
          </w:tcPr>
          <w:p w14:paraId="53A90A94" w14:textId="77777777" w:rsidR="00000000" w:rsidRDefault="00EB4933">
            <w:pPr>
              <w:pStyle w:val="NormalWeb"/>
              <w:spacing w:before="0" w:beforeAutospacing="0" w:after="0" w:afterAutospacing="0"/>
              <w:rPr>
                <w:sz w:val="20"/>
                <w:szCs w:val="20"/>
              </w:rPr>
            </w:pPr>
            <w:hyperlink r:id="rId214" w:anchor="bs" w:history="1">
              <w:r>
                <w:rPr>
                  <w:rStyle w:val="Hyperlink"/>
                  <w:sz w:val="20"/>
                  <w:szCs w:val="20"/>
                </w:rPr>
                <w:t>Consolidated Statements of Profit and Other Comprehensive Income for the years ended December 31, 2017, 2018 and 2019</w:t>
              </w:r>
            </w:hyperlink>
          </w:p>
        </w:tc>
        <w:tc>
          <w:tcPr>
            <w:tcW w:w="0" w:type="auto"/>
            <w:shd w:val="clear" w:color="auto" w:fill="FFFFFF"/>
            <w:vAlign w:val="center"/>
            <w:hideMark/>
          </w:tcPr>
          <w:p w14:paraId="1707ADF4"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CA9297B"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20A9243C" w14:textId="77777777" w:rsidR="00000000" w:rsidRDefault="00EB4933">
            <w:pPr>
              <w:pStyle w:val="NormalWeb"/>
              <w:spacing w:before="0" w:beforeAutospacing="0" w:after="0" w:afterAutospacing="0"/>
              <w:jc w:val="right"/>
              <w:rPr>
                <w:sz w:val="20"/>
                <w:szCs w:val="20"/>
              </w:rPr>
            </w:pPr>
            <w:r>
              <w:rPr>
                <w:sz w:val="20"/>
                <w:szCs w:val="20"/>
              </w:rPr>
              <w:t>F-5</w:t>
            </w:r>
          </w:p>
        </w:tc>
        <w:tc>
          <w:tcPr>
            <w:tcW w:w="0" w:type="auto"/>
            <w:shd w:val="clear" w:color="auto" w:fill="FFFFFF"/>
            <w:vAlign w:val="center"/>
            <w:hideMark/>
          </w:tcPr>
          <w:p w14:paraId="13DFCF64" w14:textId="77777777" w:rsidR="00000000" w:rsidRDefault="00EB4933">
            <w:pPr>
              <w:pStyle w:val="NormalWeb"/>
              <w:spacing w:before="0" w:beforeAutospacing="0" w:after="0" w:afterAutospacing="0"/>
              <w:rPr>
                <w:sz w:val="20"/>
                <w:szCs w:val="20"/>
              </w:rPr>
            </w:pPr>
            <w:r>
              <w:rPr>
                <w:sz w:val="20"/>
                <w:szCs w:val="20"/>
              </w:rPr>
              <w:t> </w:t>
            </w:r>
          </w:p>
        </w:tc>
      </w:tr>
      <w:tr w:rsidR="00000000" w14:paraId="777026C4" w14:textId="77777777">
        <w:trPr>
          <w:divId w:val="98525094"/>
          <w:trHeight w:val="225"/>
          <w:tblCellSpacing w:w="15" w:type="dxa"/>
        </w:trPr>
        <w:tc>
          <w:tcPr>
            <w:tcW w:w="0" w:type="auto"/>
            <w:shd w:val="clear" w:color="auto" w:fill="CCEEFF"/>
            <w:hideMark/>
          </w:tcPr>
          <w:p w14:paraId="5986F613" w14:textId="77777777" w:rsidR="00000000" w:rsidRDefault="00EB4933">
            <w:pPr>
              <w:pStyle w:val="NormalWeb"/>
              <w:spacing w:before="0" w:beforeAutospacing="0" w:after="0" w:afterAutospacing="0"/>
              <w:rPr>
                <w:sz w:val="20"/>
                <w:szCs w:val="20"/>
              </w:rPr>
            </w:pPr>
            <w:hyperlink r:id="rId215" w:anchor="sop" w:history="1">
              <w:r>
                <w:rPr>
                  <w:rStyle w:val="Hyperlink"/>
                  <w:sz w:val="20"/>
                  <w:szCs w:val="20"/>
                </w:rPr>
                <w:t>Consolidated Statements of Financial Position as at December 31, 2018 and 2019</w:t>
              </w:r>
            </w:hyperlink>
          </w:p>
        </w:tc>
        <w:tc>
          <w:tcPr>
            <w:tcW w:w="0" w:type="auto"/>
            <w:shd w:val="clear" w:color="auto" w:fill="CCEEFF"/>
            <w:vAlign w:val="center"/>
            <w:hideMark/>
          </w:tcPr>
          <w:p w14:paraId="299B1158"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3CF519A9"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21E6472E" w14:textId="77777777" w:rsidR="00000000" w:rsidRDefault="00EB4933">
            <w:pPr>
              <w:pStyle w:val="NormalWeb"/>
              <w:spacing w:before="0" w:beforeAutospacing="0" w:after="0" w:afterAutospacing="0"/>
              <w:jc w:val="right"/>
              <w:rPr>
                <w:sz w:val="20"/>
                <w:szCs w:val="20"/>
              </w:rPr>
            </w:pPr>
            <w:r>
              <w:rPr>
                <w:sz w:val="20"/>
                <w:szCs w:val="20"/>
              </w:rPr>
              <w:t>F-6</w:t>
            </w:r>
          </w:p>
        </w:tc>
        <w:tc>
          <w:tcPr>
            <w:tcW w:w="0" w:type="auto"/>
            <w:shd w:val="clear" w:color="auto" w:fill="CCEEFF"/>
            <w:vAlign w:val="center"/>
            <w:hideMark/>
          </w:tcPr>
          <w:p w14:paraId="1A4580F0" w14:textId="77777777" w:rsidR="00000000" w:rsidRDefault="00EB4933">
            <w:pPr>
              <w:pStyle w:val="NormalWeb"/>
              <w:spacing w:before="0" w:beforeAutospacing="0" w:after="0" w:afterAutospacing="0"/>
              <w:rPr>
                <w:sz w:val="20"/>
                <w:szCs w:val="20"/>
              </w:rPr>
            </w:pPr>
            <w:r>
              <w:rPr>
                <w:sz w:val="20"/>
                <w:szCs w:val="20"/>
              </w:rPr>
              <w:t> </w:t>
            </w:r>
          </w:p>
        </w:tc>
      </w:tr>
      <w:tr w:rsidR="00000000" w14:paraId="27CDF98E" w14:textId="77777777">
        <w:trPr>
          <w:divId w:val="98525094"/>
          <w:trHeight w:val="225"/>
          <w:tblCellSpacing w:w="15" w:type="dxa"/>
        </w:trPr>
        <w:tc>
          <w:tcPr>
            <w:tcW w:w="0" w:type="auto"/>
            <w:shd w:val="clear" w:color="auto" w:fill="FFFFFF"/>
            <w:hideMark/>
          </w:tcPr>
          <w:p w14:paraId="248C1428" w14:textId="77777777" w:rsidR="00000000" w:rsidRDefault="00EB4933">
            <w:pPr>
              <w:pStyle w:val="NormalWeb"/>
              <w:spacing w:before="0" w:beforeAutospacing="0" w:after="0" w:afterAutospacing="0"/>
              <w:rPr>
                <w:sz w:val="20"/>
                <w:szCs w:val="20"/>
              </w:rPr>
            </w:pPr>
            <w:hyperlink r:id="rId216" w:anchor="eq" w:history="1">
              <w:r>
                <w:rPr>
                  <w:rStyle w:val="Hyperlink"/>
                  <w:sz w:val="20"/>
                  <w:szCs w:val="20"/>
                </w:rPr>
                <w:t>Consolidated Statements of Changes in Equity for the years ended December 31, 2017, 2018 and 2019</w:t>
              </w:r>
            </w:hyperlink>
          </w:p>
        </w:tc>
        <w:tc>
          <w:tcPr>
            <w:tcW w:w="0" w:type="auto"/>
            <w:shd w:val="clear" w:color="auto" w:fill="FFFFFF"/>
            <w:vAlign w:val="center"/>
            <w:hideMark/>
          </w:tcPr>
          <w:p w14:paraId="2CEE0C30"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356561E"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62329E14" w14:textId="77777777" w:rsidR="00000000" w:rsidRDefault="00EB4933">
            <w:pPr>
              <w:pStyle w:val="NormalWeb"/>
              <w:spacing w:before="0" w:beforeAutospacing="0" w:after="0" w:afterAutospacing="0"/>
              <w:jc w:val="right"/>
              <w:rPr>
                <w:sz w:val="20"/>
                <w:szCs w:val="20"/>
              </w:rPr>
            </w:pPr>
            <w:r>
              <w:rPr>
                <w:sz w:val="20"/>
                <w:szCs w:val="20"/>
              </w:rPr>
              <w:t>F-7</w:t>
            </w:r>
          </w:p>
        </w:tc>
        <w:tc>
          <w:tcPr>
            <w:tcW w:w="0" w:type="auto"/>
            <w:shd w:val="clear" w:color="auto" w:fill="FFFFFF"/>
            <w:vAlign w:val="center"/>
            <w:hideMark/>
          </w:tcPr>
          <w:p w14:paraId="4AE755A8" w14:textId="77777777" w:rsidR="00000000" w:rsidRDefault="00EB4933">
            <w:pPr>
              <w:pStyle w:val="NormalWeb"/>
              <w:spacing w:before="0" w:beforeAutospacing="0" w:after="0" w:afterAutospacing="0"/>
              <w:rPr>
                <w:sz w:val="20"/>
                <w:szCs w:val="20"/>
              </w:rPr>
            </w:pPr>
            <w:r>
              <w:rPr>
                <w:sz w:val="20"/>
                <w:szCs w:val="20"/>
              </w:rPr>
              <w:t> </w:t>
            </w:r>
          </w:p>
        </w:tc>
      </w:tr>
      <w:tr w:rsidR="00000000" w14:paraId="7D500179" w14:textId="77777777">
        <w:trPr>
          <w:divId w:val="98525094"/>
          <w:trHeight w:val="225"/>
          <w:tblCellSpacing w:w="15" w:type="dxa"/>
        </w:trPr>
        <w:tc>
          <w:tcPr>
            <w:tcW w:w="0" w:type="auto"/>
            <w:shd w:val="clear" w:color="auto" w:fill="CCEEFF"/>
            <w:hideMark/>
          </w:tcPr>
          <w:p w14:paraId="23EB892A" w14:textId="77777777" w:rsidR="00000000" w:rsidRDefault="00EB4933">
            <w:pPr>
              <w:pStyle w:val="NormalWeb"/>
              <w:spacing w:before="0" w:beforeAutospacing="0" w:after="0" w:afterAutospacing="0"/>
              <w:rPr>
                <w:sz w:val="20"/>
                <w:szCs w:val="20"/>
              </w:rPr>
            </w:pPr>
            <w:hyperlink r:id="rId217" w:anchor="cf" w:history="1">
              <w:r>
                <w:rPr>
                  <w:rStyle w:val="Hyperlink"/>
                  <w:sz w:val="20"/>
                  <w:szCs w:val="20"/>
                </w:rPr>
                <w:t>Consolidated Statements of Cash Flows for the years ended December 31, 2017, 2018 and 2019</w:t>
              </w:r>
            </w:hyperlink>
          </w:p>
        </w:tc>
        <w:tc>
          <w:tcPr>
            <w:tcW w:w="0" w:type="auto"/>
            <w:shd w:val="clear" w:color="auto" w:fill="CCEEFF"/>
            <w:vAlign w:val="center"/>
            <w:hideMark/>
          </w:tcPr>
          <w:p w14:paraId="1DF9DC2A"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157FEAD0"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675FDFD6" w14:textId="77777777" w:rsidR="00000000" w:rsidRDefault="00EB4933">
            <w:pPr>
              <w:pStyle w:val="NormalWeb"/>
              <w:spacing w:before="0" w:beforeAutospacing="0" w:after="0" w:afterAutospacing="0"/>
              <w:jc w:val="right"/>
              <w:rPr>
                <w:sz w:val="20"/>
                <w:szCs w:val="20"/>
              </w:rPr>
            </w:pPr>
            <w:r>
              <w:rPr>
                <w:sz w:val="20"/>
                <w:szCs w:val="20"/>
              </w:rPr>
              <w:t>F-8</w:t>
            </w:r>
          </w:p>
        </w:tc>
        <w:tc>
          <w:tcPr>
            <w:tcW w:w="0" w:type="auto"/>
            <w:shd w:val="clear" w:color="auto" w:fill="CCEEFF"/>
            <w:vAlign w:val="center"/>
            <w:hideMark/>
          </w:tcPr>
          <w:p w14:paraId="641B105F" w14:textId="77777777" w:rsidR="00000000" w:rsidRDefault="00EB4933">
            <w:pPr>
              <w:pStyle w:val="NormalWeb"/>
              <w:spacing w:before="0" w:beforeAutospacing="0" w:after="0" w:afterAutospacing="0"/>
              <w:rPr>
                <w:sz w:val="20"/>
                <w:szCs w:val="20"/>
              </w:rPr>
            </w:pPr>
            <w:r>
              <w:rPr>
                <w:sz w:val="20"/>
                <w:szCs w:val="20"/>
              </w:rPr>
              <w:t> </w:t>
            </w:r>
          </w:p>
        </w:tc>
      </w:tr>
      <w:tr w:rsidR="00000000" w14:paraId="2BFE67F6" w14:textId="77777777">
        <w:trPr>
          <w:divId w:val="98525094"/>
          <w:trHeight w:val="225"/>
          <w:tblCellSpacing w:w="15" w:type="dxa"/>
        </w:trPr>
        <w:tc>
          <w:tcPr>
            <w:tcW w:w="0" w:type="auto"/>
            <w:shd w:val="clear" w:color="auto" w:fill="FFFFFF"/>
            <w:hideMark/>
          </w:tcPr>
          <w:p w14:paraId="01556D8E" w14:textId="77777777" w:rsidR="00000000" w:rsidRDefault="00EB4933">
            <w:pPr>
              <w:pStyle w:val="NormalWeb"/>
              <w:spacing w:before="0" w:beforeAutospacing="0" w:after="0" w:afterAutospacing="0"/>
              <w:rPr>
                <w:sz w:val="20"/>
                <w:szCs w:val="20"/>
              </w:rPr>
            </w:pPr>
            <w:hyperlink r:id="rId218" w:anchor="n" w:history="1">
              <w:r>
                <w:rPr>
                  <w:rStyle w:val="Hyperlink"/>
                  <w:sz w:val="20"/>
                  <w:szCs w:val="20"/>
                </w:rPr>
                <w:t>Notes to the Consolidated Financial Statements</w:t>
              </w:r>
            </w:hyperlink>
          </w:p>
        </w:tc>
        <w:tc>
          <w:tcPr>
            <w:tcW w:w="0" w:type="auto"/>
            <w:shd w:val="clear" w:color="auto" w:fill="FFFFFF"/>
            <w:vAlign w:val="center"/>
            <w:hideMark/>
          </w:tcPr>
          <w:p w14:paraId="455897F5"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2CA74C2"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5BEE2B37" w14:textId="77777777" w:rsidR="00000000" w:rsidRDefault="00EB4933">
            <w:pPr>
              <w:pStyle w:val="NormalWeb"/>
              <w:spacing w:before="0" w:beforeAutospacing="0" w:after="0" w:afterAutospacing="0"/>
              <w:jc w:val="right"/>
              <w:rPr>
                <w:sz w:val="20"/>
                <w:szCs w:val="20"/>
              </w:rPr>
            </w:pPr>
            <w:r>
              <w:rPr>
                <w:sz w:val="20"/>
                <w:szCs w:val="20"/>
              </w:rPr>
              <w:t>F-9</w:t>
            </w:r>
          </w:p>
        </w:tc>
        <w:tc>
          <w:tcPr>
            <w:tcW w:w="0" w:type="auto"/>
            <w:shd w:val="clear" w:color="auto" w:fill="FFFFFF"/>
            <w:vAlign w:val="center"/>
            <w:hideMark/>
          </w:tcPr>
          <w:p w14:paraId="5AFCB6D1" w14:textId="77777777" w:rsidR="00000000" w:rsidRDefault="00EB4933">
            <w:pPr>
              <w:pStyle w:val="NormalWeb"/>
              <w:spacing w:before="0" w:beforeAutospacing="0" w:after="0" w:afterAutospacing="0"/>
              <w:rPr>
                <w:sz w:val="20"/>
                <w:szCs w:val="20"/>
              </w:rPr>
            </w:pPr>
            <w:r>
              <w:rPr>
                <w:sz w:val="20"/>
                <w:szCs w:val="20"/>
              </w:rPr>
              <w:t> </w:t>
            </w:r>
          </w:p>
        </w:tc>
      </w:tr>
    </w:tbl>
    <w:p w14:paraId="59E721C1"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9740E26" w14:textId="77777777">
        <w:trPr>
          <w:divId w:val="98525094"/>
          <w:trHeight w:val="225"/>
          <w:tblCellSpacing w:w="15" w:type="dxa"/>
        </w:trPr>
        <w:tc>
          <w:tcPr>
            <w:tcW w:w="0" w:type="auto"/>
            <w:vAlign w:val="center"/>
            <w:hideMark/>
          </w:tcPr>
          <w:p w14:paraId="1306DDB4" w14:textId="77777777" w:rsidR="00000000" w:rsidRDefault="00EB4933">
            <w:pPr>
              <w:rPr>
                <w:rFonts w:eastAsia="Times New Roman"/>
                <w:sz w:val="20"/>
                <w:szCs w:val="20"/>
              </w:rPr>
            </w:pPr>
            <w:r>
              <w:rPr>
                <w:rFonts w:eastAsia="Times New Roman"/>
                <w:sz w:val="20"/>
                <w:szCs w:val="20"/>
              </w:rPr>
              <w:t> </w:t>
            </w:r>
          </w:p>
        </w:tc>
      </w:tr>
      <w:tr w:rsidR="00000000" w14:paraId="362582C1" w14:textId="77777777">
        <w:trPr>
          <w:divId w:val="98525094"/>
          <w:trHeight w:val="225"/>
          <w:tblCellSpacing w:w="15" w:type="dxa"/>
        </w:trPr>
        <w:tc>
          <w:tcPr>
            <w:tcW w:w="0" w:type="auto"/>
            <w:tcBorders>
              <w:bottom w:val="single" w:sz="6" w:space="0" w:color="000000"/>
            </w:tcBorders>
            <w:vAlign w:val="center"/>
            <w:hideMark/>
          </w:tcPr>
          <w:p w14:paraId="444F6D6B" w14:textId="77777777" w:rsidR="00000000" w:rsidRDefault="00EB4933">
            <w:pPr>
              <w:jc w:val="center"/>
              <w:rPr>
                <w:rFonts w:eastAsia="Times New Roman"/>
                <w:sz w:val="20"/>
                <w:szCs w:val="20"/>
              </w:rPr>
            </w:pPr>
            <w:r>
              <w:rPr>
                <w:rFonts w:eastAsia="Times New Roman"/>
                <w:sz w:val="20"/>
                <w:szCs w:val="20"/>
              </w:rPr>
              <w:t>F-1</w:t>
            </w:r>
          </w:p>
        </w:tc>
      </w:tr>
      <w:tr w:rsidR="00000000" w14:paraId="5E3CEE7E" w14:textId="77777777">
        <w:trPr>
          <w:divId w:val="98525094"/>
          <w:trHeight w:val="225"/>
          <w:tblCellSpacing w:w="15" w:type="dxa"/>
        </w:trPr>
        <w:tc>
          <w:tcPr>
            <w:tcW w:w="0" w:type="auto"/>
            <w:vAlign w:val="center"/>
            <w:hideMark/>
          </w:tcPr>
          <w:p w14:paraId="5815FAA2" w14:textId="77777777" w:rsidR="00000000" w:rsidRDefault="00EB4933">
            <w:pPr>
              <w:rPr>
                <w:rFonts w:eastAsia="Times New Roman"/>
                <w:sz w:val="20"/>
                <w:szCs w:val="20"/>
              </w:rPr>
            </w:pPr>
          </w:p>
        </w:tc>
      </w:tr>
      <w:tr w:rsidR="00000000" w14:paraId="3A839CF8" w14:textId="77777777">
        <w:trPr>
          <w:divId w:val="98525094"/>
          <w:trHeight w:val="225"/>
          <w:tblCellSpacing w:w="15" w:type="dxa"/>
        </w:trPr>
        <w:tc>
          <w:tcPr>
            <w:tcW w:w="0" w:type="auto"/>
            <w:vAlign w:val="center"/>
            <w:hideMark/>
          </w:tcPr>
          <w:p w14:paraId="62964937" w14:textId="77777777" w:rsidR="00000000" w:rsidRDefault="00EB4933">
            <w:pPr>
              <w:rPr>
                <w:rFonts w:eastAsia="Times New Roman"/>
                <w:sz w:val="20"/>
                <w:szCs w:val="20"/>
              </w:rPr>
            </w:pPr>
            <w:r>
              <w:rPr>
                <w:rFonts w:eastAsia="Times New Roman"/>
                <w:sz w:val="20"/>
                <w:szCs w:val="20"/>
              </w:rPr>
              <w:t> </w:t>
            </w:r>
          </w:p>
        </w:tc>
      </w:tr>
    </w:tbl>
    <w:p w14:paraId="6629B5B3"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p w14:paraId="692C8B89" w14:textId="77777777" w:rsidR="00000000" w:rsidRDefault="00EB4933">
      <w:pPr>
        <w:pStyle w:val="NormalWeb"/>
        <w:spacing w:before="0" w:beforeAutospacing="0" w:after="0" w:afterAutospacing="0"/>
        <w:ind w:left="-360"/>
        <w:jc w:val="center"/>
        <w:divId w:val="98525094"/>
        <w:rPr>
          <w:sz w:val="20"/>
          <w:szCs w:val="20"/>
        </w:rPr>
      </w:pPr>
      <w:bookmarkStart w:id="35" w:name="r"/>
      <w:r>
        <w:rPr>
          <w:rStyle w:val="Strong"/>
          <w:sz w:val="20"/>
          <w:szCs w:val="20"/>
        </w:rPr>
        <w:t>REPORT OF INDEPENDENT REGISTERED PUBLIC ACCOUNTING FIRM</w:t>
      </w:r>
      <w:bookmarkEnd w:id="35"/>
    </w:p>
    <w:p w14:paraId="6CF1FC1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A6182E2" w14:textId="77777777" w:rsidR="00000000" w:rsidRDefault="00EB4933">
      <w:pPr>
        <w:pStyle w:val="NormalWeb"/>
        <w:spacing w:before="0" w:beforeAutospacing="0" w:after="0" w:afterAutospacing="0"/>
        <w:jc w:val="both"/>
        <w:divId w:val="98525094"/>
        <w:rPr>
          <w:sz w:val="20"/>
          <w:szCs w:val="20"/>
        </w:rPr>
      </w:pPr>
      <w:r>
        <w:rPr>
          <w:sz w:val="20"/>
          <w:szCs w:val="20"/>
        </w:rPr>
        <w:t xml:space="preserve">To the Shareholders and Board of Directors of </w:t>
      </w:r>
    </w:p>
    <w:p w14:paraId="29E6E14F"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195E58F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3869C5E" w14:textId="77777777" w:rsidR="00000000" w:rsidRDefault="00EB4933">
      <w:pPr>
        <w:pStyle w:val="NormalWeb"/>
        <w:spacing w:before="0" w:beforeAutospacing="0" w:after="0" w:afterAutospacing="0"/>
        <w:jc w:val="both"/>
        <w:divId w:val="98525094"/>
        <w:rPr>
          <w:sz w:val="20"/>
          <w:szCs w:val="20"/>
        </w:rPr>
      </w:pPr>
      <w:r>
        <w:rPr>
          <w:rStyle w:val="Strong"/>
          <w:sz w:val="20"/>
          <w:szCs w:val="20"/>
        </w:rPr>
        <w:t>Opinion on the Financial Statements</w:t>
      </w:r>
    </w:p>
    <w:p w14:paraId="6E29B04A"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505D0789" w14:textId="77777777" w:rsidR="00000000" w:rsidRDefault="00EB4933">
      <w:pPr>
        <w:pStyle w:val="NormalWeb"/>
        <w:spacing w:before="0" w:beforeAutospacing="0" w:after="0" w:afterAutospacing="0"/>
        <w:jc w:val="both"/>
        <w:divId w:val="98525094"/>
        <w:rPr>
          <w:sz w:val="20"/>
          <w:szCs w:val="20"/>
        </w:rPr>
      </w:pPr>
      <w:r>
        <w:rPr>
          <w:sz w:val="20"/>
          <w:szCs w:val="20"/>
        </w:rPr>
        <w:t xml:space="preserve">We have audited the accompanying consolidated statement of financial position of Dunxin Financial Holdings Limited (the “Company”) as of December 31, 2019, the related consolidated statements of profit and other comprehensive income, changes in equity and </w:t>
      </w:r>
      <w:r>
        <w:rPr>
          <w:sz w:val="20"/>
          <w:szCs w:val="20"/>
        </w:rPr>
        <w:t>cash flows for the year ended December 31, 2019, and the related notes (collectively referred to as the “financial statements”). In our opinion, the financial statements present fairly, in all material respects, the consolidated statement of financial posi</w:t>
      </w:r>
      <w:r>
        <w:rPr>
          <w:sz w:val="20"/>
          <w:szCs w:val="20"/>
        </w:rPr>
        <w:t>tion of the Company as of December 31, 2019, and the related consolidated statements of profit and other comprehensive income, changes in equity and cash flows for the year ended December 31, 2019, in conformity with International Financial Reporting Stand</w:t>
      </w:r>
      <w:r>
        <w:rPr>
          <w:sz w:val="20"/>
          <w:szCs w:val="20"/>
        </w:rPr>
        <w:t>ards as issued by the International Accounting Standards Board.</w:t>
      </w:r>
    </w:p>
    <w:p w14:paraId="1BF6E7F7" w14:textId="77777777" w:rsidR="00000000" w:rsidRDefault="00EB4933">
      <w:pPr>
        <w:pStyle w:val="NormalWeb"/>
        <w:spacing w:before="0" w:beforeAutospacing="0" w:after="0" w:afterAutospacing="0"/>
        <w:jc w:val="both"/>
        <w:divId w:val="98525094"/>
        <w:rPr>
          <w:sz w:val="20"/>
          <w:szCs w:val="20"/>
        </w:rPr>
      </w:pPr>
      <w:r>
        <w:rPr>
          <w:rStyle w:val="Strong"/>
          <w:sz w:val="20"/>
          <w:szCs w:val="20"/>
        </w:rPr>
        <w:t> </w:t>
      </w:r>
    </w:p>
    <w:p w14:paraId="6A2DB65C" w14:textId="77777777" w:rsidR="00000000" w:rsidRDefault="00EB4933">
      <w:pPr>
        <w:pStyle w:val="NormalWeb"/>
        <w:spacing w:before="0" w:beforeAutospacing="0" w:after="0" w:afterAutospacing="0"/>
        <w:jc w:val="both"/>
        <w:divId w:val="98525094"/>
        <w:rPr>
          <w:sz w:val="20"/>
          <w:szCs w:val="20"/>
        </w:rPr>
      </w:pPr>
      <w:r>
        <w:rPr>
          <w:rStyle w:val="Strong"/>
          <w:sz w:val="20"/>
          <w:szCs w:val="20"/>
        </w:rPr>
        <w:t>Going concern uncertainty</w:t>
      </w:r>
    </w:p>
    <w:p w14:paraId="76B9DA2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2F24E13" w14:textId="77777777" w:rsidR="00000000" w:rsidRDefault="00EB4933">
      <w:pPr>
        <w:pStyle w:val="NormalWeb"/>
        <w:spacing w:before="0" w:beforeAutospacing="0" w:after="0" w:afterAutospacing="0"/>
        <w:jc w:val="both"/>
        <w:divId w:val="98525094"/>
        <w:rPr>
          <w:sz w:val="20"/>
          <w:szCs w:val="20"/>
        </w:rPr>
      </w:pPr>
      <w:r>
        <w:rPr>
          <w:sz w:val="20"/>
          <w:szCs w:val="20"/>
        </w:rPr>
        <w:t>The accompanying financial statements have been prepared assuming that the Company will continue as a going concern. As discussed in Note 2 to the financial statements, the Company had negative cash flows for the years ended December 31, 2019, 2018 and 201</w:t>
      </w:r>
      <w:r>
        <w:rPr>
          <w:sz w:val="20"/>
          <w:szCs w:val="20"/>
        </w:rPr>
        <w:t>7, the net cash decreased during the year were RMB3.5 million, RMB17.9 million and RMB75.1 million for the years ended December 31, 2019, 2018 and 2017, respectively. We also draw attention to Note 28 of the financial statements, which describes the uncert</w:t>
      </w:r>
      <w:r>
        <w:rPr>
          <w:sz w:val="20"/>
          <w:szCs w:val="20"/>
        </w:rPr>
        <w:t xml:space="preserve">ainty related to the outcome of the lawsuits filed against the Company. In addition, as discussed in Note 29, the Company faces uncertainty as to the operational impact of the COVID-19 outbreak has had a material adverse effect on the Company’s results of </w:t>
      </w:r>
      <w:r>
        <w:rPr>
          <w:sz w:val="20"/>
          <w:szCs w:val="20"/>
        </w:rPr>
        <w:t>operations, cash flows and liquidity. These conditions raise substantial doubt about the Company’s ability to continue as a going concern. Management’s plans in regard to these matters are also described in Note 2. The financial statements do not include a</w:t>
      </w:r>
      <w:r>
        <w:rPr>
          <w:sz w:val="20"/>
          <w:szCs w:val="20"/>
        </w:rPr>
        <w:t>ny adjustments that might result from the outcome of this uncertainty.</w:t>
      </w:r>
    </w:p>
    <w:p w14:paraId="34AA155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C011CF7" w14:textId="77777777" w:rsidR="00000000" w:rsidRDefault="00EB4933">
      <w:pPr>
        <w:pStyle w:val="NormalWeb"/>
        <w:spacing w:before="0" w:beforeAutospacing="0" w:after="0" w:afterAutospacing="0"/>
        <w:jc w:val="both"/>
        <w:divId w:val="98525094"/>
        <w:rPr>
          <w:sz w:val="20"/>
          <w:szCs w:val="20"/>
        </w:rPr>
      </w:pPr>
      <w:r>
        <w:rPr>
          <w:rStyle w:val="Strong"/>
          <w:sz w:val="20"/>
          <w:szCs w:val="20"/>
        </w:rPr>
        <w:t>Basis for Opinion</w:t>
      </w:r>
    </w:p>
    <w:p w14:paraId="51C12DA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B027973" w14:textId="77777777" w:rsidR="00000000" w:rsidRDefault="00EB4933">
      <w:pPr>
        <w:pStyle w:val="NormalWeb"/>
        <w:spacing w:before="0" w:beforeAutospacing="0" w:after="0" w:afterAutospacing="0"/>
        <w:jc w:val="both"/>
        <w:divId w:val="98525094"/>
        <w:rPr>
          <w:sz w:val="20"/>
          <w:szCs w:val="20"/>
        </w:rPr>
      </w:pPr>
      <w:r>
        <w:rPr>
          <w:sz w:val="20"/>
          <w:szCs w:val="20"/>
        </w:rPr>
        <w:t>These financial statements are the responsibility of the Company's management. Our responsibility is to express an opinion on the Company's financial statements ba</w:t>
      </w:r>
      <w:r>
        <w:rPr>
          <w:sz w:val="20"/>
          <w:szCs w:val="20"/>
        </w:rPr>
        <w:t>sed on our audit. We are a public accounting firm registered with the Public Company Accounting Oversight Board (United States) ("PCAOB") and are required to be independent with respect to the Company in accordance with the U.S. federal securities laws and</w:t>
      </w:r>
      <w:r>
        <w:rPr>
          <w:sz w:val="20"/>
          <w:szCs w:val="20"/>
        </w:rPr>
        <w:t xml:space="preserve"> the applicable rules and regulations of the Securities and Exchange Commission and the PCAOB.</w:t>
      </w:r>
    </w:p>
    <w:p w14:paraId="28FA19A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DB7E714" w14:textId="77777777" w:rsidR="00000000" w:rsidRDefault="00EB4933">
      <w:pPr>
        <w:pStyle w:val="NormalWeb"/>
        <w:spacing w:before="0" w:beforeAutospacing="0" w:after="0" w:afterAutospacing="0"/>
        <w:jc w:val="both"/>
        <w:divId w:val="98525094"/>
        <w:rPr>
          <w:sz w:val="20"/>
          <w:szCs w:val="20"/>
        </w:rPr>
      </w:pPr>
      <w:r>
        <w:rPr>
          <w:sz w:val="20"/>
          <w:szCs w:val="20"/>
        </w:rPr>
        <w:t>We conducted our audit in accordance with the standards of the PCAOB. Those standards require that we plan and perform the audit to obtain reasonable assurance</w:t>
      </w:r>
      <w:r>
        <w:rPr>
          <w:sz w:val="20"/>
          <w:szCs w:val="20"/>
        </w:rPr>
        <w:t xml:space="preserve"> about whether the financial statements are free of material misstatement, whether due to error or fraud. The Company is not required to have, nor were we engaged to perform, an audit of its internal control over financial reporting. As part of our audit w</w:t>
      </w:r>
      <w:r>
        <w:rPr>
          <w:sz w:val="20"/>
          <w:szCs w:val="20"/>
        </w:rPr>
        <w:t>e are required to obtain an understanding of internal control over financial reporting but not for the purpose of expressing an opinion on the effectiveness of the Company's internal control over financial reporting. Accordingly, we express no such opinion</w:t>
      </w:r>
      <w:r>
        <w:rPr>
          <w:sz w:val="20"/>
          <w:szCs w:val="20"/>
        </w:rPr>
        <w:t xml:space="preserve">. </w:t>
      </w:r>
    </w:p>
    <w:p w14:paraId="3328ACF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A7FD971" w14:textId="77777777" w:rsidR="00000000" w:rsidRDefault="00EB4933">
      <w:pPr>
        <w:pStyle w:val="NormalWeb"/>
        <w:spacing w:before="0" w:beforeAutospacing="0" w:after="0" w:afterAutospacing="0"/>
        <w:jc w:val="both"/>
        <w:divId w:val="98525094"/>
        <w:rPr>
          <w:sz w:val="20"/>
          <w:szCs w:val="20"/>
        </w:rPr>
      </w:pPr>
      <w:r>
        <w:rPr>
          <w:sz w:val="20"/>
          <w:szCs w:val="20"/>
        </w:rPr>
        <w:t>Our audit included performing procedures to assess the risks of material misstatement of the financial statements, whether due to error or fraud, and performing procedures that respond to those risks. Such procedures included examining, on a test basi</w:t>
      </w:r>
      <w:r>
        <w:rPr>
          <w:sz w:val="20"/>
          <w:szCs w:val="20"/>
        </w:rPr>
        <w:t>s, evidence regarding the amounts and disclosures in the financial statements. Our audit also included evaluating the accounting principles used and significant estimates made by management, as well as evaluating the overall presentation of the financial s</w:t>
      </w:r>
      <w:r>
        <w:rPr>
          <w:sz w:val="20"/>
          <w:szCs w:val="20"/>
        </w:rPr>
        <w:t>tatements. We believe that our audit provides a reasonable basis for our opinion.</w:t>
      </w:r>
    </w:p>
    <w:p w14:paraId="55C5A4DB"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43F50B8" w14:textId="77777777">
        <w:trPr>
          <w:divId w:val="98525094"/>
          <w:trHeight w:val="225"/>
          <w:tblCellSpacing w:w="15" w:type="dxa"/>
        </w:trPr>
        <w:tc>
          <w:tcPr>
            <w:tcW w:w="2500" w:type="pct"/>
            <w:hideMark/>
          </w:tcPr>
          <w:p w14:paraId="1A52597A" w14:textId="77777777" w:rsidR="00000000" w:rsidRDefault="00EB4933">
            <w:pPr>
              <w:pStyle w:val="NormalWeb"/>
              <w:spacing w:before="0" w:beforeAutospacing="0" w:after="0" w:afterAutospacing="0"/>
              <w:rPr>
                <w:sz w:val="20"/>
                <w:szCs w:val="20"/>
              </w:rPr>
            </w:pPr>
            <w:r>
              <w:rPr>
                <w:rStyle w:val="Emphasis"/>
                <w:b/>
                <w:bCs/>
                <w:sz w:val="20"/>
                <w:szCs w:val="20"/>
              </w:rPr>
              <w:t>/s/ Audit Alliance LLP</w:t>
            </w:r>
          </w:p>
        </w:tc>
      </w:tr>
      <w:tr w:rsidR="00000000" w14:paraId="201F2F28" w14:textId="77777777">
        <w:trPr>
          <w:divId w:val="98525094"/>
          <w:trHeight w:val="225"/>
          <w:tblCellSpacing w:w="15" w:type="dxa"/>
        </w:trPr>
        <w:tc>
          <w:tcPr>
            <w:tcW w:w="0" w:type="auto"/>
            <w:vAlign w:val="center"/>
            <w:hideMark/>
          </w:tcPr>
          <w:p w14:paraId="6C0893E8" w14:textId="77777777" w:rsidR="00000000" w:rsidRDefault="00EB4933">
            <w:pPr>
              <w:pStyle w:val="NormalWeb"/>
              <w:spacing w:before="0" w:beforeAutospacing="0" w:after="0" w:afterAutospacing="0"/>
              <w:rPr>
                <w:sz w:val="20"/>
                <w:szCs w:val="20"/>
              </w:rPr>
            </w:pPr>
            <w:r>
              <w:rPr>
                <w:sz w:val="20"/>
                <w:szCs w:val="20"/>
              </w:rPr>
              <w:t> </w:t>
            </w:r>
          </w:p>
        </w:tc>
      </w:tr>
      <w:tr w:rsidR="00000000" w14:paraId="0A6681E1" w14:textId="77777777">
        <w:trPr>
          <w:divId w:val="98525094"/>
          <w:trHeight w:val="225"/>
          <w:tblCellSpacing w:w="15" w:type="dxa"/>
        </w:trPr>
        <w:tc>
          <w:tcPr>
            <w:tcW w:w="0" w:type="auto"/>
            <w:hideMark/>
          </w:tcPr>
          <w:p w14:paraId="6760DF61" w14:textId="77777777" w:rsidR="00000000" w:rsidRDefault="00EB4933">
            <w:pPr>
              <w:pStyle w:val="NormalWeb"/>
              <w:spacing w:before="0" w:beforeAutospacing="0" w:after="0" w:afterAutospacing="0"/>
              <w:rPr>
                <w:sz w:val="20"/>
                <w:szCs w:val="20"/>
              </w:rPr>
            </w:pPr>
            <w:r>
              <w:rPr>
                <w:sz w:val="20"/>
                <w:szCs w:val="20"/>
              </w:rPr>
              <w:t>We have served as the Company’s auditor since 2019.</w:t>
            </w:r>
          </w:p>
        </w:tc>
      </w:tr>
      <w:tr w:rsidR="00000000" w14:paraId="768EEC03" w14:textId="77777777">
        <w:trPr>
          <w:divId w:val="98525094"/>
          <w:trHeight w:val="225"/>
          <w:tblCellSpacing w:w="15" w:type="dxa"/>
        </w:trPr>
        <w:tc>
          <w:tcPr>
            <w:tcW w:w="0" w:type="auto"/>
            <w:vAlign w:val="center"/>
            <w:hideMark/>
          </w:tcPr>
          <w:p w14:paraId="19914EF6" w14:textId="77777777" w:rsidR="00000000" w:rsidRDefault="00EB4933">
            <w:pPr>
              <w:rPr>
                <w:sz w:val="20"/>
                <w:szCs w:val="20"/>
              </w:rPr>
            </w:pPr>
          </w:p>
        </w:tc>
      </w:tr>
      <w:tr w:rsidR="00000000" w14:paraId="1897CF00" w14:textId="77777777">
        <w:trPr>
          <w:divId w:val="98525094"/>
          <w:trHeight w:val="225"/>
          <w:tblCellSpacing w:w="15" w:type="dxa"/>
        </w:trPr>
        <w:tc>
          <w:tcPr>
            <w:tcW w:w="0" w:type="auto"/>
            <w:hideMark/>
          </w:tcPr>
          <w:p w14:paraId="64011537" w14:textId="77777777" w:rsidR="00000000" w:rsidRDefault="00EB4933">
            <w:pPr>
              <w:pStyle w:val="NormalWeb"/>
              <w:spacing w:before="0" w:beforeAutospacing="0" w:after="0" w:afterAutospacing="0"/>
              <w:rPr>
                <w:sz w:val="20"/>
                <w:szCs w:val="20"/>
              </w:rPr>
            </w:pPr>
            <w:r>
              <w:rPr>
                <w:sz w:val="20"/>
                <w:szCs w:val="20"/>
              </w:rPr>
              <w:t>Singapore</w:t>
            </w:r>
          </w:p>
        </w:tc>
      </w:tr>
      <w:tr w:rsidR="00000000" w14:paraId="28802365" w14:textId="77777777">
        <w:trPr>
          <w:divId w:val="98525094"/>
          <w:trHeight w:val="225"/>
          <w:tblCellSpacing w:w="15" w:type="dxa"/>
        </w:trPr>
        <w:tc>
          <w:tcPr>
            <w:tcW w:w="0" w:type="auto"/>
            <w:hideMark/>
          </w:tcPr>
          <w:p w14:paraId="12ECFBAF" w14:textId="77777777" w:rsidR="00000000" w:rsidRDefault="00EB4933">
            <w:pPr>
              <w:pStyle w:val="NormalWeb"/>
              <w:spacing w:before="0" w:beforeAutospacing="0" w:after="0" w:afterAutospacing="0"/>
              <w:rPr>
                <w:sz w:val="20"/>
                <w:szCs w:val="20"/>
              </w:rPr>
            </w:pPr>
            <w:r>
              <w:rPr>
                <w:sz w:val="20"/>
                <w:szCs w:val="20"/>
              </w:rPr>
              <w:t>November 9, 2020</w:t>
            </w:r>
          </w:p>
        </w:tc>
      </w:tr>
    </w:tbl>
    <w:p w14:paraId="56DAA3B8"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485A3BA" w14:textId="77777777">
        <w:trPr>
          <w:divId w:val="98525094"/>
          <w:trHeight w:val="225"/>
          <w:tblCellSpacing w:w="15" w:type="dxa"/>
        </w:trPr>
        <w:tc>
          <w:tcPr>
            <w:tcW w:w="0" w:type="auto"/>
            <w:vAlign w:val="center"/>
            <w:hideMark/>
          </w:tcPr>
          <w:p w14:paraId="1CC7B55E" w14:textId="77777777" w:rsidR="00000000" w:rsidRDefault="00EB4933">
            <w:pPr>
              <w:rPr>
                <w:rFonts w:eastAsia="Times New Roman"/>
                <w:sz w:val="20"/>
                <w:szCs w:val="20"/>
              </w:rPr>
            </w:pPr>
            <w:r>
              <w:rPr>
                <w:rFonts w:eastAsia="Times New Roman"/>
                <w:sz w:val="20"/>
                <w:szCs w:val="20"/>
              </w:rPr>
              <w:t> </w:t>
            </w:r>
          </w:p>
        </w:tc>
      </w:tr>
      <w:tr w:rsidR="00000000" w14:paraId="058B15E0" w14:textId="77777777">
        <w:trPr>
          <w:divId w:val="98525094"/>
          <w:trHeight w:val="225"/>
          <w:tblCellSpacing w:w="15" w:type="dxa"/>
        </w:trPr>
        <w:tc>
          <w:tcPr>
            <w:tcW w:w="0" w:type="auto"/>
            <w:tcBorders>
              <w:bottom w:val="single" w:sz="6" w:space="0" w:color="000000"/>
            </w:tcBorders>
            <w:vAlign w:val="center"/>
            <w:hideMark/>
          </w:tcPr>
          <w:p w14:paraId="05E6E27A" w14:textId="77777777" w:rsidR="00000000" w:rsidRDefault="00EB4933">
            <w:pPr>
              <w:jc w:val="center"/>
              <w:rPr>
                <w:rFonts w:eastAsia="Times New Roman"/>
                <w:sz w:val="20"/>
                <w:szCs w:val="20"/>
              </w:rPr>
            </w:pPr>
            <w:r>
              <w:rPr>
                <w:rFonts w:eastAsia="Times New Roman"/>
                <w:sz w:val="20"/>
                <w:szCs w:val="20"/>
              </w:rPr>
              <w:t>F-2</w:t>
            </w:r>
          </w:p>
        </w:tc>
      </w:tr>
      <w:tr w:rsidR="00000000" w14:paraId="0C9AAFF1" w14:textId="77777777">
        <w:trPr>
          <w:divId w:val="98525094"/>
          <w:trHeight w:val="225"/>
          <w:tblCellSpacing w:w="15" w:type="dxa"/>
        </w:trPr>
        <w:tc>
          <w:tcPr>
            <w:tcW w:w="0" w:type="auto"/>
            <w:vAlign w:val="center"/>
            <w:hideMark/>
          </w:tcPr>
          <w:p w14:paraId="43D2E4A7" w14:textId="77777777" w:rsidR="00000000" w:rsidRDefault="00EB4933">
            <w:pPr>
              <w:rPr>
                <w:rFonts w:eastAsia="Times New Roman"/>
                <w:sz w:val="20"/>
                <w:szCs w:val="20"/>
              </w:rPr>
            </w:pPr>
          </w:p>
        </w:tc>
      </w:tr>
      <w:tr w:rsidR="00000000" w14:paraId="62C7059D" w14:textId="77777777">
        <w:trPr>
          <w:divId w:val="98525094"/>
          <w:trHeight w:val="225"/>
          <w:tblCellSpacing w:w="15" w:type="dxa"/>
        </w:trPr>
        <w:tc>
          <w:tcPr>
            <w:tcW w:w="0" w:type="auto"/>
            <w:vAlign w:val="center"/>
            <w:hideMark/>
          </w:tcPr>
          <w:p w14:paraId="255C58CA" w14:textId="77777777" w:rsidR="00000000" w:rsidRDefault="00EB4933">
            <w:pPr>
              <w:rPr>
                <w:rFonts w:eastAsia="Times New Roman"/>
                <w:sz w:val="20"/>
                <w:szCs w:val="20"/>
              </w:rPr>
            </w:pPr>
            <w:hyperlink r:id="rId219" w:anchor="finindex" w:history="1">
              <w:r>
                <w:rPr>
                  <w:rStyle w:val="Hyperlink"/>
                  <w:rFonts w:eastAsia="Times New Roman"/>
                  <w:i/>
                  <w:iCs/>
                  <w:sz w:val="20"/>
                  <w:szCs w:val="20"/>
                </w:rPr>
                <w:t>Table of Contents</w:t>
              </w:r>
            </w:hyperlink>
          </w:p>
        </w:tc>
      </w:tr>
    </w:tbl>
    <w:p w14:paraId="082F35C6"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162EA953" w14:textId="77777777" w:rsidR="00000000" w:rsidRDefault="00EB4933">
      <w:pPr>
        <w:pStyle w:val="NormalWeb"/>
        <w:spacing w:before="0" w:beforeAutospacing="0" w:after="0" w:afterAutospacing="0"/>
        <w:ind w:left="-360"/>
        <w:jc w:val="center"/>
        <w:divId w:val="98525094"/>
        <w:rPr>
          <w:sz w:val="20"/>
          <w:szCs w:val="20"/>
        </w:rPr>
      </w:pPr>
      <w:r>
        <w:rPr>
          <w:rStyle w:val="Strong"/>
          <w:sz w:val="20"/>
          <w:szCs w:val="20"/>
        </w:rPr>
        <w:t>REPORT OF INDEPENDENT REGISTERED PUBLIC ACCOUNTING FIRM</w:t>
      </w:r>
    </w:p>
    <w:p w14:paraId="17229811"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25307F85" w14:textId="77777777" w:rsidR="00000000" w:rsidRDefault="00EB4933">
      <w:pPr>
        <w:pStyle w:val="NormalWeb"/>
        <w:spacing w:before="0" w:beforeAutospacing="0" w:after="0" w:afterAutospacing="0"/>
        <w:jc w:val="both"/>
        <w:divId w:val="98525094"/>
        <w:rPr>
          <w:sz w:val="20"/>
          <w:szCs w:val="20"/>
        </w:rPr>
      </w:pPr>
      <w:r>
        <w:rPr>
          <w:sz w:val="20"/>
          <w:szCs w:val="20"/>
        </w:rPr>
        <w:t xml:space="preserve">To the Shareholders and Board of Directors of </w:t>
      </w:r>
    </w:p>
    <w:p w14:paraId="5098E5C3"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14B3388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A8BEF27" w14:textId="77777777" w:rsidR="00000000" w:rsidRDefault="00EB4933">
      <w:pPr>
        <w:pStyle w:val="NormalWeb"/>
        <w:spacing w:before="0" w:beforeAutospacing="0" w:after="0" w:afterAutospacing="0"/>
        <w:jc w:val="both"/>
        <w:divId w:val="98525094"/>
        <w:rPr>
          <w:sz w:val="20"/>
          <w:szCs w:val="20"/>
        </w:rPr>
      </w:pPr>
      <w:r>
        <w:rPr>
          <w:rStyle w:val="Strong"/>
          <w:sz w:val="20"/>
          <w:szCs w:val="20"/>
        </w:rPr>
        <w:t>Opinion on the Financial Statements</w:t>
      </w:r>
    </w:p>
    <w:p w14:paraId="256284C9"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4F8CCFC9" w14:textId="77777777" w:rsidR="00000000" w:rsidRDefault="00EB4933">
      <w:pPr>
        <w:pStyle w:val="NormalWeb"/>
        <w:spacing w:before="0" w:beforeAutospacing="0" w:after="0" w:afterAutospacing="0"/>
        <w:jc w:val="both"/>
        <w:divId w:val="98525094"/>
        <w:rPr>
          <w:sz w:val="20"/>
          <w:szCs w:val="20"/>
        </w:rPr>
      </w:pPr>
      <w:r>
        <w:rPr>
          <w:sz w:val="20"/>
          <w:szCs w:val="20"/>
        </w:rPr>
        <w:t>We have audited the accompanying consolidated statement of financial position of Dunxin Financial Holdings Limited (the “Company”) as of December 31, 2018, the related consolidated statements of profit and other compr</w:t>
      </w:r>
      <w:r>
        <w:rPr>
          <w:sz w:val="20"/>
          <w:szCs w:val="20"/>
        </w:rPr>
        <w:t>ehensive income, changes in equity and cash flows for the year ended December 31, 2018, and the related notes (collectively referred to as the “financial statements”). In our opinion, the financial statements present fairly, in all material respects, the c</w:t>
      </w:r>
      <w:r>
        <w:rPr>
          <w:sz w:val="20"/>
          <w:szCs w:val="20"/>
        </w:rPr>
        <w:t xml:space="preserve">onsolidated statement of financial position of the Company as of December 31, 2018, and the related consolidated statements of profit and other comprehensive income, changes in equity and cash flows for the year ended December 31, 2018, in conformity with </w:t>
      </w:r>
      <w:r>
        <w:rPr>
          <w:sz w:val="20"/>
          <w:szCs w:val="20"/>
        </w:rPr>
        <w:t>International Financial Reporting Standards as issued by the International Accounting Standards Board.</w:t>
      </w:r>
    </w:p>
    <w:p w14:paraId="680C37C5"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37C47408" w14:textId="77777777" w:rsidR="00000000" w:rsidRDefault="00EB4933">
      <w:pPr>
        <w:pStyle w:val="NormalWeb"/>
        <w:spacing w:before="0" w:beforeAutospacing="0" w:after="0" w:afterAutospacing="0"/>
        <w:jc w:val="both"/>
        <w:divId w:val="98525094"/>
        <w:rPr>
          <w:sz w:val="20"/>
          <w:szCs w:val="20"/>
        </w:rPr>
      </w:pPr>
      <w:r>
        <w:rPr>
          <w:rStyle w:val="Strong"/>
          <w:sz w:val="20"/>
          <w:szCs w:val="20"/>
        </w:rPr>
        <w:t>Adoption of New Accounting Standard</w:t>
      </w:r>
    </w:p>
    <w:p w14:paraId="06A42D3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367C723" w14:textId="77777777" w:rsidR="00000000" w:rsidRDefault="00EB4933">
      <w:pPr>
        <w:pStyle w:val="NormalWeb"/>
        <w:spacing w:before="0" w:beforeAutospacing="0" w:after="0" w:afterAutospacing="0"/>
        <w:jc w:val="both"/>
        <w:divId w:val="98525094"/>
        <w:rPr>
          <w:sz w:val="20"/>
          <w:szCs w:val="20"/>
        </w:rPr>
      </w:pPr>
      <w:r>
        <w:rPr>
          <w:sz w:val="20"/>
          <w:szCs w:val="20"/>
        </w:rPr>
        <w:t>As discussed in Note 2 to the consolidated financial statements, the Company adopted IFRS 9, Accounting for Fina</w:t>
      </w:r>
      <w:r>
        <w:rPr>
          <w:sz w:val="20"/>
          <w:szCs w:val="20"/>
        </w:rPr>
        <w:t>ncial Instruments, January 1, 2018 using the modified retrospective approach.</w:t>
      </w:r>
    </w:p>
    <w:p w14:paraId="1F4F64F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3E1ADCD" w14:textId="77777777" w:rsidR="00000000" w:rsidRDefault="00EB4933">
      <w:pPr>
        <w:pStyle w:val="NormalWeb"/>
        <w:spacing w:before="0" w:beforeAutospacing="0" w:after="0" w:afterAutospacing="0"/>
        <w:jc w:val="both"/>
        <w:divId w:val="98525094"/>
        <w:rPr>
          <w:sz w:val="20"/>
          <w:szCs w:val="20"/>
        </w:rPr>
      </w:pPr>
      <w:r>
        <w:rPr>
          <w:rStyle w:val="Strong"/>
          <w:sz w:val="20"/>
          <w:szCs w:val="20"/>
        </w:rPr>
        <w:t>Basis for Opinion</w:t>
      </w:r>
    </w:p>
    <w:p w14:paraId="43D5694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D351139" w14:textId="77777777" w:rsidR="00000000" w:rsidRDefault="00EB4933">
      <w:pPr>
        <w:pStyle w:val="NormalWeb"/>
        <w:spacing w:before="0" w:beforeAutospacing="0" w:after="0" w:afterAutospacing="0"/>
        <w:jc w:val="both"/>
        <w:divId w:val="98525094"/>
        <w:rPr>
          <w:sz w:val="20"/>
          <w:szCs w:val="20"/>
        </w:rPr>
      </w:pPr>
      <w:r>
        <w:rPr>
          <w:sz w:val="20"/>
          <w:szCs w:val="20"/>
        </w:rPr>
        <w:t>These financial statements are the responsibility of the Company’s management. Our responsibility is to express an opinion on the Company’s financial statem</w:t>
      </w:r>
      <w:r>
        <w:rPr>
          <w:sz w:val="20"/>
          <w:szCs w:val="20"/>
        </w:rPr>
        <w:t>ents based on our audit. We are a public accounting firm registered with the Public Company Accounting Oversight Board (United States) (“PCAOB”) and are required to be independent with respect to the Company in accordance with the U.S. federal securities l</w:t>
      </w:r>
      <w:r>
        <w:rPr>
          <w:sz w:val="20"/>
          <w:szCs w:val="20"/>
        </w:rPr>
        <w:t>aws and the applicable rules and regulations of the Securities and Exchange Commission and the PCAOB.</w:t>
      </w:r>
    </w:p>
    <w:p w14:paraId="27E2B3A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F125ED7" w14:textId="77777777" w:rsidR="00000000" w:rsidRDefault="00EB4933">
      <w:pPr>
        <w:pStyle w:val="NormalWeb"/>
        <w:spacing w:before="0" w:beforeAutospacing="0" w:after="0" w:afterAutospacing="0"/>
        <w:jc w:val="both"/>
        <w:divId w:val="98525094"/>
        <w:rPr>
          <w:sz w:val="20"/>
          <w:szCs w:val="20"/>
        </w:rPr>
      </w:pPr>
      <w:r>
        <w:rPr>
          <w:sz w:val="20"/>
          <w:szCs w:val="20"/>
        </w:rPr>
        <w:t>We conducted our audit in accordance with the standards of the PCAOB. Those standards require that we plan and perform the audit to obtain reasonable as</w:t>
      </w:r>
      <w:r>
        <w:rPr>
          <w:sz w:val="20"/>
          <w:szCs w:val="20"/>
        </w:rPr>
        <w:t xml:space="preserve">surance about whether the financial statements are free of material misstatement, whether due to error or fraud. The Company is not required to have, nor were we engaged to perform, an audit of its internal control over financial reporting. As part of our </w:t>
      </w:r>
      <w:r>
        <w:rPr>
          <w:sz w:val="20"/>
          <w:szCs w:val="20"/>
        </w:rPr>
        <w:t xml:space="preserve">audit we are required to obtain an understanding of internal control over financial reporting but not for the purpose of expressing an opinion on the effectiveness of the Company’s internal control over financial reporting. Accordingly, we express no such </w:t>
      </w:r>
      <w:r>
        <w:rPr>
          <w:sz w:val="20"/>
          <w:szCs w:val="20"/>
        </w:rPr>
        <w:t xml:space="preserve">opinion. </w:t>
      </w:r>
    </w:p>
    <w:p w14:paraId="3ECD23C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EE2D35F" w14:textId="77777777" w:rsidR="00000000" w:rsidRDefault="00EB4933">
      <w:pPr>
        <w:pStyle w:val="NormalWeb"/>
        <w:spacing w:before="0" w:beforeAutospacing="0" w:after="0" w:afterAutospacing="0"/>
        <w:jc w:val="both"/>
        <w:divId w:val="98525094"/>
        <w:rPr>
          <w:sz w:val="20"/>
          <w:szCs w:val="20"/>
        </w:rPr>
      </w:pPr>
      <w:r>
        <w:rPr>
          <w:sz w:val="20"/>
          <w:szCs w:val="20"/>
        </w:rPr>
        <w:t>Our audit included performing procedures to assess the risks of material misstatement of the financial statements, whether due to error or fraud, and performing procedures that respond to those risks. Such procedures included examining, on a te</w:t>
      </w:r>
      <w:r>
        <w:rPr>
          <w:sz w:val="20"/>
          <w:szCs w:val="20"/>
        </w:rPr>
        <w:t>st basis, evidence regarding the amounts and disclosures in the financial statements. Our audit also included evaluating the accounting principles used and significant estimates made by management, as well as evaluating the overall presentation of the fina</w:t>
      </w:r>
      <w:r>
        <w:rPr>
          <w:sz w:val="20"/>
          <w:szCs w:val="20"/>
        </w:rPr>
        <w:t>ncial statements. We believe that our audit provides a reasonable basis for our opinion.</w:t>
      </w:r>
    </w:p>
    <w:p w14:paraId="3ED3DF4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12A1CC8" w14:textId="77777777" w:rsidR="00000000" w:rsidRDefault="00EB4933">
      <w:pPr>
        <w:pStyle w:val="NormalWeb"/>
        <w:spacing w:before="0" w:beforeAutospacing="0" w:after="0" w:afterAutospacing="0"/>
        <w:jc w:val="both"/>
        <w:divId w:val="98525094"/>
        <w:rPr>
          <w:sz w:val="20"/>
          <w:szCs w:val="20"/>
        </w:rPr>
      </w:pPr>
      <w:r>
        <w:rPr>
          <w:sz w:val="20"/>
          <w:szCs w:val="20"/>
        </w:rPr>
        <w:t>Marcum Bernstein &amp; Pinchuk LLP</w:t>
      </w:r>
    </w:p>
    <w:p w14:paraId="279F0B03"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1B762A37" w14:textId="77777777" w:rsidR="00000000" w:rsidRDefault="00EB4933">
      <w:pPr>
        <w:pStyle w:val="NormalWeb"/>
        <w:spacing w:before="0" w:beforeAutospacing="0" w:after="0" w:afterAutospacing="0"/>
        <w:jc w:val="both"/>
        <w:divId w:val="98525094"/>
        <w:rPr>
          <w:sz w:val="20"/>
          <w:szCs w:val="20"/>
        </w:rPr>
      </w:pPr>
      <w:r>
        <w:rPr>
          <w:rStyle w:val="Strong"/>
          <w:sz w:val="20"/>
          <w:szCs w:val="20"/>
        </w:rPr>
        <w:lastRenderedPageBreak/>
        <w:t xml:space="preserve">New York, New York </w:t>
      </w:r>
      <w:r>
        <w:rPr>
          <w:b/>
          <w:bCs/>
          <w:sz w:val="20"/>
          <w:szCs w:val="20"/>
        </w:rPr>
        <w:br/>
      </w:r>
      <w:r>
        <w:rPr>
          <w:rStyle w:val="Strong"/>
          <w:sz w:val="20"/>
          <w:szCs w:val="20"/>
        </w:rPr>
        <w:t>May 15, 2019</w:t>
      </w:r>
      <w:r>
        <w:rPr>
          <w:sz w:val="20"/>
          <w:szCs w:val="20"/>
        </w:rPr>
        <w:t> </w:t>
      </w:r>
    </w:p>
    <w:p w14:paraId="1F3E3555"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BD3AC01" w14:textId="77777777">
        <w:trPr>
          <w:divId w:val="98525094"/>
          <w:trHeight w:val="225"/>
          <w:tblCellSpacing w:w="15" w:type="dxa"/>
        </w:trPr>
        <w:tc>
          <w:tcPr>
            <w:tcW w:w="0" w:type="auto"/>
            <w:vAlign w:val="center"/>
            <w:hideMark/>
          </w:tcPr>
          <w:p w14:paraId="3090BDF2" w14:textId="77777777" w:rsidR="00000000" w:rsidRDefault="00EB4933">
            <w:pPr>
              <w:rPr>
                <w:rFonts w:eastAsia="Times New Roman"/>
                <w:sz w:val="20"/>
                <w:szCs w:val="20"/>
              </w:rPr>
            </w:pPr>
            <w:r>
              <w:rPr>
                <w:rFonts w:eastAsia="Times New Roman"/>
                <w:sz w:val="20"/>
                <w:szCs w:val="20"/>
              </w:rPr>
              <w:t> </w:t>
            </w:r>
          </w:p>
        </w:tc>
      </w:tr>
      <w:tr w:rsidR="00000000" w14:paraId="6FA56C71" w14:textId="77777777">
        <w:trPr>
          <w:divId w:val="98525094"/>
          <w:trHeight w:val="225"/>
          <w:tblCellSpacing w:w="15" w:type="dxa"/>
        </w:trPr>
        <w:tc>
          <w:tcPr>
            <w:tcW w:w="0" w:type="auto"/>
            <w:tcBorders>
              <w:bottom w:val="single" w:sz="6" w:space="0" w:color="000000"/>
            </w:tcBorders>
            <w:vAlign w:val="center"/>
            <w:hideMark/>
          </w:tcPr>
          <w:p w14:paraId="427A79F4" w14:textId="77777777" w:rsidR="00000000" w:rsidRDefault="00EB4933">
            <w:pPr>
              <w:jc w:val="center"/>
              <w:rPr>
                <w:rFonts w:eastAsia="Times New Roman"/>
                <w:sz w:val="20"/>
                <w:szCs w:val="20"/>
              </w:rPr>
            </w:pPr>
            <w:r>
              <w:rPr>
                <w:rFonts w:eastAsia="Times New Roman"/>
                <w:sz w:val="20"/>
                <w:szCs w:val="20"/>
              </w:rPr>
              <w:t>F-3</w:t>
            </w:r>
          </w:p>
        </w:tc>
      </w:tr>
      <w:tr w:rsidR="00000000" w14:paraId="3F84E29C" w14:textId="77777777">
        <w:trPr>
          <w:divId w:val="98525094"/>
          <w:trHeight w:val="225"/>
          <w:tblCellSpacing w:w="15" w:type="dxa"/>
        </w:trPr>
        <w:tc>
          <w:tcPr>
            <w:tcW w:w="0" w:type="auto"/>
            <w:vAlign w:val="center"/>
            <w:hideMark/>
          </w:tcPr>
          <w:p w14:paraId="383E0CFC" w14:textId="77777777" w:rsidR="00000000" w:rsidRDefault="00EB4933">
            <w:pPr>
              <w:rPr>
                <w:rFonts w:eastAsia="Times New Roman"/>
                <w:sz w:val="20"/>
                <w:szCs w:val="20"/>
              </w:rPr>
            </w:pPr>
          </w:p>
        </w:tc>
      </w:tr>
      <w:tr w:rsidR="00000000" w14:paraId="6D99B3D7" w14:textId="77777777">
        <w:trPr>
          <w:divId w:val="98525094"/>
          <w:trHeight w:val="225"/>
          <w:tblCellSpacing w:w="15" w:type="dxa"/>
        </w:trPr>
        <w:tc>
          <w:tcPr>
            <w:tcW w:w="0" w:type="auto"/>
            <w:vAlign w:val="center"/>
            <w:hideMark/>
          </w:tcPr>
          <w:p w14:paraId="67F643F3" w14:textId="77777777" w:rsidR="00000000" w:rsidRDefault="00EB4933">
            <w:pPr>
              <w:rPr>
                <w:rFonts w:eastAsia="Times New Roman"/>
                <w:sz w:val="20"/>
                <w:szCs w:val="20"/>
              </w:rPr>
            </w:pPr>
            <w:hyperlink r:id="rId220" w:anchor="finindex" w:history="1">
              <w:r>
                <w:rPr>
                  <w:rStyle w:val="Hyperlink"/>
                  <w:rFonts w:eastAsia="Times New Roman"/>
                  <w:i/>
                  <w:iCs/>
                  <w:sz w:val="20"/>
                  <w:szCs w:val="20"/>
                </w:rPr>
                <w:t>Table of Contents</w:t>
              </w:r>
            </w:hyperlink>
          </w:p>
        </w:tc>
      </w:tr>
    </w:tbl>
    <w:p w14:paraId="3C9534E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31AFD59" w14:textId="77777777" w:rsidR="00000000" w:rsidRDefault="00EB4933">
      <w:pPr>
        <w:pStyle w:val="NormalWeb"/>
        <w:spacing w:before="0" w:beforeAutospacing="0" w:after="0" w:afterAutospacing="0"/>
        <w:jc w:val="both"/>
        <w:divId w:val="98525094"/>
        <w:rPr>
          <w:sz w:val="20"/>
          <w:szCs w:val="20"/>
        </w:rPr>
      </w:pPr>
      <w:r>
        <w:rPr>
          <w:sz w:val="20"/>
          <w:szCs w:val="20"/>
        </w:rPr>
        <w:t>To the Board of Directors and Shareholders of</w:t>
      </w:r>
    </w:p>
    <w:p w14:paraId="7D761618" w14:textId="77777777" w:rsidR="00000000" w:rsidRDefault="00EB4933">
      <w:pPr>
        <w:pStyle w:val="NormalWeb"/>
        <w:spacing w:before="0" w:beforeAutospacing="0" w:after="0" w:afterAutospacing="0"/>
        <w:jc w:val="both"/>
        <w:divId w:val="98525094"/>
        <w:rPr>
          <w:sz w:val="20"/>
          <w:szCs w:val="20"/>
        </w:rPr>
      </w:pPr>
      <w:r>
        <w:rPr>
          <w:sz w:val="20"/>
          <w:szCs w:val="20"/>
        </w:rPr>
        <w:t>Dunxin Financial Holdings Limited and Subsidiaries</w:t>
      </w:r>
    </w:p>
    <w:p w14:paraId="363AA3F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2B0D6FC" w14:textId="77777777" w:rsidR="00000000" w:rsidRDefault="00EB4933">
      <w:pPr>
        <w:pStyle w:val="NormalWeb"/>
        <w:spacing w:before="0" w:beforeAutospacing="0" w:after="0" w:afterAutospacing="0"/>
        <w:jc w:val="both"/>
        <w:divId w:val="98525094"/>
        <w:rPr>
          <w:sz w:val="20"/>
          <w:szCs w:val="20"/>
        </w:rPr>
      </w:pPr>
      <w:r>
        <w:rPr>
          <w:sz w:val="20"/>
          <w:szCs w:val="20"/>
        </w:rPr>
        <w:t>We refer to our audit report dated 30 April 2018, which is reproduced below.</w:t>
      </w:r>
    </w:p>
    <w:p w14:paraId="5534210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BE37B62" w14:textId="77777777" w:rsidR="00000000" w:rsidRDefault="00EB4933">
      <w:pPr>
        <w:pStyle w:val="NormalWeb"/>
        <w:spacing w:before="0" w:beforeAutospacing="0" w:after="0" w:afterAutospacing="0"/>
        <w:jc w:val="both"/>
        <w:divId w:val="98525094"/>
        <w:rPr>
          <w:sz w:val="20"/>
          <w:szCs w:val="20"/>
        </w:rPr>
      </w:pPr>
      <w:r>
        <w:rPr>
          <w:rStyle w:val="Emphasis"/>
          <w:sz w:val="20"/>
          <w:szCs w:val="20"/>
        </w:rPr>
        <w:t>“We have audited the accompanying consolidated statements of financial positio</w:t>
      </w:r>
      <w:r>
        <w:rPr>
          <w:rStyle w:val="Emphasis"/>
          <w:sz w:val="20"/>
          <w:szCs w:val="20"/>
        </w:rPr>
        <w:t>n of Dunxin Financial Holdings Limited and subsidiaries (“the Company”) as of December 31, 2017 and 2016, and the related consolidated statements of profit or loss and other comprehensive income, changes in equity and cash flows for each of the three years</w:t>
      </w:r>
      <w:r>
        <w:rPr>
          <w:rStyle w:val="Emphasis"/>
          <w:sz w:val="20"/>
          <w:szCs w:val="20"/>
        </w:rPr>
        <w:t xml:space="preserve"> ended December 31, 2017, and the related notes (collectively, the consolidated financial statements). In our opinion, the consolidated financial statements present fairly, in all material respects, the financial position of the Company as of December 31, </w:t>
      </w:r>
      <w:r>
        <w:rPr>
          <w:rStyle w:val="Emphasis"/>
          <w:sz w:val="20"/>
          <w:szCs w:val="20"/>
        </w:rPr>
        <w:t>2017 and 2016, and the results of its operations and its cash flows for each of the three year ended December 31, 2017, in conformity with International Financial Reporting Standard (IFRS) as issued by the International Accounting Standard Board.</w:t>
      </w:r>
    </w:p>
    <w:p w14:paraId="710142C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86BC6E0" w14:textId="77777777" w:rsidR="00000000" w:rsidRDefault="00EB4933">
      <w:pPr>
        <w:pStyle w:val="NormalWeb"/>
        <w:spacing w:before="0" w:beforeAutospacing="0" w:after="0" w:afterAutospacing="0"/>
        <w:jc w:val="both"/>
        <w:divId w:val="98525094"/>
        <w:rPr>
          <w:sz w:val="20"/>
          <w:szCs w:val="20"/>
        </w:rPr>
      </w:pPr>
      <w:r>
        <w:rPr>
          <w:rStyle w:val="Emphasis"/>
          <w:sz w:val="20"/>
          <w:szCs w:val="20"/>
        </w:rPr>
        <w:t>Basis f</w:t>
      </w:r>
      <w:r>
        <w:rPr>
          <w:rStyle w:val="Emphasis"/>
          <w:sz w:val="20"/>
          <w:szCs w:val="20"/>
        </w:rPr>
        <w:t>or opinion</w:t>
      </w:r>
    </w:p>
    <w:p w14:paraId="39B95F8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791D9CB" w14:textId="77777777" w:rsidR="00000000" w:rsidRDefault="00EB4933">
      <w:pPr>
        <w:pStyle w:val="NormalWeb"/>
        <w:spacing w:before="0" w:beforeAutospacing="0" w:after="0" w:afterAutospacing="0"/>
        <w:jc w:val="both"/>
        <w:divId w:val="98525094"/>
        <w:rPr>
          <w:sz w:val="20"/>
          <w:szCs w:val="20"/>
        </w:rPr>
      </w:pPr>
      <w:r>
        <w:rPr>
          <w:rStyle w:val="Emphasis"/>
          <w:sz w:val="20"/>
          <w:szCs w:val="20"/>
        </w:rPr>
        <w:t>These consolidated financial statements are the responsibility of the Company’s management. Our responsibility is to express an opinion on these consolidated financial statements on our audits. We are a public accounting firm registered with t</w:t>
      </w:r>
      <w:r>
        <w:rPr>
          <w:rStyle w:val="Emphasis"/>
          <w:sz w:val="20"/>
          <w:szCs w:val="20"/>
        </w:rPr>
        <w:t xml:space="preserve">he Public Company Accounting Oversight Board (United States) (PCAOB) and are required to be independent with respect to the Company in accordance with the U.S. federal securities laws and the applicable rules and regulations of the Securities and Exchange </w:t>
      </w:r>
      <w:r>
        <w:rPr>
          <w:rStyle w:val="Emphasis"/>
          <w:sz w:val="20"/>
          <w:szCs w:val="20"/>
        </w:rPr>
        <w:t>Commission and the PCAOB. We conducted our audits in accordance with the standards of the Public Company Accounting Oversight Board (United States). Those standards require that we plan and perform the audits to obtain reasonable assurance about whether th</w:t>
      </w:r>
      <w:r>
        <w:rPr>
          <w:rStyle w:val="Emphasis"/>
          <w:sz w:val="20"/>
          <w:szCs w:val="20"/>
        </w:rPr>
        <w:t xml:space="preserve">e consolidated financial statements are free of material misstatement, whether due to error or fraud. The Company is not required to have, nor were we engaged to perform, an audit of its internal control over financial reporting. As part of our audits, we </w:t>
      </w:r>
      <w:r>
        <w:rPr>
          <w:rStyle w:val="Emphasis"/>
          <w:sz w:val="20"/>
          <w:szCs w:val="20"/>
        </w:rPr>
        <w:t>are required to obtain an understanding of internal control over financial reporting but not for the purpose of expressing an opinion on the effectiveness of the Company’s internal control over financial reporting. Accordingly, we express no such opinion.</w:t>
      </w:r>
    </w:p>
    <w:p w14:paraId="515CF2D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5DE42B4" w14:textId="77777777" w:rsidR="00000000" w:rsidRDefault="00EB4933">
      <w:pPr>
        <w:pStyle w:val="NormalWeb"/>
        <w:spacing w:before="0" w:beforeAutospacing="0" w:after="0" w:afterAutospacing="0"/>
        <w:jc w:val="both"/>
        <w:divId w:val="98525094"/>
        <w:rPr>
          <w:sz w:val="20"/>
          <w:szCs w:val="20"/>
        </w:rPr>
      </w:pPr>
      <w:r>
        <w:rPr>
          <w:rStyle w:val="Emphasis"/>
          <w:sz w:val="20"/>
          <w:szCs w:val="20"/>
        </w:rPr>
        <w:t>Our audit included performing procedures to assess the risks of material misstatement of the consolidated financial statements, whether due to error or fraud, and performing procedures that respond to those risks. Such procedures included examining, on a</w:t>
      </w:r>
      <w:r>
        <w:rPr>
          <w:rStyle w:val="Emphasis"/>
          <w:sz w:val="20"/>
          <w:szCs w:val="20"/>
        </w:rPr>
        <w:t xml:space="preserve"> test basis, evidence regarding the amounts and disclosures in the consolidated financial statements. Our audits also included evaluating the accounting principles used and significant estimates made by management, as well as evaluating the overall present</w:t>
      </w:r>
      <w:r>
        <w:rPr>
          <w:rStyle w:val="Emphasis"/>
          <w:sz w:val="20"/>
          <w:szCs w:val="20"/>
        </w:rPr>
        <w:t>ation of the consolidated financial statements. We believe that our audits provide a reasonable basis for our opinion.”</w:t>
      </w:r>
    </w:p>
    <w:p w14:paraId="6AB1F09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767E523" w14:textId="77777777" w:rsidR="00000000" w:rsidRDefault="00EB4933">
      <w:pPr>
        <w:pStyle w:val="NormalWeb"/>
        <w:spacing w:before="0" w:beforeAutospacing="0" w:after="0" w:afterAutospacing="0"/>
        <w:jc w:val="both"/>
        <w:divId w:val="98525094"/>
        <w:rPr>
          <w:sz w:val="20"/>
          <w:szCs w:val="20"/>
        </w:rPr>
      </w:pPr>
      <w:r>
        <w:rPr>
          <w:sz w:val="20"/>
          <w:szCs w:val="20"/>
        </w:rPr>
        <w:t>Subsequent to the above report, we were appointed to perform a limited scope audit and to form an opinion on variations to the financial statements with respect to Year Ended 31 December 2017, in particular, matters relating to Appendix 1 Correction Of Err</w:t>
      </w:r>
      <w:r>
        <w:rPr>
          <w:sz w:val="20"/>
          <w:szCs w:val="20"/>
        </w:rPr>
        <w:t>ors – Year Ended 31 December 2017.</w:t>
      </w:r>
    </w:p>
    <w:p w14:paraId="77CE5B7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2979F59" w14:textId="77777777" w:rsidR="00000000" w:rsidRDefault="00EB4933">
      <w:pPr>
        <w:pStyle w:val="NormalWeb"/>
        <w:spacing w:before="0" w:beforeAutospacing="0" w:after="0" w:afterAutospacing="0"/>
        <w:jc w:val="both"/>
        <w:divId w:val="98525094"/>
        <w:rPr>
          <w:sz w:val="20"/>
          <w:szCs w:val="20"/>
        </w:rPr>
      </w:pPr>
      <w:r>
        <w:rPr>
          <w:sz w:val="20"/>
          <w:szCs w:val="20"/>
        </w:rPr>
        <w:t>The management is responsible for the preparation of Appendix 1 Correction of Errors – Year Ended 31 December 2017. The above relates to restatements and our audit was only confined to matters pertaining to the restatem</w:t>
      </w:r>
      <w:r>
        <w:rPr>
          <w:sz w:val="20"/>
          <w:szCs w:val="20"/>
        </w:rPr>
        <w:t>ents contained in Appendix 1 Correction Of Errors – Year Ended 31 December 2017.</w:t>
      </w:r>
    </w:p>
    <w:p w14:paraId="4DC8FF4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2F75BB5" w14:textId="77777777" w:rsidR="00000000" w:rsidRDefault="00EB4933">
      <w:pPr>
        <w:pStyle w:val="NormalWeb"/>
        <w:spacing w:before="0" w:beforeAutospacing="0" w:after="0" w:afterAutospacing="0"/>
        <w:jc w:val="both"/>
        <w:divId w:val="98525094"/>
        <w:rPr>
          <w:sz w:val="20"/>
          <w:szCs w:val="20"/>
        </w:rPr>
      </w:pPr>
      <w:r>
        <w:rPr>
          <w:sz w:val="20"/>
          <w:szCs w:val="20"/>
        </w:rPr>
        <w:t>We conducted our audits in accordance with the standards of the Public Company Accounting Oversight Board (“PCAOB”) (United States). We are independent of the Company in acc</w:t>
      </w:r>
      <w:r>
        <w:rPr>
          <w:sz w:val="20"/>
          <w:szCs w:val="20"/>
        </w:rPr>
        <w:t xml:space="preserve">ordance with U.S. federal securities laws and </w:t>
      </w:r>
      <w:r>
        <w:rPr>
          <w:sz w:val="20"/>
          <w:szCs w:val="20"/>
        </w:rPr>
        <w:lastRenderedPageBreak/>
        <w:t>the applicable rules and regulations of the Securities and Exchange Commission and the PCAOB. We believe that the audit evidence we have obtained is sufficient and appropriate to provide a basis for our opinion</w:t>
      </w:r>
      <w:r>
        <w:rPr>
          <w:sz w:val="20"/>
          <w:szCs w:val="20"/>
        </w:rPr>
        <w:t xml:space="preserve">. </w:t>
      </w:r>
    </w:p>
    <w:p w14:paraId="5685F8B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CA31C4E" w14:textId="77777777" w:rsidR="00000000" w:rsidRDefault="00EB4933">
      <w:pPr>
        <w:pStyle w:val="NormalWeb"/>
        <w:spacing w:before="0" w:beforeAutospacing="0" w:after="0" w:afterAutospacing="0"/>
        <w:jc w:val="both"/>
        <w:divId w:val="98525094"/>
        <w:rPr>
          <w:sz w:val="20"/>
          <w:szCs w:val="20"/>
        </w:rPr>
      </w:pPr>
      <w:r>
        <w:rPr>
          <w:sz w:val="20"/>
          <w:szCs w:val="20"/>
        </w:rPr>
        <w:t>In our opinion, the matters contained in Appendix 1 Correction Of Errors – Year Ended 31 December 2017, with respect to Year Ended 31 December 2017, is fairly presented, in all material respects, and is in conformity with International Financial Repor</w:t>
      </w:r>
      <w:r>
        <w:rPr>
          <w:sz w:val="20"/>
          <w:szCs w:val="20"/>
        </w:rPr>
        <w:t>ting Standards.</w:t>
      </w:r>
    </w:p>
    <w:p w14:paraId="4881D36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797BBA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307006F" w14:textId="77777777" w:rsidR="00000000" w:rsidRDefault="00EB4933">
      <w:pPr>
        <w:pStyle w:val="NormalWeb"/>
        <w:spacing w:before="0" w:beforeAutospacing="0" w:after="0" w:afterAutospacing="0"/>
        <w:jc w:val="both"/>
        <w:divId w:val="98525094"/>
        <w:rPr>
          <w:sz w:val="20"/>
          <w:szCs w:val="20"/>
        </w:rPr>
      </w:pPr>
      <w:r>
        <w:rPr>
          <w:rStyle w:val="Emphasis"/>
          <w:sz w:val="20"/>
          <w:szCs w:val="20"/>
        </w:rPr>
        <w:t>/s/ RT LLP</w:t>
      </w:r>
    </w:p>
    <w:p w14:paraId="4EA88B73" w14:textId="77777777" w:rsidR="00000000" w:rsidRDefault="00EB4933">
      <w:pPr>
        <w:pStyle w:val="NormalWeb"/>
        <w:spacing w:before="0" w:beforeAutospacing="0" w:after="0" w:afterAutospacing="0"/>
        <w:jc w:val="both"/>
        <w:divId w:val="98525094"/>
        <w:rPr>
          <w:sz w:val="20"/>
          <w:szCs w:val="20"/>
        </w:rPr>
      </w:pPr>
      <w:r>
        <w:rPr>
          <w:sz w:val="20"/>
          <w:szCs w:val="20"/>
        </w:rPr>
        <w:t>RT LLP</w:t>
      </w:r>
    </w:p>
    <w:p w14:paraId="32FA8E8C" w14:textId="77777777" w:rsidR="00000000" w:rsidRDefault="00EB4933">
      <w:pPr>
        <w:pStyle w:val="NormalWeb"/>
        <w:spacing w:before="0" w:beforeAutospacing="0" w:after="0" w:afterAutospacing="0"/>
        <w:jc w:val="both"/>
        <w:divId w:val="98525094"/>
        <w:rPr>
          <w:sz w:val="20"/>
          <w:szCs w:val="20"/>
        </w:rPr>
      </w:pPr>
      <w:r>
        <w:rPr>
          <w:sz w:val="20"/>
          <w:szCs w:val="20"/>
        </w:rPr>
        <w:t xml:space="preserve">Public Accountants and </w:t>
      </w:r>
    </w:p>
    <w:p w14:paraId="513B6D8C" w14:textId="77777777" w:rsidR="00000000" w:rsidRDefault="00EB4933">
      <w:pPr>
        <w:pStyle w:val="NormalWeb"/>
        <w:spacing w:before="0" w:beforeAutospacing="0" w:after="0" w:afterAutospacing="0"/>
        <w:jc w:val="both"/>
        <w:divId w:val="98525094"/>
        <w:rPr>
          <w:sz w:val="20"/>
          <w:szCs w:val="20"/>
        </w:rPr>
      </w:pPr>
      <w:r>
        <w:rPr>
          <w:sz w:val="20"/>
          <w:szCs w:val="20"/>
        </w:rPr>
        <w:t>Chartered Accountants</w:t>
      </w:r>
    </w:p>
    <w:p w14:paraId="6FE661C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4423242" w14:textId="77777777" w:rsidR="00000000" w:rsidRDefault="00EB4933">
      <w:pPr>
        <w:pStyle w:val="NormalWeb"/>
        <w:spacing w:before="0" w:beforeAutospacing="0" w:after="0" w:afterAutospacing="0"/>
        <w:jc w:val="both"/>
        <w:divId w:val="98525094"/>
        <w:rPr>
          <w:sz w:val="20"/>
          <w:szCs w:val="20"/>
        </w:rPr>
      </w:pPr>
      <w:r>
        <w:rPr>
          <w:sz w:val="20"/>
          <w:szCs w:val="20"/>
        </w:rPr>
        <w:t>Singapore</w:t>
      </w:r>
    </w:p>
    <w:p w14:paraId="2A8F10E1" w14:textId="77777777" w:rsidR="00000000" w:rsidRDefault="00EB4933">
      <w:pPr>
        <w:pStyle w:val="NormalWeb"/>
        <w:spacing w:before="0" w:beforeAutospacing="0" w:after="0" w:afterAutospacing="0"/>
        <w:jc w:val="both"/>
        <w:divId w:val="98525094"/>
        <w:rPr>
          <w:sz w:val="20"/>
          <w:szCs w:val="20"/>
        </w:rPr>
      </w:pPr>
      <w:r>
        <w:rPr>
          <w:sz w:val="20"/>
          <w:szCs w:val="20"/>
        </w:rPr>
        <w:t>May 15, 2019</w:t>
      </w:r>
    </w:p>
    <w:p w14:paraId="4D8747CD"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AF823B1" w14:textId="77777777">
        <w:trPr>
          <w:divId w:val="98525094"/>
          <w:trHeight w:val="225"/>
          <w:tblCellSpacing w:w="15" w:type="dxa"/>
        </w:trPr>
        <w:tc>
          <w:tcPr>
            <w:tcW w:w="0" w:type="auto"/>
            <w:vAlign w:val="center"/>
            <w:hideMark/>
          </w:tcPr>
          <w:p w14:paraId="59DA68ED" w14:textId="77777777" w:rsidR="00000000" w:rsidRDefault="00EB4933">
            <w:pPr>
              <w:rPr>
                <w:rFonts w:eastAsia="Times New Roman"/>
                <w:sz w:val="20"/>
                <w:szCs w:val="20"/>
              </w:rPr>
            </w:pPr>
            <w:r>
              <w:rPr>
                <w:rFonts w:eastAsia="Times New Roman"/>
                <w:sz w:val="20"/>
                <w:szCs w:val="20"/>
              </w:rPr>
              <w:t> </w:t>
            </w:r>
          </w:p>
        </w:tc>
      </w:tr>
      <w:tr w:rsidR="00000000" w14:paraId="587C1D97" w14:textId="77777777">
        <w:trPr>
          <w:divId w:val="98525094"/>
          <w:trHeight w:val="225"/>
          <w:tblCellSpacing w:w="15" w:type="dxa"/>
        </w:trPr>
        <w:tc>
          <w:tcPr>
            <w:tcW w:w="0" w:type="auto"/>
            <w:tcBorders>
              <w:bottom w:val="single" w:sz="6" w:space="0" w:color="000000"/>
            </w:tcBorders>
            <w:vAlign w:val="center"/>
            <w:hideMark/>
          </w:tcPr>
          <w:p w14:paraId="0C7DFDBE" w14:textId="77777777" w:rsidR="00000000" w:rsidRDefault="00EB4933">
            <w:pPr>
              <w:jc w:val="center"/>
              <w:rPr>
                <w:rFonts w:eastAsia="Times New Roman"/>
                <w:sz w:val="20"/>
                <w:szCs w:val="20"/>
              </w:rPr>
            </w:pPr>
            <w:r>
              <w:rPr>
                <w:rFonts w:eastAsia="Times New Roman"/>
                <w:sz w:val="20"/>
                <w:szCs w:val="20"/>
              </w:rPr>
              <w:t>F-4</w:t>
            </w:r>
          </w:p>
        </w:tc>
      </w:tr>
      <w:tr w:rsidR="00000000" w14:paraId="7B559A90" w14:textId="77777777">
        <w:trPr>
          <w:divId w:val="98525094"/>
          <w:trHeight w:val="225"/>
          <w:tblCellSpacing w:w="15" w:type="dxa"/>
        </w:trPr>
        <w:tc>
          <w:tcPr>
            <w:tcW w:w="0" w:type="auto"/>
            <w:vAlign w:val="center"/>
            <w:hideMark/>
          </w:tcPr>
          <w:p w14:paraId="2C881335" w14:textId="77777777" w:rsidR="00000000" w:rsidRDefault="00EB4933">
            <w:pPr>
              <w:rPr>
                <w:rFonts w:eastAsia="Times New Roman"/>
                <w:sz w:val="20"/>
                <w:szCs w:val="20"/>
              </w:rPr>
            </w:pPr>
          </w:p>
        </w:tc>
      </w:tr>
      <w:tr w:rsidR="00000000" w14:paraId="0623380E" w14:textId="77777777">
        <w:trPr>
          <w:divId w:val="98525094"/>
          <w:trHeight w:val="225"/>
          <w:tblCellSpacing w:w="15" w:type="dxa"/>
        </w:trPr>
        <w:tc>
          <w:tcPr>
            <w:tcW w:w="0" w:type="auto"/>
            <w:vAlign w:val="center"/>
            <w:hideMark/>
          </w:tcPr>
          <w:p w14:paraId="1E177D00" w14:textId="77777777" w:rsidR="00000000" w:rsidRDefault="00EB4933">
            <w:pPr>
              <w:rPr>
                <w:rFonts w:eastAsia="Times New Roman"/>
                <w:sz w:val="20"/>
                <w:szCs w:val="20"/>
              </w:rPr>
            </w:pPr>
            <w:hyperlink r:id="rId221" w:anchor="finindex" w:history="1">
              <w:r>
                <w:rPr>
                  <w:rStyle w:val="Hyperlink"/>
                  <w:rFonts w:eastAsia="Times New Roman"/>
                  <w:i/>
                  <w:iCs/>
                  <w:sz w:val="20"/>
                  <w:szCs w:val="20"/>
                </w:rPr>
                <w:t>Table of Contents</w:t>
              </w:r>
            </w:hyperlink>
          </w:p>
        </w:tc>
      </w:tr>
    </w:tbl>
    <w:p w14:paraId="102A166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9AA326D" w14:textId="77777777" w:rsidR="00000000" w:rsidRDefault="00EB4933">
      <w:pPr>
        <w:pStyle w:val="NormalWeb"/>
        <w:spacing w:before="0" w:beforeAutospacing="0" w:after="0" w:afterAutospacing="0"/>
        <w:jc w:val="center"/>
        <w:divId w:val="98525094"/>
        <w:rPr>
          <w:sz w:val="20"/>
          <w:szCs w:val="20"/>
        </w:rPr>
      </w:pPr>
      <w:bookmarkStart w:id="36" w:name="bs"/>
      <w:r>
        <w:rPr>
          <w:rStyle w:val="Strong"/>
          <w:sz w:val="20"/>
          <w:szCs w:val="20"/>
        </w:rPr>
        <w:t>DUNXIN FINANCIAL HOLDINGS LIMITED</w:t>
      </w:r>
      <w:bookmarkEnd w:id="36"/>
    </w:p>
    <w:p w14:paraId="515D649A"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CONSOLIDATED STATEMENTS OF PROFIT AND OTHER COMPREHENSIVE INCOME</w:t>
      </w:r>
    </w:p>
    <w:p w14:paraId="06E93C18"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(Expressed in Thousands of Chinese Renminbi Yuan, except share and per share amounts)</w:t>
      </w:r>
    </w:p>
    <w:p w14:paraId="3CB31785"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For the Years Ended December 31, 2017, 2018 and 2019</w:t>
      </w:r>
    </w:p>
    <w:p w14:paraId="3D9A2900" w14:textId="77777777" w:rsidR="00000000" w:rsidRDefault="00EB4933">
      <w:pPr>
        <w:pStyle w:val="NormalWeb"/>
        <w:spacing w:before="0" w:beforeAutospacing="0" w:after="0" w:afterAutospacing="0"/>
        <w:jc w:val="center"/>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4343"/>
        <w:gridCol w:w="80"/>
        <w:gridCol w:w="681"/>
        <w:gridCol w:w="80"/>
        <w:gridCol w:w="80"/>
        <w:gridCol w:w="80"/>
        <w:gridCol w:w="1030"/>
        <w:gridCol w:w="97"/>
        <w:gridCol w:w="80"/>
        <w:gridCol w:w="80"/>
        <w:gridCol w:w="1180"/>
        <w:gridCol w:w="97"/>
        <w:gridCol w:w="80"/>
        <w:gridCol w:w="80"/>
        <w:gridCol w:w="1180"/>
        <w:gridCol w:w="112"/>
      </w:tblGrid>
      <w:tr w:rsidR="00000000" w14:paraId="56032FA4" w14:textId="77777777">
        <w:trPr>
          <w:divId w:val="98525094"/>
          <w:trHeight w:val="225"/>
          <w:tblCellSpacing w:w="15" w:type="dxa"/>
        </w:trPr>
        <w:tc>
          <w:tcPr>
            <w:tcW w:w="0" w:type="auto"/>
            <w:vAlign w:val="center"/>
            <w:hideMark/>
          </w:tcPr>
          <w:p w14:paraId="5E23BD1D"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1C1AF2C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000000"/>
            </w:tcBorders>
            <w:vAlign w:val="bottom"/>
            <w:hideMark/>
          </w:tcPr>
          <w:p w14:paraId="50DF9B32" w14:textId="77777777" w:rsidR="00000000" w:rsidRDefault="00EB4933">
            <w:pPr>
              <w:pStyle w:val="NormalWeb"/>
              <w:spacing w:before="0" w:beforeAutospacing="0" w:after="0" w:afterAutospacing="0"/>
              <w:jc w:val="center"/>
              <w:rPr>
                <w:sz w:val="20"/>
                <w:szCs w:val="20"/>
              </w:rPr>
            </w:pPr>
            <w:r>
              <w:rPr>
                <w:rStyle w:val="Strong"/>
                <w:sz w:val="20"/>
                <w:szCs w:val="20"/>
              </w:rPr>
              <w:t>Notes</w:t>
            </w:r>
          </w:p>
        </w:tc>
        <w:tc>
          <w:tcPr>
            <w:tcW w:w="0" w:type="auto"/>
            <w:vAlign w:val="center"/>
            <w:hideMark/>
          </w:tcPr>
          <w:p w14:paraId="2D51B923"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333843B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108B8334" w14:textId="77777777" w:rsidR="00000000" w:rsidRDefault="00EB4933">
            <w:pPr>
              <w:pStyle w:val="NormalWeb"/>
              <w:spacing w:before="0" w:beforeAutospacing="0" w:after="0" w:afterAutospacing="0"/>
              <w:jc w:val="center"/>
              <w:rPr>
                <w:sz w:val="20"/>
                <w:szCs w:val="20"/>
              </w:rPr>
            </w:pPr>
            <w:r>
              <w:rPr>
                <w:rStyle w:val="Strong"/>
                <w:sz w:val="20"/>
                <w:szCs w:val="20"/>
              </w:rPr>
              <w:t>2017</w:t>
            </w:r>
          </w:p>
          <w:p w14:paraId="533517B0" w14:textId="77777777" w:rsidR="00000000" w:rsidRDefault="00EB4933">
            <w:pPr>
              <w:pStyle w:val="NormalWeb"/>
              <w:spacing w:before="0" w:beforeAutospacing="0" w:after="0" w:afterAutospacing="0"/>
              <w:jc w:val="center"/>
              <w:rPr>
                <w:sz w:val="20"/>
                <w:szCs w:val="20"/>
              </w:rPr>
            </w:pPr>
            <w:r>
              <w:rPr>
                <w:rStyle w:val="Strong"/>
                <w:sz w:val="20"/>
                <w:szCs w:val="20"/>
              </w:rPr>
              <w:t>Restated</w:t>
            </w:r>
          </w:p>
        </w:tc>
        <w:tc>
          <w:tcPr>
            <w:tcW w:w="0" w:type="auto"/>
            <w:vAlign w:val="center"/>
            <w:hideMark/>
          </w:tcPr>
          <w:p w14:paraId="36DAA4D0"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7CF18C4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599FCCB8"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vAlign w:val="center"/>
            <w:hideMark/>
          </w:tcPr>
          <w:p w14:paraId="627DA6F4"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097ABF01"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44FE2D1B"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vAlign w:val="center"/>
            <w:hideMark/>
          </w:tcPr>
          <w:p w14:paraId="661530EF" w14:textId="77777777" w:rsidR="00000000" w:rsidRDefault="00EB4933">
            <w:pPr>
              <w:pStyle w:val="NormalWeb"/>
              <w:spacing w:before="0" w:beforeAutospacing="0" w:after="0" w:afterAutospacing="0"/>
              <w:rPr>
                <w:sz w:val="20"/>
                <w:szCs w:val="20"/>
              </w:rPr>
            </w:pPr>
            <w:r>
              <w:rPr>
                <w:sz w:val="20"/>
                <w:szCs w:val="20"/>
              </w:rPr>
              <w:t> </w:t>
            </w:r>
          </w:p>
        </w:tc>
      </w:tr>
      <w:tr w:rsidR="00000000" w14:paraId="1F8CF236" w14:textId="77777777">
        <w:trPr>
          <w:divId w:val="98525094"/>
          <w:trHeight w:val="225"/>
          <w:tblCellSpacing w:w="15" w:type="dxa"/>
        </w:trPr>
        <w:tc>
          <w:tcPr>
            <w:tcW w:w="0" w:type="auto"/>
            <w:vAlign w:val="center"/>
            <w:hideMark/>
          </w:tcPr>
          <w:p w14:paraId="53479938"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7CCDCFBC"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7EA749B1"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72C308CE"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3F35AA44" w14:textId="77777777" w:rsidR="00000000" w:rsidRDefault="00EB4933">
            <w:pPr>
              <w:pStyle w:val="NormalWeb"/>
              <w:spacing w:before="0" w:beforeAutospacing="0" w:after="0" w:afterAutospacing="0"/>
              <w:rPr>
                <w:sz w:val="20"/>
                <w:szCs w:val="20"/>
              </w:rPr>
            </w:pPr>
            <w:r>
              <w:rPr>
                <w:sz w:val="20"/>
                <w:szCs w:val="20"/>
              </w:rPr>
              <w:t> </w:t>
            </w:r>
          </w:p>
        </w:tc>
        <w:tc>
          <w:tcPr>
            <w:tcW w:w="0" w:type="auto"/>
            <w:gridSpan w:val="2"/>
            <w:vAlign w:val="center"/>
            <w:hideMark/>
          </w:tcPr>
          <w:p w14:paraId="08D1CE0B" w14:textId="77777777" w:rsidR="00000000" w:rsidRDefault="00EB4933">
            <w:pPr>
              <w:pStyle w:val="NormalWeb"/>
              <w:spacing w:before="0" w:beforeAutospacing="0" w:after="0" w:afterAutospacing="0"/>
              <w:jc w:val="center"/>
              <w:rPr>
                <w:sz w:val="20"/>
                <w:szCs w:val="20"/>
              </w:rPr>
            </w:pPr>
            <w:r>
              <w:rPr>
                <w:sz w:val="20"/>
                <w:szCs w:val="20"/>
              </w:rPr>
              <w:t> </w:t>
            </w:r>
          </w:p>
        </w:tc>
        <w:tc>
          <w:tcPr>
            <w:tcW w:w="0" w:type="auto"/>
            <w:vAlign w:val="center"/>
            <w:hideMark/>
          </w:tcPr>
          <w:p w14:paraId="73DA3F94"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16C60AD4" w14:textId="77777777" w:rsidR="00000000" w:rsidRDefault="00EB4933">
            <w:pPr>
              <w:pStyle w:val="NormalWeb"/>
              <w:spacing w:before="0" w:beforeAutospacing="0" w:after="0" w:afterAutospacing="0"/>
              <w:rPr>
                <w:sz w:val="20"/>
                <w:szCs w:val="20"/>
              </w:rPr>
            </w:pPr>
            <w:r>
              <w:rPr>
                <w:sz w:val="20"/>
                <w:szCs w:val="20"/>
              </w:rPr>
              <w:t> </w:t>
            </w:r>
          </w:p>
        </w:tc>
        <w:tc>
          <w:tcPr>
            <w:tcW w:w="0" w:type="auto"/>
            <w:gridSpan w:val="2"/>
            <w:vAlign w:val="center"/>
            <w:hideMark/>
          </w:tcPr>
          <w:p w14:paraId="469A1672"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205BEC6E"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018A09B6" w14:textId="77777777" w:rsidR="00000000" w:rsidRDefault="00EB4933">
            <w:pPr>
              <w:pStyle w:val="NormalWeb"/>
              <w:spacing w:before="0" w:beforeAutospacing="0" w:after="0" w:afterAutospacing="0"/>
              <w:rPr>
                <w:sz w:val="20"/>
                <w:szCs w:val="20"/>
              </w:rPr>
            </w:pPr>
            <w:r>
              <w:rPr>
                <w:sz w:val="20"/>
                <w:szCs w:val="20"/>
              </w:rPr>
              <w:t> </w:t>
            </w:r>
          </w:p>
        </w:tc>
        <w:tc>
          <w:tcPr>
            <w:tcW w:w="0" w:type="auto"/>
            <w:gridSpan w:val="2"/>
            <w:vAlign w:val="center"/>
            <w:hideMark/>
          </w:tcPr>
          <w:p w14:paraId="27A3451D"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3D9F33A4" w14:textId="77777777" w:rsidR="00000000" w:rsidRDefault="00EB4933">
            <w:pPr>
              <w:pStyle w:val="NormalWeb"/>
              <w:spacing w:before="0" w:beforeAutospacing="0" w:after="0" w:afterAutospacing="0"/>
              <w:rPr>
                <w:sz w:val="20"/>
                <w:szCs w:val="20"/>
              </w:rPr>
            </w:pPr>
            <w:r>
              <w:rPr>
                <w:sz w:val="20"/>
                <w:szCs w:val="20"/>
              </w:rPr>
              <w:t> </w:t>
            </w:r>
          </w:p>
        </w:tc>
      </w:tr>
      <w:tr w:rsidR="00000000" w14:paraId="0CE9A7F2" w14:textId="77777777">
        <w:trPr>
          <w:divId w:val="98525094"/>
          <w:trHeight w:val="225"/>
          <w:tblCellSpacing w:w="15" w:type="dxa"/>
        </w:trPr>
        <w:tc>
          <w:tcPr>
            <w:tcW w:w="0" w:type="auto"/>
            <w:shd w:val="clear" w:color="auto" w:fill="CCEEFF"/>
            <w:hideMark/>
          </w:tcPr>
          <w:p w14:paraId="7D34B251" w14:textId="77777777" w:rsidR="00000000" w:rsidRDefault="00EB4933">
            <w:pPr>
              <w:pStyle w:val="NormalWeb"/>
              <w:spacing w:before="0" w:beforeAutospacing="0" w:after="0" w:afterAutospacing="0"/>
              <w:rPr>
                <w:sz w:val="20"/>
                <w:szCs w:val="20"/>
              </w:rPr>
            </w:pPr>
            <w:r>
              <w:rPr>
                <w:sz w:val="20"/>
                <w:szCs w:val="20"/>
              </w:rPr>
              <w:t>Interest income on loans</w:t>
            </w:r>
          </w:p>
        </w:tc>
        <w:tc>
          <w:tcPr>
            <w:tcW w:w="50" w:type="pct"/>
            <w:shd w:val="clear" w:color="auto" w:fill="CCEEFF"/>
            <w:vAlign w:val="center"/>
            <w:hideMark/>
          </w:tcPr>
          <w:p w14:paraId="69A9D02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2A426D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E72CD7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7540188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36F9E0E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B354965" w14:textId="77777777" w:rsidR="00000000" w:rsidRDefault="00EB4933">
            <w:pPr>
              <w:jc w:val="right"/>
              <w:rPr>
                <w:rFonts w:eastAsia="Times New Roman"/>
                <w:sz w:val="20"/>
                <w:szCs w:val="20"/>
              </w:rPr>
            </w:pPr>
            <w:r>
              <w:rPr>
                <w:rFonts w:eastAsia="Times New Roman"/>
                <w:sz w:val="20"/>
                <w:szCs w:val="20"/>
              </w:rPr>
              <w:t>119,639</w:t>
            </w:r>
          </w:p>
        </w:tc>
        <w:tc>
          <w:tcPr>
            <w:tcW w:w="50" w:type="pct"/>
            <w:shd w:val="clear" w:color="auto" w:fill="CCEEFF"/>
            <w:vAlign w:val="center"/>
            <w:hideMark/>
          </w:tcPr>
          <w:p w14:paraId="364D74D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48945E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314CC12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89A10FD" w14:textId="77777777" w:rsidR="00000000" w:rsidRDefault="00EB4933">
            <w:pPr>
              <w:jc w:val="right"/>
              <w:rPr>
                <w:rFonts w:eastAsia="Times New Roman"/>
                <w:sz w:val="20"/>
                <w:szCs w:val="20"/>
              </w:rPr>
            </w:pPr>
            <w:r>
              <w:rPr>
                <w:rFonts w:eastAsia="Times New Roman"/>
                <w:sz w:val="20"/>
                <w:szCs w:val="20"/>
              </w:rPr>
              <w:t>141,857</w:t>
            </w:r>
          </w:p>
        </w:tc>
        <w:tc>
          <w:tcPr>
            <w:tcW w:w="50" w:type="pct"/>
            <w:shd w:val="clear" w:color="auto" w:fill="CCEEFF"/>
            <w:vAlign w:val="center"/>
            <w:hideMark/>
          </w:tcPr>
          <w:p w14:paraId="798A995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52A94B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D98547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7EE7D6E" w14:textId="77777777" w:rsidR="00000000" w:rsidRDefault="00EB4933">
            <w:pPr>
              <w:jc w:val="right"/>
              <w:rPr>
                <w:rFonts w:eastAsia="Times New Roman"/>
                <w:sz w:val="20"/>
                <w:szCs w:val="20"/>
              </w:rPr>
            </w:pPr>
            <w:r>
              <w:rPr>
                <w:rFonts w:eastAsia="Times New Roman"/>
                <w:sz w:val="20"/>
                <w:szCs w:val="20"/>
              </w:rPr>
              <w:t>118,396</w:t>
            </w:r>
          </w:p>
        </w:tc>
        <w:tc>
          <w:tcPr>
            <w:tcW w:w="50" w:type="pct"/>
            <w:shd w:val="clear" w:color="auto" w:fill="CCEEFF"/>
            <w:vAlign w:val="center"/>
            <w:hideMark/>
          </w:tcPr>
          <w:p w14:paraId="534EB103" w14:textId="77777777" w:rsidR="00000000" w:rsidRDefault="00EB4933">
            <w:pPr>
              <w:pStyle w:val="NormalWeb"/>
              <w:spacing w:before="0" w:beforeAutospacing="0" w:after="0" w:afterAutospacing="0"/>
              <w:rPr>
                <w:sz w:val="20"/>
                <w:szCs w:val="20"/>
              </w:rPr>
            </w:pPr>
            <w:r>
              <w:rPr>
                <w:sz w:val="20"/>
                <w:szCs w:val="20"/>
              </w:rPr>
              <w:t> </w:t>
            </w:r>
          </w:p>
        </w:tc>
      </w:tr>
      <w:tr w:rsidR="00000000" w14:paraId="56AFE900" w14:textId="77777777">
        <w:trPr>
          <w:divId w:val="98525094"/>
          <w:trHeight w:val="225"/>
          <w:tblCellSpacing w:w="15" w:type="dxa"/>
        </w:trPr>
        <w:tc>
          <w:tcPr>
            <w:tcW w:w="0" w:type="auto"/>
            <w:shd w:val="clear" w:color="auto" w:fill="FFFFFF"/>
            <w:vAlign w:val="center"/>
            <w:hideMark/>
          </w:tcPr>
          <w:p w14:paraId="7ADC98F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7BE4784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6E7C32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04370E1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4F23FDB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2C9374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C59E0C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4F1016A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7426DC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0A79FBA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4B719E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7F6927D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0029CE5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5EDE208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A936A2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545B8952" w14:textId="77777777" w:rsidR="00000000" w:rsidRDefault="00EB4933">
            <w:pPr>
              <w:pStyle w:val="NormalWeb"/>
              <w:spacing w:before="0" w:beforeAutospacing="0" w:after="0" w:afterAutospacing="0"/>
              <w:rPr>
                <w:sz w:val="20"/>
                <w:szCs w:val="20"/>
              </w:rPr>
            </w:pPr>
            <w:r>
              <w:rPr>
                <w:sz w:val="20"/>
                <w:szCs w:val="20"/>
              </w:rPr>
              <w:t> </w:t>
            </w:r>
          </w:p>
        </w:tc>
      </w:tr>
      <w:tr w:rsidR="00000000" w14:paraId="2E63EF6E" w14:textId="77777777">
        <w:trPr>
          <w:divId w:val="98525094"/>
          <w:trHeight w:val="225"/>
          <w:tblCellSpacing w:w="15" w:type="dxa"/>
        </w:trPr>
        <w:tc>
          <w:tcPr>
            <w:tcW w:w="0" w:type="auto"/>
            <w:shd w:val="clear" w:color="auto" w:fill="CCEEFF"/>
            <w:hideMark/>
          </w:tcPr>
          <w:p w14:paraId="358A9984" w14:textId="77777777" w:rsidR="00000000" w:rsidRDefault="00EB4933">
            <w:pPr>
              <w:pStyle w:val="NormalWeb"/>
              <w:spacing w:before="0" w:beforeAutospacing="0" w:after="0" w:afterAutospacing="0"/>
              <w:rPr>
                <w:sz w:val="20"/>
                <w:szCs w:val="20"/>
              </w:rPr>
            </w:pPr>
            <w:r>
              <w:rPr>
                <w:rStyle w:val="Strong"/>
                <w:sz w:val="20"/>
                <w:szCs w:val="20"/>
              </w:rPr>
              <w:t>Interest expense</w:t>
            </w:r>
          </w:p>
        </w:tc>
        <w:tc>
          <w:tcPr>
            <w:tcW w:w="50" w:type="pct"/>
            <w:shd w:val="clear" w:color="auto" w:fill="CCEEFF"/>
            <w:vAlign w:val="center"/>
            <w:hideMark/>
          </w:tcPr>
          <w:p w14:paraId="213021B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E8B1FC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A4E35F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3579DC9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1F1050B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FF6523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37BD66A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781881A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F3344E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CE72C5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B9D821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495715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3429280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9F0D10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169006DC" w14:textId="77777777" w:rsidR="00000000" w:rsidRDefault="00EB4933">
            <w:pPr>
              <w:pStyle w:val="NormalWeb"/>
              <w:spacing w:before="0" w:beforeAutospacing="0" w:after="0" w:afterAutospacing="0"/>
              <w:rPr>
                <w:sz w:val="20"/>
                <w:szCs w:val="20"/>
              </w:rPr>
            </w:pPr>
            <w:r>
              <w:rPr>
                <w:sz w:val="20"/>
                <w:szCs w:val="20"/>
              </w:rPr>
              <w:t> </w:t>
            </w:r>
          </w:p>
        </w:tc>
      </w:tr>
      <w:tr w:rsidR="00000000" w14:paraId="0F213205" w14:textId="77777777">
        <w:trPr>
          <w:divId w:val="98525094"/>
          <w:trHeight w:val="225"/>
          <w:tblCellSpacing w:w="15" w:type="dxa"/>
        </w:trPr>
        <w:tc>
          <w:tcPr>
            <w:tcW w:w="0" w:type="auto"/>
            <w:shd w:val="clear" w:color="auto" w:fill="FFFFFF"/>
            <w:hideMark/>
          </w:tcPr>
          <w:p w14:paraId="4AE509B4" w14:textId="77777777" w:rsidR="00000000" w:rsidRDefault="00EB4933">
            <w:pPr>
              <w:pStyle w:val="NormalWeb"/>
              <w:spacing w:before="0" w:beforeAutospacing="0" w:after="0" w:afterAutospacing="0"/>
              <w:rPr>
                <w:sz w:val="20"/>
                <w:szCs w:val="20"/>
              </w:rPr>
            </w:pPr>
            <w:r>
              <w:rPr>
                <w:sz w:val="20"/>
                <w:szCs w:val="20"/>
              </w:rPr>
              <w:t>Interest expenses on loans</w:t>
            </w:r>
          </w:p>
        </w:tc>
        <w:tc>
          <w:tcPr>
            <w:tcW w:w="50" w:type="pct"/>
            <w:shd w:val="clear" w:color="auto" w:fill="FFFFFF"/>
            <w:vAlign w:val="center"/>
            <w:hideMark/>
          </w:tcPr>
          <w:p w14:paraId="4FB227D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0AE463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8C82B7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7237F6E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6808DC1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6EFE061" w14:textId="77777777" w:rsidR="00000000" w:rsidRDefault="00EB4933">
            <w:pPr>
              <w:jc w:val="right"/>
              <w:rPr>
                <w:rFonts w:eastAsia="Times New Roman"/>
                <w:sz w:val="20"/>
                <w:szCs w:val="20"/>
              </w:rPr>
            </w:pPr>
            <w:r>
              <w:rPr>
                <w:rFonts w:eastAsia="Times New Roman"/>
                <w:sz w:val="20"/>
                <w:szCs w:val="20"/>
              </w:rPr>
              <w:t>(33,791</w:t>
            </w:r>
          </w:p>
        </w:tc>
        <w:tc>
          <w:tcPr>
            <w:tcW w:w="50" w:type="pct"/>
            <w:shd w:val="clear" w:color="auto" w:fill="FFFFFF"/>
            <w:vAlign w:val="bottom"/>
            <w:hideMark/>
          </w:tcPr>
          <w:p w14:paraId="2B7FBF68"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vAlign w:val="center"/>
            <w:hideMark/>
          </w:tcPr>
          <w:p w14:paraId="5EDECE4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249C36F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7F4510F" w14:textId="77777777" w:rsidR="00000000" w:rsidRDefault="00EB4933">
            <w:pPr>
              <w:jc w:val="right"/>
              <w:rPr>
                <w:rFonts w:eastAsia="Times New Roman"/>
                <w:sz w:val="20"/>
                <w:szCs w:val="20"/>
              </w:rPr>
            </w:pPr>
            <w:r>
              <w:rPr>
                <w:rFonts w:eastAsia="Times New Roman"/>
                <w:sz w:val="20"/>
                <w:szCs w:val="20"/>
              </w:rPr>
              <w:t>(26,451</w:t>
            </w:r>
          </w:p>
        </w:tc>
        <w:tc>
          <w:tcPr>
            <w:tcW w:w="50" w:type="pct"/>
            <w:shd w:val="clear" w:color="auto" w:fill="FFFFFF"/>
            <w:vAlign w:val="bottom"/>
            <w:hideMark/>
          </w:tcPr>
          <w:p w14:paraId="12D664F3"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vAlign w:val="center"/>
            <w:hideMark/>
          </w:tcPr>
          <w:p w14:paraId="45EB701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74388DA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89E40D1" w14:textId="77777777" w:rsidR="00000000" w:rsidRDefault="00EB4933">
            <w:pPr>
              <w:jc w:val="right"/>
              <w:rPr>
                <w:rFonts w:eastAsia="Times New Roman"/>
                <w:sz w:val="20"/>
                <w:szCs w:val="20"/>
              </w:rPr>
            </w:pPr>
            <w:r>
              <w:rPr>
                <w:rFonts w:eastAsia="Times New Roman"/>
                <w:sz w:val="20"/>
                <w:szCs w:val="20"/>
              </w:rPr>
              <w:t>(19,846</w:t>
            </w:r>
          </w:p>
        </w:tc>
        <w:tc>
          <w:tcPr>
            <w:tcW w:w="50" w:type="pct"/>
            <w:shd w:val="clear" w:color="auto" w:fill="FFFFFF"/>
            <w:vAlign w:val="bottom"/>
            <w:hideMark/>
          </w:tcPr>
          <w:p w14:paraId="2A2957FC" w14:textId="77777777" w:rsidR="00000000" w:rsidRDefault="00EB4933">
            <w:pPr>
              <w:rPr>
                <w:rFonts w:eastAsia="Times New Roman"/>
                <w:sz w:val="20"/>
                <w:szCs w:val="20"/>
              </w:rPr>
            </w:pPr>
            <w:r>
              <w:rPr>
                <w:rFonts w:eastAsia="Times New Roman"/>
                <w:sz w:val="20"/>
                <w:szCs w:val="20"/>
              </w:rPr>
              <w:t>)</w:t>
            </w:r>
          </w:p>
        </w:tc>
      </w:tr>
      <w:tr w:rsidR="00000000" w14:paraId="64D9ABF2" w14:textId="77777777">
        <w:trPr>
          <w:divId w:val="98525094"/>
          <w:trHeight w:val="225"/>
          <w:tblCellSpacing w:w="15" w:type="dxa"/>
        </w:trPr>
        <w:tc>
          <w:tcPr>
            <w:tcW w:w="0" w:type="auto"/>
            <w:shd w:val="clear" w:color="auto" w:fill="CCEEFF"/>
            <w:hideMark/>
          </w:tcPr>
          <w:p w14:paraId="0788AAA2" w14:textId="77777777" w:rsidR="00000000" w:rsidRDefault="00EB4933">
            <w:pPr>
              <w:pStyle w:val="NormalWeb"/>
              <w:spacing w:before="0" w:beforeAutospacing="0" w:after="0" w:afterAutospacing="0"/>
              <w:rPr>
                <w:sz w:val="20"/>
                <w:szCs w:val="20"/>
              </w:rPr>
            </w:pPr>
            <w:r>
              <w:rPr>
                <w:sz w:val="20"/>
                <w:szCs w:val="20"/>
              </w:rPr>
              <w:t>Business related taxes and surcharges</w:t>
            </w:r>
          </w:p>
        </w:tc>
        <w:tc>
          <w:tcPr>
            <w:tcW w:w="50" w:type="pct"/>
            <w:shd w:val="clear" w:color="auto" w:fill="CCEEFF"/>
            <w:vAlign w:val="center"/>
            <w:hideMark/>
          </w:tcPr>
          <w:p w14:paraId="2106C0E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B230C4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A9BAA2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30DBA59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vAlign w:val="center"/>
            <w:hideMark/>
          </w:tcPr>
          <w:p w14:paraId="756D2CC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85BF00F" w14:textId="77777777" w:rsidR="00000000" w:rsidRDefault="00EB4933">
            <w:pPr>
              <w:jc w:val="right"/>
              <w:rPr>
                <w:rFonts w:eastAsia="Times New Roman"/>
                <w:sz w:val="20"/>
                <w:szCs w:val="20"/>
              </w:rPr>
            </w:pPr>
            <w:r>
              <w:rPr>
                <w:rFonts w:eastAsia="Times New Roman"/>
                <w:sz w:val="20"/>
                <w:szCs w:val="20"/>
              </w:rPr>
              <w:t>(674</w:t>
            </w:r>
          </w:p>
        </w:tc>
        <w:tc>
          <w:tcPr>
            <w:tcW w:w="50" w:type="pct"/>
            <w:shd w:val="clear" w:color="auto" w:fill="CCEEFF"/>
            <w:tcMar>
              <w:top w:w="0" w:type="dxa"/>
              <w:left w:w="0" w:type="dxa"/>
              <w:bottom w:w="15" w:type="dxa"/>
              <w:right w:w="0" w:type="dxa"/>
            </w:tcMar>
            <w:vAlign w:val="bottom"/>
            <w:hideMark/>
          </w:tcPr>
          <w:p w14:paraId="7A1575F1"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vAlign w:val="center"/>
            <w:hideMark/>
          </w:tcPr>
          <w:p w14:paraId="245AA08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vAlign w:val="center"/>
            <w:hideMark/>
          </w:tcPr>
          <w:p w14:paraId="43CE20C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5CB7CA8" w14:textId="77777777" w:rsidR="00000000" w:rsidRDefault="00EB4933">
            <w:pPr>
              <w:jc w:val="right"/>
              <w:rPr>
                <w:rFonts w:eastAsia="Times New Roman"/>
                <w:sz w:val="20"/>
                <w:szCs w:val="20"/>
              </w:rPr>
            </w:pPr>
            <w:r>
              <w:rPr>
                <w:rFonts w:eastAsia="Times New Roman"/>
                <w:sz w:val="20"/>
                <w:szCs w:val="20"/>
              </w:rPr>
              <w:t>(590</w:t>
            </w:r>
          </w:p>
        </w:tc>
        <w:tc>
          <w:tcPr>
            <w:tcW w:w="50" w:type="pct"/>
            <w:shd w:val="clear" w:color="auto" w:fill="CCEEFF"/>
            <w:tcMar>
              <w:top w:w="0" w:type="dxa"/>
              <w:left w:w="0" w:type="dxa"/>
              <w:bottom w:w="15" w:type="dxa"/>
              <w:right w:w="0" w:type="dxa"/>
            </w:tcMar>
            <w:vAlign w:val="bottom"/>
            <w:hideMark/>
          </w:tcPr>
          <w:p w14:paraId="7A7A0C20"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vAlign w:val="center"/>
            <w:hideMark/>
          </w:tcPr>
          <w:p w14:paraId="3730125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vAlign w:val="center"/>
            <w:hideMark/>
          </w:tcPr>
          <w:p w14:paraId="4A3BC6C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2469FB4" w14:textId="77777777" w:rsidR="00000000" w:rsidRDefault="00EB4933">
            <w:pPr>
              <w:jc w:val="right"/>
              <w:rPr>
                <w:rFonts w:eastAsia="Times New Roman"/>
                <w:sz w:val="20"/>
                <w:szCs w:val="20"/>
              </w:rPr>
            </w:pPr>
            <w:r>
              <w:rPr>
                <w:rFonts w:eastAsia="Times New Roman"/>
                <w:sz w:val="20"/>
                <w:szCs w:val="20"/>
              </w:rPr>
              <w:t>(435</w:t>
            </w:r>
          </w:p>
        </w:tc>
        <w:tc>
          <w:tcPr>
            <w:tcW w:w="50" w:type="pct"/>
            <w:shd w:val="clear" w:color="auto" w:fill="CCEEFF"/>
            <w:tcMar>
              <w:top w:w="0" w:type="dxa"/>
              <w:left w:w="0" w:type="dxa"/>
              <w:bottom w:w="15" w:type="dxa"/>
              <w:right w:w="0" w:type="dxa"/>
            </w:tcMar>
            <w:vAlign w:val="bottom"/>
            <w:hideMark/>
          </w:tcPr>
          <w:p w14:paraId="1A69B88D" w14:textId="77777777" w:rsidR="00000000" w:rsidRDefault="00EB4933">
            <w:pPr>
              <w:rPr>
                <w:rFonts w:eastAsia="Times New Roman"/>
                <w:sz w:val="20"/>
                <w:szCs w:val="20"/>
              </w:rPr>
            </w:pPr>
            <w:r>
              <w:rPr>
                <w:rFonts w:eastAsia="Times New Roman"/>
                <w:sz w:val="20"/>
                <w:szCs w:val="20"/>
              </w:rPr>
              <w:t>)</w:t>
            </w:r>
          </w:p>
        </w:tc>
      </w:tr>
      <w:tr w:rsidR="00000000" w14:paraId="7389F506" w14:textId="77777777">
        <w:trPr>
          <w:divId w:val="98525094"/>
          <w:trHeight w:val="225"/>
          <w:tblCellSpacing w:w="15" w:type="dxa"/>
        </w:trPr>
        <w:tc>
          <w:tcPr>
            <w:tcW w:w="0" w:type="auto"/>
            <w:shd w:val="clear" w:color="auto" w:fill="FFFFFF"/>
            <w:hideMark/>
          </w:tcPr>
          <w:p w14:paraId="0DA661FF" w14:textId="77777777" w:rsidR="00000000" w:rsidRDefault="00EB4933">
            <w:pPr>
              <w:pStyle w:val="NormalWeb"/>
              <w:spacing w:before="0" w:beforeAutospacing="0" w:after="0" w:afterAutospacing="0"/>
              <w:rPr>
                <w:sz w:val="20"/>
                <w:szCs w:val="20"/>
              </w:rPr>
            </w:pPr>
            <w:r>
              <w:rPr>
                <w:sz w:val="20"/>
                <w:szCs w:val="20"/>
              </w:rPr>
              <w:t>Total interest expense</w:t>
            </w:r>
          </w:p>
        </w:tc>
        <w:tc>
          <w:tcPr>
            <w:tcW w:w="50" w:type="pct"/>
            <w:shd w:val="clear" w:color="auto" w:fill="FFFFFF"/>
            <w:vAlign w:val="center"/>
            <w:hideMark/>
          </w:tcPr>
          <w:p w14:paraId="430A298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7E7511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001DE82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165FADB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vAlign w:val="center"/>
            <w:hideMark/>
          </w:tcPr>
          <w:p w14:paraId="6F98B40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0404C1E" w14:textId="77777777" w:rsidR="00000000" w:rsidRDefault="00EB4933">
            <w:pPr>
              <w:jc w:val="right"/>
              <w:rPr>
                <w:rFonts w:eastAsia="Times New Roman"/>
                <w:sz w:val="20"/>
                <w:szCs w:val="20"/>
              </w:rPr>
            </w:pPr>
            <w:r>
              <w:rPr>
                <w:rFonts w:eastAsia="Times New Roman"/>
                <w:sz w:val="20"/>
                <w:szCs w:val="20"/>
              </w:rPr>
              <w:t>(34,465</w:t>
            </w:r>
          </w:p>
        </w:tc>
        <w:tc>
          <w:tcPr>
            <w:tcW w:w="50" w:type="pct"/>
            <w:shd w:val="clear" w:color="auto" w:fill="FFFFFF"/>
            <w:tcMar>
              <w:top w:w="0" w:type="dxa"/>
              <w:left w:w="0" w:type="dxa"/>
              <w:bottom w:w="15" w:type="dxa"/>
              <w:right w:w="0" w:type="dxa"/>
            </w:tcMar>
            <w:vAlign w:val="bottom"/>
            <w:hideMark/>
          </w:tcPr>
          <w:p w14:paraId="4DB4EE71"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vAlign w:val="center"/>
            <w:hideMark/>
          </w:tcPr>
          <w:p w14:paraId="312C533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vAlign w:val="center"/>
            <w:hideMark/>
          </w:tcPr>
          <w:p w14:paraId="0C807F7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8A65A43" w14:textId="77777777" w:rsidR="00000000" w:rsidRDefault="00EB4933">
            <w:pPr>
              <w:jc w:val="right"/>
              <w:rPr>
                <w:rFonts w:eastAsia="Times New Roman"/>
                <w:sz w:val="20"/>
                <w:szCs w:val="20"/>
              </w:rPr>
            </w:pPr>
            <w:r>
              <w:rPr>
                <w:rFonts w:eastAsia="Times New Roman"/>
                <w:sz w:val="20"/>
                <w:szCs w:val="20"/>
              </w:rPr>
              <w:t>(27,041</w:t>
            </w:r>
          </w:p>
        </w:tc>
        <w:tc>
          <w:tcPr>
            <w:tcW w:w="50" w:type="pct"/>
            <w:shd w:val="clear" w:color="auto" w:fill="FFFFFF"/>
            <w:tcMar>
              <w:top w:w="0" w:type="dxa"/>
              <w:left w:w="0" w:type="dxa"/>
              <w:bottom w:w="15" w:type="dxa"/>
              <w:right w:w="0" w:type="dxa"/>
            </w:tcMar>
            <w:vAlign w:val="bottom"/>
            <w:hideMark/>
          </w:tcPr>
          <w:p w14:paraId="60E17D00"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vAlign w:val="center"/>
            <w:hideMark/>
          </w:tcPr>
          <w:p w14:paraId="45855FD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vAlign w:val="center"/>
            <w:hideMark/>
          </w:tcPr>
          <w:p w14:paraId="28BA71B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3A9D65F" w14:textId="77777777" w:rsidR="00000000" w:rsidRDefault="00EB4933">
            <w:pPr>
              <w:jc w:val="right"/>
              <w:rPr>
                <w:rFonts w:eastAsia="Times New Roman"/>
                <w:sz w:val="20"/>
                <w:szCs w:val="20"/>
              </w:rPr>
            </w:pPr>
            <w:r>
              <w:rPr>
                <w:rFonts w:eastAsia="Times New Roman"/>
                <w:sz w:val="20"/>
                <w:szCs w:val="20"/>
              </w:rPr>
              <w:t>(20,281</w:t>
            </w:r>
          </w:p>
        </w:tc>
        <w:tc>
          <w:tcPr>
            <w:tcW w:w="50" w:type="pct"/>
            <w:shd w:val="clear" w:color="auto" w:fill="FFFFFF"/>
            <w:tcMar>
              <w:top w:w="0" w:type="dxa"/>
              <w:left w:w="0" w:type="dxa"/>
              <w:bottom w:w="15" w:type="dxa"/>
              <w:right w:w="0" w:type="dxa"/>
            </w:tcMar>
            <w:vAlign w:val="bottom"/>
            <w:hideMark/>
          </w:tcPr>
          <w:p w14:paraId="7591C044" w14:textId="77777777" w:rsidR="00000000" w:rsidRDefault="00EB4933">
            <w:pPr>
              <w:rPr>
                <w:rFonts w:eastAsia="Times New Roman"/>
                <w:sz w:val="20"/>
                <w:szCs w:val="20"/>
              </w:rPr>
            </w:pPr>
            <w:r>
              <w:rPr>
                <w:rFonts w:eastAsia="Times New Roman"/>
                <w:sz w:val="20"/>
                <w:szCs w:val="20"/>
              </w:rPr>
              <w:t>)</w:t>
            </w:r>
          </w:p>
        </w:tc>
      </w:tr>
      <w:tr w:rsidR="00000000" w14:paraId="1A789BDD" w14:textId="77777777">
        <w:trPr>
          <w:divId w:val="98525094"/>
          <w:trHeight w:val="225"/>
          <w:tblCellSpacing w:w="15" w:type="dxa"/>
        </w:trPr>
        <w:tc>
          <w:tcPr>
            <w:tcW w:w="0" w:type="auto"/>
            <w:shd w:val="clear" w:color="auto" w:fill="CCEEFF"/>
            <w:vAlign w:val="center"/>
            <w:hideMark/>
          </w:tcPr>
          <w:p w14:paraId="0E89DEF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A3C7AD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D411EE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64CA3B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6530BA9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1972B49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086726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0E07F3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F7D1C9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DBFF01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76A13D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B872FF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7C48C86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0F3E4E2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447E89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35B2767E" w14:textId="77777777" w:rsidR="00000000" w:rsidRDefault="00EB4933">
            <w:pPr>
              <w:pStyle w:val="NormalWeb"/>
              <w:spacing w:before="0" w:beforeAutospacing="0" w:after="0" w:afterAutospacing="0"/>
              <w:rPr>
                <w:sz w:val="20"/>
                <w:szCs w:val="20"/>
              </w:rPr>
            </w:pPr>
            <w:r>
              <w:rPr>
                <w:sz w:val="20"/>
                <w:szCs w:val="20"/>
              </w:rPr>
              <w:t> </w:t>
            </w:r>
          </w:p>
        </w:tc>
      </w:tr>
      <w:tr w:rsidR="00000000" w14:paraId="3BCC3FC6" w14:textId="77777777">
        <w:trPr>
          <w:divId w:val="98525094"/>
          <w:trHeight w:val="225"/>
          <w:tblCellSpacing w:w="15" w:type="dxa"/>
        </w:trPr>
        <w:tc>
          <w:tcPr>
            <w:tcW w:w="0" w:type="auto"/>
            <w:shd w:val="clear" w:color="auto" w:fill="FFFFFF"/>
            <w:hideMark/>
          </w:tcPr>
          <w:p w14:paraId="200029D4" w14:textId="77777777" w:rsidR="00000000" w:rsidRDefault="00EB4933">
            <w:pPr>
              <w:pStyle w:val="NormalWeb"/>
              <w:spacing w:before="0" w:beforeAutospacing="0" w:after="0" w:afterAutospacing="0"/>
              <w:rPr>
                <w:sz w:val="20"/>
                <w:szCs w:val="20"/>
              </w:rPr>
            </w:pPr>
            <w:r>
              <w:rPr>
                <w:rStyle w:val="Strong"/>
                <w:sz w:val="20"/>
                <w:szCs w:val="20"/>
              </w:rPr>
              <w:t>Net interest income</w:t>
            </w:r>
          </w:p>
        </w:tc>
        <w:tc>
          <w:tcPr>
            <w:tcW w:w="50" w:type="pct"/>
            <w:shd w:val="clear" w:color="auto" w:fill="FFFFFF"/>
            <w:vAlign w:val="center"/>
            <w:hideMark/>
          </w:tcPr>
          <w:p w14:paraId="41517AD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DE349B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43911FF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1834E9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156BFD1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AD8E7DE" w14:textId="77777777" w:rsidR="00000000" w:rsidRDefault="00EB4933">
            <w:pPr>
              <w:jc w:val="right"/>
              <w:rPr>
                <w:rFonts w:eastAsia="Times New Roman"/>
                <w:sz w:val="20"/>
                <w:szCs w:val="20"/>
              </w:rPr>
            </w:pPr>
            <w:r>
              <w:rPr>
                <w:rFonts w:eastAsia="Times New Roman"/>
                <w:sz w:val="20"/>
                <w:szCs w:val="20"/>
              </w:rPr>
              <w:t>85,174</w:t>
            </w:r>
          </w:p>
        </w:tc>
        <w:tc>
          <w:tcPr>
            <w:tcW w:w="50" w:type="pct"/>
            <w:shd w:val="clear" w:color="auto" w:fill="FFFFFF"/>
            <w:vAlign w:val="center"/>
            <w:hideMark/>
          </w:tcPr>
          <w:p w14:paraId="1E44164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5185C1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0292C41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378797F" w14:textId="77777777" w:rsidR="00000000" w:rsidRDefault="00EB4933">
            <w:pPr>
              <w:jc w:val="right"/>
              <w:rPr>
                <w:rFonts w:eastAsia="Times New Roman"/>
                <w:sz w:val="20"/>
                <w:szCs w:val="20"/>
              </w:rPr>
            </w:pPr>
            <w:r>
              <w:rPr>
                <w:rFonts w:eastAsia="Times New Roman"/>
                <w:sz w:val="20"/>
                <w:szCs w:val="20"/>
              </w:rPr>
              <w:t>114,816</w:t>
            </w:r>
          </w:p>
        </w:tc>
        <w:tc>
          <w:tcPr>
            <w:tcW w:w="50" w:type="pct"/>
            <w:shd w:val="clear" w:color="auto" w:fill="FFFFFF"/>
            <w:vAlign w:val="center"/>
            <w:hideMark/>
          </w:tcPr>
          <w:p w14:paraId="4FD9D54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72D7007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D39DDF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0058653" w14:textId="77777777" w:rsidR="00000000" w:rsidRDefault="00EB4933">
            <w:pPr>
              <w:jc w:val="right"/>
              <w:rPr>
                <w:rFonts w:eastAsia="Times New Roman"/>
                <w:sz w:val="20"/>
                <w:szCs w:val="20"/>
              </w:rPr>
            </w:pPr>
            <w:r>
              <w:rPr>
                <w:rFonts w:eastAsia="Times New Roman"/>
                <w:sz w:val="20"/>
                <w:szCs w:val="20"/>
              </w:rPr>
              <w:t>98,115</w:t>
            </w:r>
          </w:p>
        </w:tc>
        <w:tc>
          <w:tcPr>
            <w:tcW w:w="50" w:type="pct"/>
            <w:shd w:val="clear" w:color="auto" w:fill="FFFFFF"/>
            <w:vAlign w:val="center"/>
            <w:hideMark/>
          </w:tcPr>
          <w:p w14:paraId="1EFF1B6F" w14:textId="77777777" w:rsidR="00000000" w:rsidRDefault="00EB4933">
            <w:pPr>
              <w:pStyle w:val="NormalWeb"/>
              <w:spacing w:before="0" w:beforeAutospacing="0" w:after="0" w:afterAutospacing="0"/>
              <w:rPr>
                <w:sz w:val="20"/>
                <w:szCs w:val="20"/>
              </w:rPr>
            </w:pPr>
            <w:r>
              <w:rPr>
                <w:sz w:val="20"/>
                <w:szCs w:val="20"/>
              </w:rPr>
              <w:t> </w:t>
            </w:r>
          </w:p>
        </w:tc>
      </w:tr>
      <w:tr w:rsidR="00000000" w14:paraId="50AD917B" w14:textId="77777777">
        <w:trPr>
          <w:divId w:val="98525094"/>
          <w:trHeight w:val="225"/>
          <w:tblCellSpacing w:w="15" w:type="dxa"/>
        </w:trPr>
        <w:tc>
          <w:tcPr>
            <w:tcW w:w="0" w:type="auto"/>
            <w:shd w:val="clear" w:color="auto" w:fill="CCEEFF"/>
            <w:hideMark/>
          </w:tcPr>
          <w:p w14:paraId="25B76F97" w14:textId="77777777" w:rsidR="00000000" w:rsidRDefault="00EB4933">
            <w:pPr>
              <w:pStyle w:val="NormalWeb"/>
              <w:spacing w:before="0" w:beforeAutospacing="0" w:after="0" w:afterAutospacing="0"/>
              <w:rPr>
                <w:sz w:val="20"/>
                <w:szCs w:val="20"/>
              </w:rPr>
            </w:pPr>
            <w:r>
              <w:rPr>
                <w:sz w:val="20"/>
                <w:szCs w:val="20"/>
              </w:rPr>
              <w:t>Credit impairment losses</w:t>
            </w:r>
          </w:p>
        </w:tc>
        <w:tc>
          <w:tcPr>
            <w:tcW w:w="50" w:type="pct"/>
            <w:shd w:val="clear" w:color="auto" w:fill="CCEEFF"/>
            <w:vAlign w:val="center"/>
            <w:hideMark/>
          </w:tcPr>
          <w:p w14:paraId="0940B37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231E49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1F1BB1E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0484A91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vAlign w:val="center"/>
            <w:hideMark/>
          </w:tcPr>
          <w:p w14:paraId="705867D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A95A18B" w14:textId="77777777" w:rsidR="00000000" w:rsidRDefault="00EB4933">
            <w:pPr>
              <w:jc w:val="right"/>
              <w:rPr>
                <w:rFonts w:eastAsia="Times New Roman"/>
                <w:sz w:val="20"/>
                <w:szCs w:val="20"/>
              </w:rPr>
            </w:pPr>
            <w:r>
              <w:rPr>
                <w:rFonts w:eastAsia="Times New Roman"/>
                <w:sz w:val="20"/>
                <w:szCs w:val="20"/>
              </w:rPr>
              <w:t>(3,580</w:t>
            </w:r>
          </w:p>
        </w:tc>
        <w:tc>
          <w:tcPr>
            <w:tcW w:w="50" w:type="pct"/>
            <w:shd w:val="clear" w:color="auto" w:fill="CCEEFF"/>
            <w:tcMar>
              <w:top w:w="0" w:type="dxa"/>
              <w:left w:w="0" w:type="dxa"/>
              <w:bottom w:w="15" w:type="dxa"/>
              <w:right w:w="0" w:type="dxa"/>
            </w:tcMar>
            <w:vAlign w:val="bottom"/>
            <w:hideMark/>
          </w:tcPr>
          <w:p w14:paraId="29630892"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vAlign w:val="center"/>
            <w:hideMark/>
          </w:tcPr>
          <w:p w14:paraId="574C8FE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vAlign w:val="center"/>
            <w:hideMark/>
          </w:tcPr>
          <w:p w14:paraId="2F3A242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488E632" w14:textId="77777777" w:rsidR="00000000" w:rsidRDefault="00EB4933">
            <w:pPr>
              <w:jc w:val="right"/>
              <w:rPr>
                <w:rFonts w:eastAsia="Times New Roman"/>
                <w:sz w:val="20"/>
                <w:szCs w:val="20"/>
              </w:rPr>
            </w:pPr>
            <w:r>
              <w:rPr>
                <w:rFonts w:eastAsia="Times New Roman"/>
                <w:sz w:val="20"/>
                <w:szCs w:val="20"/>
              </w:rPr>
              <w:t>(66,904</w:t>
            </w:r>
          </w:p>
        </w:tc>
        <w:tc>
          <w:tcPr>
            <w:tcW w:w="50" w:type="pct"/>
            <w:shd w:val="clear" w:color="auto" w:fill="CCEEFF"/>
            <w:tcMar>
              <w:top w:w="0" w:type="dxa"/>
              <w:left w:w="0" w:type="dxa"/>
              <w:bottom w:w="15" w:type="dxa"/>
              <w:right w:w="0" w:type="dxa"/>
            </w:tcMar>
            <w:vAlign w:val="bottom"/>
            <w:hideMark/>
          </w:tcPr>
          <w:p w14:paraId="72F3EEB1"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vAlign w:val="center"/>
            <w:hideMark/>
          </w:tcPr>
          <w:p w14:paraId="1318F70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vAlign w:val="center"/>
            <w:hideMark/>
          </w:tcPr>
          <w:p w14:paraId="3FC9DC2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E0E98E2" w14:textId="77777777" w:rsidR="00000000" w:rsidRDefault="00EB4933">
            <w:pPr>
              <w:jc w:val="right"/>
              <w:rPr>
                <w:rFonts w:eastAsia="Times New Roman"/>
                <w:sz w:val="20"/>
                <w:szCs w:val="20"/>
              </w:rPr>
            </w:pPr>
            <w:r>
              <w:rPr>
                <w:rFonts w:eastAsia="Times New Roman"/>
                <w:sz w:val="20"/>
                <w:szCs w:val="20"/>
              </w:rPr>
              <w:t>(24,694</w:t>
            </w:r>
          </w:p>
        </w:tc>
        <w:tc>
          <w:tcPr>
            <w:tcW w:w="50" w:type="pct"/>
            <w:shd w:val="clear" w:color="auto" w:fill="CCEEFF"/>
            <w:tcMar>
              <w:top w:w="0" w:type="dxa"/>
              <w:left w:w="0" w:type="dxa"/>
              <w:bottom w:w="15" w:type="dxa"/>
              <w:right w:w="0" w:type="dxa"/>
            </w:tcMar>
            <w:vAlign w:val="bottom"/>
            <w:hideMark/>
          </w:tcPr>
          <w:p w14:paraId="510BE719" w14:textId="77777777" w:rsidR="00000000" w:rsidRDefault="00EB4933">
            <w:pPr>
              <w:rPr>
                <w:rFonts w:eastAsia="Times New Roman"/>
                <w:sz w:val="20"/>
                <w:szCs w:val="20"/>
              </w:rPr>
            </w:pPr>
            <w:r>
              <w:rPr>
                <w:rFonts w:eastAsia="Times New Roman"/>
                <w:sz w:val="20"/>
                <w:szCs w:val="20"/>
              </w:rPr>
              <w:t>)</w:t>
            </w:r>
          </w:p>
        </w:tc>
      </w:tr>
      <w:tr w:rsidR="00000000" w14:paraId="1219A199" w14:textId="77777777">
        <w:trPr>
          <w:divId w:val="98525094"/>
          <w:trHeight w:val="225"/>
          <w:tblCellSpacing w:w="15" w:type="dxa"/>
        </w:trPr>
        <w:tc>
          <w:tcPr>
            <w:tcW w:w="0" w:type="auto"/>
            <w:shd w:val="clear" w:color="auto" w:fill="FFFFFF"/>
            <w:hideMark/>
          </w:tcPr>
          <w:p w14:paraId="2DB30F00" w14:textId="77777777" w:rsidR="00000000" w:rsidRDefault="00EB4933">
            <w:pPr>
              <w:pStyle w:val="NormalWeb"/>
              <w:spacing w:before="0" w:beforeAutospacing="0" w:after="0" w:afterAutospacing="0"/>
              <w:rPr>
                <w:sz w:val="20"/>
                <w:szCs w:val="20"/>
              </w:rPr>
            </w:pPr>
            <w:r>
              <w:rPr>
                <w:rStyle w:val="Strong"/>
                <w:sz w:val="20"/>
                <w:szCs w:val="20"/>
              </w:rPr>
              <w:t>Net interest income after credit impairment losses</w:t>
            </w:r>
          </w:p>
        </w:tc>
        <w:tc>
          <w:tcPr>
            <w:tcW w:w="50" w:type="pct"/>
            <w:shd w:val="clear" w:color="auto" w:fill="FFFFFF"/>
            <w:vAlign w:val="center"/>
            <w:hideMark/>
          </w:tcPr>
          <w:p w14:paraId="49533B6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919E3E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11493C2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4195B48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273C864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7F716D9" w14:textId="77777777" w:rsidR="00000000" w:rsidRDefault="00EB4933">
            <w:pPr>
              <w:jc w:val="right"/>
              <w:rPr>
                <w:rFonts w:eastAsia="Times New Roman"/>
                <w:sz w:val="20"/>
                <w:szCs w:val="20"/>
              </w:rPr>
            </w:pPr>
            <w:r>
              <w:rPr>
                <w:rFonts w:eastAsia="Times New Roman"/>
                <w:sz w:val="20"/>
                <w:szCs w:val="20"/>
              </w:rPr>
              <w:t>81,594</w:t>
            </w:r>
          </w:p>
        </w:tc>
        <w:tc>
          <w:tcPr>
            <w:tcW w:w="50" w:type="pct"/>
            <w:shd w:val="clear" w:color="auto" w:fill="FFFFFF"/>
            <w:vAlign w:val="center"/>
            <w:hideMark/>
          </w:tcPr>
          <w:p w14:paraId="3D34554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1BB770F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677558B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BDA66E3" w14:textId="77777777" w:rsidR="00000000" w:rsidRDefault="00EB4933">
            <w:pPr>
              <w:jc w:val="right"/>
              <w:rPr>
                <w:rFonts w:eastAsia="Times New Roman"/>
                <w:sz w:val="20"/>
                <w:szCs w:val="20"/>
              </w:rPr>
            </w:pPr>
            <w:r>
              <w:rPr>
                <w:rFonts w:eastAsia="Times New Roman"/>
                <w:sz w:val="20"/>
                <w:szCs w:val="20"/>
              </w:rPr>
              <w:t>47,912</w:t>
            </w:r>
          </w:p>
        </w:tc>
        <w:tc>
          <w:tcPr>
            <w:tcW w:w="50" w:type="pct"/>
            <w:shd w:val="clear" w:color="auto" w:fill="FFFFFF"/>
            <w:vAlign w:val="center"/>
            <w:hideMark/>
          </w:tcPr>
          <w:p w14:paraId="24A9E19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2440308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4D9185C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2C4FC20" w14:textId="77777777" w:rsidR="00000000" w:rsidRDefault="00EB4933">
            <w:pPr>
              <w:jc w:val="right"/>
              <w:rPr>
                <w:rFonts w:eastAsia="Times New Roman"/>
                <w:sz w:val="20"/>
                <w:szCs w:val="20"/>
              </w:rPr>
            </w:pPr>
            <w:r>
              <w:rPr>
                <w:rFonts w:eastAsia="Times New Roman"/>
                <w:sz w:val="20"/>
                <w:szCs w:val="20"/>
              </w:rPr>
              <w:t>73,421</w:t>
            </w:r>
          </w:p>
        </w:tc>
        <w:tc>
          <w:tcPr>
            <w:tcW w:w="50" w:type="pct"/>
            <w:shd w:val="clear" w:color="auto" w:fill="FFFFFF"/>
            <w:vAlign w:val="center"/>
            <w:hideMark/>
          </w:tcPr>
          <w:p w14:paraId="3A094E9D" w14:textId="77777777" w:rsidR="00000000" w:rsidRDefault="00EB4933">
            <w:pPr>
              <w:pStyle w:val="NormalWeb"/>
              <w:spacing w:before="0" w:beforeAutospacing="0" w:after="0" w:afterAutospacing="0"/>
              <w:rPr>
                <w:sz w:val="20"/>
                <w:szCs w:val="20"/>
              </w:rPr>
            </w:pPr>
            <w:r>
              <w:rPr>
                <w:sz w:val="20"/>
                <w:szCs w:val="20"/>
              </w:rPr>
              <w:t> </w:t>
            </w:r>
          </w:p>
        </w:tc>
      </w:tr>
      <w:tr w:rsidR="00000000" w14:paraId="773C2A93" w14:textId="77777777">
        <w:trPr>
          <w:divId w:val="98525094"/>
          <w:trHeight w:val="225"/>
          <w:tblCellSpacing w:w="15" w:type="dxa"/>
        </w:trPr>
        <w:tc>
          <w:tcPr>
            <w:tcW w:w="0" w:type="auto"/>
            <w:shd w:val="clear" w:color="auto" w:fill="CCEEFF"/>
            <w:vAlign w:val="center"/>
            <w:hideMark/>
          </w:tcPr>
          <w:p w14:paraId="7C5925C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030B09C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983D47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317AAEA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A8B09D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30580C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5294B6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6C3F49D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301CF7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0781185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E8EC09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57ECFD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CF888D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5A6146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F6A19D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046D7C09" w14:textId="77777777" w:rsidR="00000000" w:rsidRDefault="00EB4933">
            <w:pPr>
              <w:pStyle w:val="NormalWeb"/>
              <w:spacing w:before="0" w:beforeAutospacing="0" w:after="0" w:afterAutospacing="0"/>
              <w:rPr>
                <w:sz w:val="20"/>
                <w:szCs w:val="20"/>
              </w:rPr>
            </w:pPr>
            <w:r>
              <w:rPr>
                <w:sz w:val="20"/>
                <w:szCs w:val="20"/>
              </w:rPr>
              <w:t> </w:t>
            </w:r>
          </w:p>
        </w:tc>
      </w:tr>
      <w:tr w:rsidR="00000000" w14:paraId="62265828" w14:textId="77777777">
        <w:trPr>
          <w:divId w:val="98525094"/>
          <w:trHeight w:val="225"/>
          <w:tblCellSpacing w:w="15" w:type="dxa"/>
        </w:trPr>
        <w:tc>
          <w:tcPr>
            <w:tcW w:w="0" w:type="auto"/>
            <w:shd w:val="clear" w:color="auto" w:fill="FFFFFF"/>
            <w:hideMark/>
          </w:tcPr>
          <w:p w14:paraId="5A3A4A47" w14:textId="77777777" w:rsidR="00000000" w:rsidRDefault="00EB4933">
            <w:pPr>
              <w:pStyle w:val="NormalWeb"/>
              <w:spacing w:before="0" w:beforeAutospacing="0" w:after="0" w:afterAutospacing="0"/>
              <w:rPr>
                <w:sz w:val="20"/>
                <w:szCs w:val="20"/>
              </w:rPr>
            </w:pPr>
            <w:r>
              <w:rPr>
                <w:sz w:val="20"/>
                <w:szCs w:val="20"/>
              </w:rPr>
              <w:t>Non-interest and other income</w:t>
            </w:r>
          </w:p>
        </w:tc>
        <w:tc>
          <w:tcPr>
            <w:tcW w:w="50" w:type="pct"/>
            <w:shd w:val="clear" w:color="auto" w:fill="FFFFFF"/>
            <w:vAlign w:val="center"/>
            <w:hideMark/>
          </w:tcPr>
          <w:p w14:paraId="09406FD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80E7F9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2F41957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020F559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215247A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C93E9C6" w14:textId="77777777" w:rsidR="00000000" w:rsidRDefault="00EB4933">
            <w:pPr>
              <w:jc w:val="right"/>
              <w:rPr>
                <w:rFonts w:eastAsia="Times New Roman"/>
                <w:sz w:val="20"/>
                <w:szCs w:val="20"/>
              </w:rPr>
            </w:pPr>
            <w:r>
              <w:rPr>
                <w:rFonts w:eastAsia="Times New Roman"/>
                <w:sz w:val="20"/>
                <w:szCs w:val="20"/>
              </w:rPr>
              <w:t>815</w:t>
            </w:r>
          </w:p>
        </w:tc>
        <w:tc>
          <w:tcPr>
            <w:tcW w:w="50" w:type="pct"/>
            <w:shd w:val="clear" w:color="auto" w:fill="FFFFFF"/>
            <w:vAlign w:val="center"/>
            <w:hideMark/>
          </w:tcPr>
          <w:p w14:paraId="017C377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1567636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A5C7A1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8C3F738" w14:textId="77777777" w:rsidR="00000000" w:rsidRDefault="00EB4933">
            <w:pPr>
              <w:jc w:val="right"/>
              <w:rPr>
                <w:rFonts w:eastAsia="Times New Roman"/>
                <w:sz w:val="20"/>
                <w:szCs w:val="20"/>
              </w:rPr>
            </w:pPr>
            <w:r>
              <w:rPr>
                <w:rFonts w:eastAsia="Times New Roman"/>
                <w:sz w:val="20"/>
                <w:szCs w:val="20"/>
              </w:rPr>
              <w:t>438</w:t>
            </w:r>
          </w:p>
        </w:tc>
        <w:tc>
          <w:tcPr>
            <w:tcW w:w="50" w:type="pct"/>
            <w:shd w:val="clear" w:color="auto" w:fill="FFFFFF"/>
            <w:vAlign w:val="center"/>
            <w:hideMark/>
          </w:tcPr>
          <w:p w14:paraId="60EFE61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6E5A52B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1A246BA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242EDF7" w14:textId="77777777" w:rsidR="00000000" w:rsidRDefault="00EB4933">
            <w:pPr>
              <w:jc w:val="right"/>
              <w:rPr>
                <w:rFonts w:eastAsia="Times New Roman"/>
                <w:sz w:val="20"/>
                <w:szCs w:val="20"/>
              </w:rPr>
            </w:pPr>
            <w:r>
              <w:rPr>
                <w:rFonts w:eastAsia="Times New Roman"/>
                <w:sz w:val="20"/>
                <w:szCs w:val="20"/>
              </w:rPr>
              <w:t>173</w:t>
            </w:r>
          </w:p>
        </w:tc>
        <w:tc>
          <w:tcPr>
            <w:tcW w:w="50" w:type="pct"/>
            <w:shd w:val="clear" w:color="auto" w:fill="FFFFFF"/>
            <w:vAlign w:val="center"/>
            <w:hideMark/>
          </w:tcPr>
          <w:p w14:paraId="5CAFDFB7" w14:textId="77777777" w:rsidR="00000000" w:rsidRDefault="00EB4933">
            <w:pPr>
              <w:pStyle w:val="NormalWeb"/>
              <w:spacing w:before="0" w:beforeAutospacing="0" w:after="0" w:afterAutospacing="0"/>
              <w:rPr>
                <w:sz w:val="20"/>
                <w:szCs w:val="20"/>
              </w:rPr>
            </w:pPr>
            <w:r>
              <w:rPr>
                <w:sz w:val="20"/>
                <w:szCs w:val="20"/>
              </w:rPr>
              <w:t> </w:t>
            </w:r>
          </w:p>
        </w:tc>
      </w:tr>
      <w:tr w:rsidR="00000000" w14:paraId="1EACCA95" w14:textId="77777777">
        <w:trPr>
          <w:divId w:val="98525094"/>
          <w:trHeight w:val="225"/>
          <w:tblCellSpacing w:w="15" w:type="dxa"/>
        </w:trPr>
        <w:tc>
          <w:tcPr>
            <w:tcW w:w="0" w:type="auto"/>
            <w:shd w:val="clear" w:color="auto" w:fill="CCEEFF"/>
            <w:vAlign w:val="center"/>
            <w:hideMark/>
          </w:tcPr>
          <w:p w14:paraId="7410DDD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61C06E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C41BEE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146A9B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EE8E77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8044C8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7F85C1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DF0B22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5F00C1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050C9A7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F8F4F8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7E9D42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707C3F7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699BC8F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87A8F6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30DCB8DD" w14:textId="77777777" w:rsidR="00000000" w:rsidRDefault="00EB4933">
            <w:pPr>
              <w:pStyle w:val="NormalWeb"/>
              <w:spacing w:before="0" w:beforeAutospacing="0" w:after="0" w:afterAutospacing="0"/>
              <w:rPr>
                <w:sz w:val="20"/>
                <w:szCs w:val="20"/>
              </w:rPr>
            </w:pPr>
            <w:r>
              <w:rPr>
                <w:sz w:val="20"/>
                <w:szCs w:val="20"/>
              </w:rPr>
              <w:t> </w:t>
            </w:r>
          </w:p>
        </w:tc>
      </w:tr>
      <w:tr w:rsidR="00000000" w14:paraId="245EA84F" w14:textId="77777777">
        <w:trPr>
          <w:divId w:val="98525094"/>
          <w:trHeight w:val="225"/>
          <w:tblCellSpacing w:w="15" w:type="dxa"/>
        </w:trPr>
        <w:tc>
          <w:tcPr>
            <w:tcW w:w="0" w:type="auto"/>
            <w:shd w:val="clear" w:color="auto" w:fill="FFFFFF"/>
            <w:hideMark/>
          </w:tcPr>
          <w:p w14:paraId="65E476DD" w14:textId="77777777" w:rsidR="00000000" w:rsidRDefault="00EB4933">
            <w:pPr>
              <w:pStyle w:val="NormalWeb"/>
              <w:spacing w:before="0" w:beforeAutospacing="0" w:after="0" w:afterAutospacing="0"/>
              <w:rPr>
                <w:sz w:val="20"/>
                <w:szCs w:val="20"/>
              </w:rPr>
            </w:pPr>
            <w:r>
              <w:rPr>
                <w:rStyle w:val="Strong"/>
                <w:sz w:val="20"/>
                <w:szCs w:val="20"/>
              </w:rPr>
              <w:t>Operating costs and expenses</w:t>
            </w:r>
          </w:p>
        </w:tc>
        <w:tc>
          <w:tcPr>
            <w:tcW w:w="50" w:type="pct"/>
            <w:shd w:val="clear" w:color="auto" w:fill="FFFFFF"/>
            <w:vAlign w:val="center"/>
            <w:hideMark/>
          </w:tcPr>
          <w:p w14:paraId="08B0FA1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8771D3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5CA8D78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5460CB8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206DCFF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FCF23B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89A3B8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0FE9D92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193B4D8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319468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4BB260E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153C9E4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5190657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B90E94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71535131" w14:textId="77777777" w:rsidR="00000000" w:rsidRDefault="00EB4933">
            <w:pPr>
              <w:pStyle w:val="NormalWeb"/>
              <w:spacing w:before="0" w:beforeAutospacing="0" w:after="0" w:afterAutospacing="0"/>
              <w:rPr>
                <w:sz w:val="20"/>
                <w:szCs w:val="20"/>
              </w:rPr>
            </w:pPr>
            <w:r>
              <w:rPr>
                <w:sz w:val="20"/>
                <w:szCs w:val="20"/>
              </w:rPr>
              <w:t> </w:t>
            </w:r>
          </w:p>
        </w:tc>
      </w:tr>
      <w:tr w:rsidR="00000000" w14:paraId="62F49923" w14:textId="77777777">
        <w:trPr>
          <w:divId w:val="98525094"/>
          <w:trHeight w:val="225"/>
          <w:tblCellSpacing w:w="15" w:type="dxa"/>
        </w:trPr>
        <w:tc>
          <w:tcPr>
            <w:tcW w:w="0" w:type="auto"/>
            <w:shd w:val="clear" w:color="auto" w:fill="CCEEFF"/>
            <w:hideMark/>
          </w:tcPr>
          <w:p w14:paraId="5E6B9A91" w14:textId="77777777" w:rsidR="00000000" w:rsidRDefault="00EB4933">
            <w:pPr>
              <w:pStyle w:val="NormalWeb"/>
              <w:spacing w:before="0" w:beforeAutospacing="0" w:after="0" w:afterAutospacing="0"/>
              <w:rPr>
                <w:sz w:val="20"/>
                <w:szCs w:val="20"/>
              </w:rPr>
            </w:pPr>
            <w:r>
              <w:rPr>
                <w:sz w:val="20"/>
                <w:szCs w:val="20"/>
              </w:rPr>
              <w:t>Sales and marketing</w:t>
            </w:r>
          </w:p>
        </w:tc>
        <w:tc>
          <w:tcPr>
            <w:tcW w:w="50" w:type="pct"/>
            <w:shd w:val="clear" w:color="auto" w:fill="CCEEFF"/>
            <w:vAlign w:val="center"/>
            <w:hideMark/>
          </w:tcPr>
          <w:p w14:paraId="61158B8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296DEF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0F4553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7874F9C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3A9E9A3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18DF016" w14:textId="77777777" w:rsidR="00000000" w:rsidRDefault="00EB4933">
            <w:pPr>
              <w:jc w:val="right"/>
              <w:rPr>
                <w:rFonts w:eastAsia="Times New Roman"/>
                <w:sz w:val="20"/>
                <w:szCs w:val="20"/>
              </w:rPr>
            </w:pPr>
            <w:r>
              <w:rPr>
                <w:rFonts w:eastAsia="Times New Roman"/>
                <w:sz w:val="20"/>
                <w:szCs w:val="20"/>
              </w:rPr>
              <w:t>(3,138</w:t>
            </w:r>
          </w:p>
        </w:tc>
        <w:tc>
          <w:tcPr>
            <w:tcW w:w="50" w:type="pct"/>
            <w:shd w:val="clear" w:color="auto" w:fill="CCEEFF"/>
            <w:vAlign w:val="bottom"/>
            <w:hideMark/>
          </w:tcPr>
          <w:p w14:paraId="6D407539"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vAlign w:val="center"/>
            <w:hideMark/>
          </w:tcPr>
          <w:p w14:paraId="5CDE080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CE6421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883495F" w14:textId="77777777" w:rsidR="00000000" w:rsidRDefault="00EB4933">
            <w:pPr>
              <w:jc w:val="right"/>
              <w:rPr>
                <w:rFonts w:eastAsia="Times New Roman"/>
                <w:sz w:val="20"/>
                <w:szCs w:val="20"/>
              </w:rPr>
            </w:pPr>
            <w:r>
              <w:rPr>
                <w:rFonts w:eastAsia="Times New Roman"/>
                <w:sz w:val="20"/>
                <w:szCs w:val="20"/>
              </w:rPr>
              <w:t>(1,794</w:t>
            </w:r>
          </w:p>
        </w:tc>
        <w:tc>
          <w:tcPr>
            <w:tcW w:w="50" w:type="pct"/>
            <w:shd w:val="clear" w:color="auto" w:fill="CCEEFF"/>
            <w:vAlign w:val="bottom"/>
            <w:hideMark/>
          </w:tcPr>
          <w:p w14:paraId="1FA29E80"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vAlign w:val="center"/>
            <w:hideMark/>
          </w:tcPr>
          <w:p w14:paraId="3CA757F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7AE557F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B6BBCE0" w14:textId="77777777" w:rsidR="00000000" w:rsidRDefault="00EB4933">
            <w:pPr>
              <w:jc w:val="right"/>
              <w:rPr>
                <w:rFonts w:eastAsia="Times New Roman"/>
                <w:sz w:val="20"/>
                <w:szCs w:val="20"/>
              </w:rPr>
            </w:pPr>
            <w:r>
              <w:rPr>
                <w:rFonts w:eastAsia="Times New Roman"/>
                <w:sz w:val="20"/>
                <w:szCs w:val="20"/>
              </w:rPr>
              <w:t>(1,698</w:t>
            </w:r>
          </w:p>
        </w:tc>
        <w:tc>
          <w:tcPr>
            <w:tcW w:w="50" w:type="pct"/>
            <w:shd w:val="clear" w:color="auto" w:fill="CCEEFF"/>
            <w:vAlign w:val="bottom"/>
            <w:hideMark/>
          </w:tcPr>
          <w:p w14:paraId="7F39AED2" w14:textId="77777777" w:rsidR="00000000" w:rsidRDefault="00EB4933">
            <w:pPr>
              <w:rPr>
                <w:rFonts w:eastAsia="Times New Roman"/>
                <w:sz w:val="20"/>
                <w:szCs w:val="20"/>
              </w:rPr>
            </w:pPr>
            <w:r>
              <w:rPr>
                <w:rFonts w:eastAsia="Times New Roman"/>
                <w:sz w:val="20"/>
                <w:szCs w:val="20"/>
              </w:rPr>
              <w:t>)</w:t>
            </w:r>
          </w:p>
        </w:tc>
      </w:tr>
      <w:tr w:rsidR="00000000" w14:paraId="684DCFF6" w14:textId="77777777">
        <w:trPr>
          <w:divId w:val="98525094"/>
          <w:trHeight w:val="225"/>
          <w:tblCellSpacing w:w="15" w:type="dxa"/>
        </w:trPr>
        <w:tc>
          <w:tcPr>
            <w:tcW w:w="0" w:type="auto"/>
            <w:shd w:val="clear" w:color="auto" w:fill="FFFFFF"/>
            <w:hideMark/>
          </w:tcPr>
          <w:p w14:paraId="5CA3AE74" w14:textId="77777777" w:rsidR="00000000" w:rsidRDefault="00EB4933">
            <w:pPr>
              <w:pStyle w:val="NormalWeb"/>
              <w:spacing w:before="0" w:beforeAutospacing="0" w:after="0" w:afterAutospacing="0"/>
              <w:rPr>
                <w:sz w:val="20"/>
                <w:szCs w:val="20"/>
              </w:rPr>
            </w:pPr>
            <w:r>
              <w:rPr>
                <w:sz w:val="20"/>
                <w:szCs w:val="20"/>
              </w:rPr>
              <w:t xml:space="preserve">General and administrative </w:t>
            </w:r>
          </w:p>
        </w:tc>
        <w:tc>
          <w:tcPr>
            <w:tcW w:w="50" w:type="pct"/>
            <w:shd w:val="clear" w:color="auto" w:fill="FFFFFF"/>
            <w:vAlign w:val="center"/>
            <w:hideMark/>
          </w:tcPr>
          <w:p w14:paraId="0E6870B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7B89E0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609451C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5133A0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vAlign w:val="center"/>
            <w:hideMark/>
          </w:tcPr>
          <w:p w14:paraId="3DA70C5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C915CF7" w14:textId="77777777" w:rsidR="00000000" w:rsidRDefault="00EB4933">
            <w:pPr>
              <w:jc w:val="right"/>
              <w:rPr>
                <w:rFonts w:eastAsia="Times New Roman"/>
                <w:sz w:val="20"/>
                <w:szCs w:val="20"/>
              </w:rPr>
            </w:pPr>
            <w:r>
              <w:rPr>
                <w:rFonts w:eastAsia="Times New Roman"/>
                <w:sz w:val="20"/>
                <w:szCs w:val="20"/>
              </w:rPr>
              <w:t>(34,895</w:t>
            </w:r>
          </w:p>
        </w:tc>
        <w:tc>
          <w:tcPr>
            <w:tcW w:w="50" w:type="pct"/>
            <w:shd w:val="clear" w:color="auto" w:fill="FFFFFF"/>
            <w:tcMar>
              <w:top w:w="0" w:type="dxa"/>
              <w:left w:w="0" w:type="dxa"/>
              <w:bottom w:w="15" w:type="dxa"/>
              <w:right w:w="0" w:type="dxa"/>
            </w:tcMar>
            <w:vAlign w:val="bottom"/>
            <w:hideMark/>
          </w:tcPr>
          <w:p w14:paraId="7FA85721"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vAlign w:val="center"/>
            <w:hideMark/>
          </w:tcPr>
          <w:p w14:paraId="7823804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vAlign w:val="center"/>
            <w:hideMark/>
          </w:tcPr>
          <w:p w14:paraId="04FDF8C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E3E501A" w14:textId="77777777" w:rsidR="00000000" w:rsidRDefault="00EB4933">
            <w:pPr>
              <w:jc w:val="right"/>
              <w:rPr>
                <w:rFonts w:eastAsia="Times New Roman"/>
                <w:sz w:val="20"/>
                <w:szCs w:val="20"/>
              </w:rPr>
            </w:pPr>
            <w:r>
              <w:rPr>
                <w:rFonts w:eastAsia="Times New Roman"/>
                <w:sz w:val="20"/>
                <w:szCs w:val="20"/>
              </w:rPr>
              <w:t>(20,368</w:t>
            </w:r>
          </w:p>
        </w:tc>
        <w:tc>
          <w:tcPr>
            <w:tcW w:w="50" w:type="pct"/>
            <w:shd w:val="clear" w:color="auto" w:fill="FFFFFF"/>
            <w:tcMar>
              <w:top w:w="0" w:type="dxa"/>
              <w:left w:w="0" w:type="dxa"/>
              <w:bottom w:w="15" w:type="dxa"/>
              <w:right w:w="0" w:type="dxa"/>
            </w:tcMar>
            <w:vAlign w:val="bottom"/>
            <w:hideMark/>
          </w:tcPr>
          <w:p w14:paraId="5793AC71"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vAlign w:val="center"/>
            <w:hideMark/>
          </w:tcPr>
          <w:p w14:paraId="574B515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vAlign w:val="center"/>
            <w:hideMark/>
          </w:tcPr>
          <w:p w14:paraId="7F7BDB0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D8EA1BD" w14:textId="77777777" w:rsidR="00000000" w:rsidRDefault="00EB4933">
            <w:pPr>
              <w:jc w:val="right"/>
              <w:rPr>
                <w:rFonts w:eastAsia="Times New Roman"/>
                <w:sz w:val="20"/>
                <w:szCs w:val="20"/>
              </w:rPr>
            </w:pPr>
            <w:r>
              <w:rPr>
                <w:rFonts w:eastAsia="Times New Roman"/>
                <w:sz w:val="20"/>
                <w:szCs w:val="20"/>
              </w:rPr>
              <w:t>(13,280</w:t>
            </w:r>
          </w:p>
        </w:tc>
        <w:tc>
          <w:tcPr>
            <w:tcW w:w="50" w:type="pct"/>
            <w:shd w:val="clear" w:color="auto" w:fill="FFFFFF"/>
            <w:tcMar>
              <w:top w:w="0" w:type="dxa"/>
              <w:left w:w="0" w:type="dxa"/>
              <w:bottom w:w="15" w:type="dxa"/>
              <w:right w:w="0" w:type="dxa"/>
            </w:tcMar>
            <w:vAlign w:val="bottom"/>
            <w:hideMark/>
          </w:tcPr>
          <w:p w14:paraId="73DFB5C9" w14:textId="77777777" w:rsidR="00000000" w:rsidRDefault="00EB4933">
            <w:pPr>
              <w:rPr>
                <w:rFonts w:eastAsia="Times New Roman"/>
                <w:sz w:val="20"/>
                <w:szCs w:val="20"/>
              </w:rPr>
            </w:pPr>
            <w:r>
              <w:rPr>
                <w:rFonts w:eastAsia="Times New Roman"/>
                <w:sz w:val="20"/>
                <w:szCs w:val="20"/>
              </w:rPr>
              <w:t>)</w:t>
            </w:r>
          </w:p>
        </w:tc>
      </w:tr>
      <w:tr w:rsidR="00000000" w14:paraId="366706A3" w14:textId="77777777">
        <w:trPr>
          <w:divId w:val="98525094"/>
          <w:trHeight w:val="225"/>
          <w:tblCellSpacing w:w="15" w:type="dxa"/>
        </w:trPr>
        <w:tc>
          <w:tcPr>
            <w:tcW w:w="0" w:type="auto"/>
            <w:shd w:val="clear" w:color="auto" w:fill="CCEEFF"/>
            <w:hideMark/>
          </w:tcPr>
          <w:p w14:paraId="0C2FF899" w14:textId="77777777" w:rsidR="00000000" w:rsidRDefault="00EB4933">
            <w:pPr>
              <w:pStyle w:val="NormalWeb"/>
              <w:spacing w:before="0" w:beforeAutospacing="0" w:after="0" w:afterAutospacing="0"/>
              <w:rPr>
                <w:sz w:val="20"/>
                <w:szCs w:val="20"/>
              </w:rPr>
            </w:pPr>
            <w:r>
              <w:rPr>
                <w:rStyle w:val="Strong"/>
                <w:sz w:val="20"/>
                <w:szCs w:val="20"/>
              </w:rPr>
              <w:t>Total operating costs and expenses</w:t>
            </w:r>
          </w:p>
        </w:tc>
        <w:tc>
          <w:tcPr>
            <w:tcW w:w="50" w:type="pct"/>
            <w:shd w:val="clear" w:color="auto" w:fill="CCEEFF"/>
            <w:vAlign w:val="center"/>
            <w:hideMark/>
          </w:tcPr>
          <w:p w14:paraId="2760AC1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2B6FC7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01015D9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C6F5DD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vAlign w:val="center"/>
            <w:hideMark/>
          </w:tcPr>
          <w:p w14:paraId="476EE21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3E52095" w14:textId="77777777" w:rsidR="00000000" w:rsidRDefault="00EB4933">
            <w:pPr>
              <w:jc w:val="right"/>
              <w:rPr>
                <w:rFonts w:eastAsia="Times New Roman"/>
                <w:sz w:val="20"/>
                <w:szCs w:val="20"/>
              </w:rPr>
            </w:pPr>
            <w:r>
              <w:rPr>
                <w:rFonts w:eastAsia="Times New Roman"/>
                <w:sz w:val="20"/>
                <w:szCs w:val="20"/>
              </w:rPr>
              <w:t>(38,033</w:t>
            </w:r>
          </w:p>
        </w:tc>
        <w:tc>
          <w:tcPr>
            <w:tcW w:w="50" w:type="pct"/>
            <w:shd w:val="clear" w:color="auto" w:fill="CCEEFF"/>
            <w:tcMar>
              <w:top w:w="0" w:type="dxa"/>
              <w:left w:w="0" w:type="dxa"/>
              <w:bottom w:w="15" w:type="dxa"/>
              <w:right w:w="0" w:type="dxa"/>
            </w:tcMar>
            <w:vAlign w:val="bottom"/>
            <w:hideMark/>
          </w:tcPr>
          <w:p w14:paraId="081FAC2E"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vAlign w:val="center"/>
            <w:hideMark/>
          </w:tcPr>
          <w:p w14:paraId="421D0F1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vAlign w:val="center"/>
            <w:hideMark/>
          </w:tcPr>
          <w:p w14:paraId="6FD8CFE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BACB5FE" w14:textId="77777777" w:rsidR="00000000" w:rsidRDefault="00EB4933">
            <w:pPr>
              <w:jc w:val="right"/>
              <w:rPr>
                <w:rFonts w:eastAsia="Times New Roman"/>
                <w:sz w:val="20"/>
                <w:szCs w:val="20"/>
              </w:rPr>
            </w:pPr>
            <w:r>
              <w:rPr>
                <w:rFonts w:eastAsia="Times New Roman"/>
                <w:sz w:val="20"/>
                <w:szCs w:val="20"/>
              </w:rPr>
              <w:t>(22,162</w:t>
            </w:r>
          </w:p>
        </w:tc>
        <w:tc>
          <w:tcPr>
            <w:tcW w:w="50" w:type="pct"/>
            <w:shd w:val="clear" w:color="auto" w:fill="CCEEFF"/>
            <w:tcMar>
              <w:top w:w="0" w:type="dxa"/>
              <w:left w:w="0" w:type="dxa"/>
              <w:bottom w:w="15" w:type="dxa"/>
              <w:right w:w="0" w:type="dxa"/>
            </w:tcMar>
            <w:vAlign w:val="bottom"/>
            <w:hideMark/>
          </w:tcPr>
          <w:p w14:paraId="5BCED2D3"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vAlign w:val="center"/>
            <w:hideMark/>
          </w:tcPr>
          <w:p w14:paraId="287AC4B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vAlign w:val="center"/>
            <w:hideMark/>
          </w:tcPr>
          <w:p w14:paraId="08DA699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E10B086" w14:textId="77777777" w:rsidR="00000000" w:rsidRDefault="00EB4933">
            <w:pPr>
              <w:jc w:val="right"/>
              <w:rPr>
                <w:rFonts w:eastAsia="Times New Roman"/>
                <w:sz w:val="20"/>
                <w:szCs w:val="20"/>
              </w:rPr>
            </w:pPr>
            <w:r>
              <w:rPr>
                <w:rFonts w:eastAsia="Times New Roman"/>
                <w:sz w:val="20"/>
                <w:szCs w:val="20"/>
              </w:rPr>
              <w:t>(14,978</w:t>
            </w:r>
          </w:p>
        </w:tc>
        <w:tc>
          <w:tcPr>
            <w:tcW w:w="50" w:type="pct"/>
            <w:shd w:val="clear" w:color="auto" w:fill="CCEEFF"/>
            <w:tcMar>
              <w:top w:w="0" w:type="dxa"/>
              <w:left w:w="0" w:type="dxa"/>
              <w:bottom w:w="15" w:type="dxa"/>
              <w:right w:w="0" w:type="dxa"/>
            </w:tcMar>
            <w:vAlign w:val="bottom"/>
            <w:hideMark/>
          </w:tcPr>
          <w:p w14:paraId="2150DE25" w14:textId="77777777" w:rsidR="00000000" w:rsidRDefault="00EB4933">
            <w:pPr>
              <w:rPr>
                <w:rFonts w:eastAsia="Times New Roman"/>
                <w:sz w:val="20"/>
                <w:szCs w:val="20"/>
              </w:rPr>
            </w:pPr>
            <w:r>
              <w:rPr>
                <w:rFonts w:eastAsia="Times New Roman"/>
                <w:sz w:val="20"/>
                <w:szCs w:val="20"/>
              </w:rPr>
              <w:t>)</w:t>
            </w:r>
          </w:p>
        </w:tc>
      </w:tr>
      <w:tr w:rsidR="00000000" w14:paraId="6BD80FE4" w14:textId="77777777">
        <w:trPr>
          <w:divId w:val="98525094"/>
          <w:trHeight w:val="225"/>
          <w:tblCellSpacing w:w="15" w:type="dxa"/>
        </w:trPr>
        <w:tc>
          <w:tcPr>
            <w:tcW w:w="0" w:type="auto"/>
            <w:shd w:val="clear" w:color="auto" w:fill="FFFFFF"/>
            <w:vAlign w:val="center"/>
            <w:hideMark/>
          </w:tcPr>
          <w:p w14:paraId="297662D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DBAEB2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6DD476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20A539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5136127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226F18B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B13711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53E5F53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7FE115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28ECB4F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BE81B1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263F84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40389B1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56A3101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8ACD51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29779691" w14:textId="77777777" w:rsidR="00000000" w:rsidRDefault="00EB4933">
            <w:pPr>
              <w:pStyle w:val="NormalWeb"/>
              <w:spacing w:before="0" w:beforeAutospacing="0" w:after="0" w:afterAutospacing="0"/>
              <w:rPr>
                <w:sz w:val="20"/>
                <w:szCs w:val="20"/>
              </w:rPr>
            </w:pPr>
            <w:r>
              <w:rPr>
                <w:sz w:val="20"/>
                <w:szCs w:val="20"/>
              </w:rPr>
              <w:t> </w:t>
            </w:r>
          </w:p>
        </w:tc>
      </w:tr>
      <w:tr w:rsidR="00000000" w14:paraId="1725A4EF" w14:textId="77777777">
        <w:trPr>
          <w:divId w:val="98525094"/>
          <w:trHeight w:val="225"/>
          <w:tblCellSpacing w:w="15" w:type="dxa"/>
        </w:trPr>
        <w:tc>
          <w:tcPr>
            <w:tcW w:w="0" w:type="auto"/>
            <w:shd w:val="clear" w:color="auto" w:fill="CCEEFF"/>
            <w:hideMark/>
          </w:tcPr>
          <w:p w14:paraId="5AE68826" w14:textId="77777777" w:rsidR="00000000" w:rsidRDefault="00EB4933">
            <w:pPr>
              <w:pStyle w:val="NormalWeb"/>
              <w:spacing w:before="0" w:beforeAutospacing="0" w:after="0" w:afterAutospacing="0"/>
              <w:rPr>
                <w:sz w:val="20"/>
                <w:szCs w:val="20"/>
              </w:rPr>
            </w:pPr>
            <w:r>
              <w:rPr>
                <w:sz w:val="20"/>
                <w:szCs w:val="20"/>
              </w:rPr>
              <w:t>Profit before income taxes</w:t>
            </w:r>
          </w:p>
        </w:tc>
        <w:tc>
          <w:tcPr>
            <w:tcW w:w="50" w:type="pct"/>
            <w:shd w:val="clear" w:color="auto" w:fill="CCEEFF"/>
            <w:vAlign w:val="center"/>
            <w:hideMark/>
          </w:tcPr>
          <w:p w14:paraId="5902106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F3CA0F4" w14:textId="77777777" w:rsidR="00000000" w:rsidRDefault="00EB4933">
            <w:pPr>
              <w:pStyle w:val="NormalWeb"/>
              <w:spacing w:before="0" w:beforeAutospacing="0" w:after="0" w:afterAutospacing="0"/>
              <w:jc w:val="center"/>
              <w:rPr>
                <w:sz w:val="20"/>
                <w:szCs w:val="20"/>
              </w:rPr>
            </w:pPr>
            <w:r>
              <w:rPr>
                <w:sz w:val="20"/>
                <w:szCs w:val="20"/>
              </w:rPr>
              <w:t>10</w:t>
            </w:r>
          </w:p>
        </w:tc>
        <w:tc>
          <w:tcPr>
            <w:tcW w:w="50" w:type="pct"/>
            <w:shd w:val="clear" w:color="auto" w:fill="CCEEFF"/>
            <w:vAlign w:val="center"/>
            <w:hideMark/>
          </w:tcPr>
          <w:p w14:paraId="13F7807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190733B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456A91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BA20CD5" w14:textId="77777777" w:rsidR="00000000" w:rsidRDefault="00EB4933">
            <w:pPr>
              <w:jc w:val="right"/>
              <w:rPr>
                <w:rFonts w:eastAsia="Times New Roman"/>
                <w:sz w:val="20"/>
                <w:szCs w:val="20"/>
              </w:rPr>
            </w:pPr>
            <w:r>
              <w:rPr>
                <w:rFonts w:eastAsia="Times New Roman"/>
                <w:sz w:val="20"/>
                <w:szCs w:val="20"/>
              </w:rPr>
              <w:t>44,376</w:t>
            </w:r>
          </w:p>
        </w:tc>
        <w:tc>
          <w:tcPr>
            <w:tcW w:w="50" w:type="pct"/>
            <w:shd w:val="clear" w:color="auto" w:fill="CCEEFF"/>
            <w:vAlign w:val="center"/>
            <w:hideMark/>
          </w:tcPr>
          <w:p w14:paraId="22D31EA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184C776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88DE98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745FACE" w14:textId="77777777" w:rsidR="00000000" w:rsidRDefault="00EB4933">
            <w:pPr>
              <w:jc w:val="right"/>
              <w:rPr>
                <w:rFonts w:eastAsia="Times New Roman"/>
                <w:sz w:val="20"/>
                <w:szCs w:val="20"/>
              </w:rPr>
            </w:pPr>
            <w:r>
              <w:rPr>
                <w:rFonts w:eastAsia="Times New Roman"/>
                <w:sz w:val="20"/>
                <w:szCs w:val="20"/>
              </w:rPr>
              <w:t>26,188</w:t>
            </w:r>
          </w:p>
        </w:tc>
        <w:tc>
          <w:tcPr>
            <w:tcW w:w="50" w:type="pct"/>
            <w:shd w:val="clear" w:color="auto" w:fill="CCEEFF"/>
            <w:vAlign w:val="center"/>
            <w:hideMark/>
          </w:tcPr>
          <w:p w14:paraId="22B35AD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5B1F30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6C5417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86D379C" w14:textId="77777777" w:rsidR="00000000" w:rsidRDefault="00EB4933">
            <w:pPr>
              <w:jc w:val="right"/>
              <w:rPr>
                <w:rFonts w:eastAsia="Times New Roman"/>
                <w:sz w:val="20"/>
                <w:szCs w:val="20"/>
              </w:rPr>
            </w:pPr>
            <w:r>
              <w:rPr>
                <w:rFonts w:eastAsia="Times New Roman"/>
                <w:sz w:val="20"/>
                <w:szCs w:val="20"/>
              </w:rPr>
              <w:t>58,616</w:t>
            </w:r>
          </w:p>
        </w:tc>
        <w:tc>
          <w:tcPr>
            <w:tcW w:w="50" w:type="pct"/>
            <w:shd w:val="clear" w:color="auto" w:fill="CCEEFF"/>
            <w:vAlign w:val="center"/>
            <w:hideMark/>
          </w:tcPr>
          <w:p w14:paraId="10FB6385" w14:textId="77777777" w:rsidR="00000000" w:rsidRDefault="00EB4933">
            <w:pPr>
              <w:pStyle w:val="NormalWeb"/>
              <w:spacing w:before="0" w:beforeAutospacing="0" w:after="0" w:afterAutospacing="0"/>
              <w:rPr>
                <w:sz w:val="20"/>
                <w:szCs w:val="20"/>
              </w:rPr>
            </w:pPr>
            <w:r>
              <w:rPr>
                <w:sz w:val="20"/>
                <w:szCs w:val="20"/>
              </w:rPr>
              <w:t> </w:t>
            </w:r>
          </w:p>
        </w:tc>
      </w:tr>
      <w:tr w:rsidR="00000000" w14:paraId="700C28B4" w14:textId="77777777">
        <w:trPr>
          <w:divId w:val="98525094"/>
          <w:trHeight w:val="225"/>
          <w:tblCellSpacing w:w="15" w:type="dxa"/>
        </w:trPr>
        <w:tc>
          <w:tcPr>
            <w:tcW w:w="0" w:type="auto"/>
            <w:shd w:val="clear" w:color="auto" w:fill="FFFFFF"/>
            <w:hideMark/>
          </w:tcPr>
          <w:p w14:paraId="1A352078" w14:textId="77777777" w:rsidR="00000000" w:rsidRDefault="00EB4933">
            <w:pPr>
              <w:pStyle w:val="NormalWeb"/>
              <w:spacing w:before="0" w:beforeAutospacing="0" w:after="0" w:afterAutospacing="0"/>
              <w:rPr>
                <w:sz w:val="20"/>
                <w:szCs w:val="20"/>
              </w:rPr>
            </w:pPr>
            <w:r>
              <w:rPr>
                <w:sz w:val="20"/>
                <w:szCs w:val="20"/>
              </w:rPr>
              <w:t>Income tax expense</w:t>
            </w:r>
          </w:p>
        </w:tc>
        <w:tc>
          <w:tcPr>
            <w:tcW w:w="50" w:type="pct"/>
            <w:shd w:val="clear" w:color="auto" w:fill="FFFFFF"/>
            <w:vAlign w:val="center"/>
            <w:hideMark/>
          </w:tcPr>
          <w:p w14:paraId="032B658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2E3906A" w14:textId="77777777" w:rsidR="00000000" w:rsidRDefault="00EB4933">
            <w:pPr>
              <w:pStyle w:val="NormalWeb"/>
              <w:spacing w:before="0" w:beforeAutospacing="0" w:after="0" w:afterAutospacing="0"/>
              <w:jc w:val="center"/>
              <w:rPr>
                <w:sz w:val="20"/>
                <w:szCs w:val="20"/>
              </w:rPr>
            </w:pPr>
            <w:r>
              <w:rPr>
                <w:sz w:val="20"/>
                <w:szCs w:val="20"/>
              </w:rPr>
              <w:t>11</w:t>
            </w:r>
          </w:p>
        </w:tc>
        <w:tc>
          <w:tcPr>
            <w:tcW w:w="50" w:type="pct"/>
            <w:shd w:val="clear" w:color="auto" w:fill="FFFFFF"/>
            <w:vAlign w:val="center"/>
            <w:hideMark/>
          </w:tcPr>
          <w:p w14:paraId="5F28033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1D0FEAC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vAlign w:val="center"/>
            <w:hideMark/>
          </w:tcPr>
          <w:p w14:paraId="06AEF56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108C50A" w14:textId="77777777" w:rsidR="00000000" w:rsidRDefault="00EB4933">
            <w:pPr>
              <w:jc w:val="right"/>
              <w:rPr>
                <w:rFonts w:eastAsia="Times New Roman"/>
                <w:sz w:val="20"/>
                <w:szCs w:val="20"/>
              </w:rPr>
            </w:pPr>
            <w:r>
              <w:rPr>
                <w:rFonts w:eastAsia="Times New Roman"/>
                <w:sz w:val="20"/>
                <w:szCs w:val="20"/>
              </w:rPr>
              <w:t>(15,550</w:t>
            </w:r>
          </w:p>
        </w:tc>
        <w:tc>
          <w:tcPr>
            <w:tcW w:w="50" w:type="pct"/>
            <w:shd w:val="clear" w:color="auto" w:fill="FFFFFF"/>
            <w:tcMar>
              <w:top w:w="0" w:type="dxa"/>
              <w:left w:w="0" w:type="dxa"/>
              <w:bottom w:w="15" w:type="dxa"/>
              <w:right w:w="0" w:type="dxa"/>
            </w:tcMar>
            <w:vAlign w:val="bottom"/>
            <w:hideMark/>
          </w:tcPr>
          <w:p w14:paraId="487BBD97"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vAlign w:val="center"/>
            <w:hideMark/>
          </w:tcPr>
          <w:p w14:paraId="4E25231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vAlign w:val="center"/>
            <w:hideMark/>
          </w:tcPr>
          <w:p w14:paraId="01C041D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7AA7AB8" w14:textId="77777777" w:rsidR="00000000" w:rsidRDefault="00EB4933">
            <w:pPr>
              <w:jc w:val="right"/>
              <w:rPr>
                <w:rFonts w:eastAsia="Times New Roman"/>
                <w:sz w:val="20"/>
                <w:szCs w:val="20"/>
              </w:rPr>
            </w:pPr>
            <w:r>
              <w:rPr>
                <w:rFonts w:eastAsia="Times New Roman"/>
                <w:sz w:val="20"/>
                <w:szCs w:val="20"/>
              </w:rPr>
              <w:t>(18,033</w:t>
            </w:r>
          </w:p>
        </w:tc>
        <w:tc>
          <w:tcPr>
            <w:tcW w:w="50" w:type="pct"/>
            <w:shd w:val="clear" w:color="auto" w:fill="FFFFFF"/>
            <w:tcMar>
              <w:top w:w="0" w:type="dxa"/>
              <w:left w:w="0" w:type="dxa"/>
              <w:bottom w:w="15" w:type="dxa"/>
              <w:right w:w="0" w:type="dxa"/>
            </w:tcMar>
            <w:vAlign w:val="bottom"/>
            <w:hideMark/>
          </w:tcPr>
          <w:p w14:paraId="7232C5BA"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vAlign w:val="center"/>
            <w:hideMark/>
          </w:tcPr>
          <w:p w14:paraId="20D85C1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vAlign w:val="center"/>
            <w:hideMark/>
          </w:tcPr>
          <w:p w14:paraId="2751D15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8D9FC63"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tcMar>
              <w:top w:w="0" w:type="dxa"/>
              <w:left w:w="0" w:type="dxa"/>
              <w:bottom w:w="15" w:type="dxa"/>
              <w:right w:w="0" w:type="dxa"/>
            </w:tcMar>
            <w:vAlign w:val="center"/>
            <w:hideMark/>
          </w:tcPr>
          <w:p w14:paraId="2DB41165" w14:textId="77777777" w:rsidR="00000000" w:rsidRDefault="00EB4933">
            <w:pPr>
              <w:pStyle w:val="NormalWeb"/>
              <w:spacing w:before="0" w:beforeAutospacing="0" w:after="0" w:afterAutospacing="0"/>
              <w:rPr>
                <w:sz w:val="20"/>
                <w:szCs w:val="20"/>
              </w:rPr>
            </w:pPr>
            <w:r>
              <w:rPr>
                <w:sz w:val="20"/>
                <w:szCs w:val="20"/>
              </w:rPr>
              <w:t> </w:t>
            </w:r>
          </w:p>
        </w:tc>
      </w:tr>
      <w:tr w:rsidR="00000000" w14:paraId="3030A01C" w14:textId="77777777">
        <w:trPr>
          <w:divId w:val="98525094"/>
          <w:trHeight w:val="225"/>
          <w:tblCellSpacing w:w="15" w:type="dxa"/>
        </w:trPr>
        <w:tc>
          <w:tcPr>
            <w:tcW w:w="0" w:type="auto"/>
            <w:shd w:val="clear" w:color="auto" w:fill="CCEEFF"/>
            <w:hideMark/>
          </w:tcPr>
          <w:p w14:paraId="1D827981" w14:textId="77777777" w:rsidR="00000000" w:rsidRDefault="00EB4933">
            <w:pPr>
              <w:pStyle w:val="NormalWeb"/>
              <w:spacing w:before="0" w:beforeAutospacing="0" w:after="0" w:afterAutospacing="0"/>
              <w:rPr>
                <w:sz w:val="20"/>
                <w:szCs w:val="20"/>
              </w:rPr>
            </w:pPr>
            <w:r>
              <w:rPr>
                <w:rStyle w:val="Strong"/>
                <w:sz w:val="20"/>
                <w:szCs w:val="20"/>
              </w:rPr>
              <w:t>Net profit</w:t>
            </w:r>
          </w:p>
        </w:tc>
        <w:tc>
          <w:tcPr>
            <w:tcW w:w="50" w:type="pct"/>
            <w:shd w:val="clear" w:color="auto" w:fill="CCEEFF"/>
            <w:vAlign w:val="center"/>
            <w:hideMark/>
          </w:tcPr>
          <w:p w14:paraId="317C03E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DAFB8E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955178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3075B83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vAlign w:val="center"/>
            <w:hideMark/>
          </w:tcPr>
          <w:p w14:paraId="2F290C1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54C0CC34" w14:textId="77777777" w:rsidR="00000000" w:rsidRDefault="00EB4933">
            <w:pPr>
              <w:jc w:val="right"/>
              <w:rPr>
                <w:rFonts w:eastAsia="Times New Roman"/>
                <w:sz w:val="20"/>
                <w:szCs w:val="20"/>
              </w:rPr>
            </w:pPr>
            <w:r>
              <w:rPr>
                <w:rFonts w:eastAsia="Times New Roman"/>
                <w:sz w:val="20"/>
                <w:szCs w:val="20"/>
              </w:rPr>
              <w:t>28,826</w:t>
            </w:r>
          </w:p>
        </w:tc>
        <w:tc>
          <w:tcPr>
            <w:tcW w:w="50" w:type="pct"/>
            <w:shd w:val="clear" w:color="auto" w:fill="CCEEFF"/>
            <w:tcMar>
              <w:top w:w="0" w:type="dxa"/>
              <w:left w:w="0" w:type="dxa"/>
              <w:bottom w:w="45" w:type="dxa"/>
              <w:right w:w="0" w:type="dxa"/>
            </w:tcMar>
            <w:vAlign w:val="center"/>
            <w:hideMark/>
          </w:tcPr>
          <w:p w14:paraId="0366D38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1ACE172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vAlign w:val="center"/>
            <w:hideMark/>
          </w:tcPr>
          <w:p w14:paraId="6F5AC14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07B4BA27" w14:textId="77777777" w:rsidR="00000000" w:rsidRDefault="00EB4933">
            <w:pPr>
              <w:jc w:val="right"/>
              <w:rPr>
                <w:rFonts w:eastAsia="Times New Roman"/>
                <w:sz w:val="20"/>
                <w:szCs w:val="20"/>
              </w:rPr>
            </w:pPr>
            <w:r>
              <w:rPr>
                <w:rFonts w:eastAsia="Times New Roman"/>
                <w:sz w:val="20"/>
                <w:szCs w:val="20"/>
              </w:rPr>
              <w:t>8,155</w:t>
            </w:r>
          </w:p>
        </w:tc>
        <w:tc>
          <w:tcPr>
            <w:tcW w:w="50" w:type="pct"/>
            <w:shd w:val="clear" w:color="auto" w:fill="CCEEFF"/>
            <w:tcMar>
              <w:top w:w="0" w:type="dxa"/>
              <w:left w:w="0" w:type="dxa"/>
              <w:bottom w:w="45" w:type="dxa"/>
              <w:right w:w="0" w:type="dxa"/>
            </w:tcMar>
            <w:vAlign w:val="center"/>
            <w:hideMark/>
          </w:tcPr>
          <w:p w14:paraId="3B560E0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6F662F8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vAlign w:val="center"/>
            <w:hideMark/>
          </w:tcPr>
          <w:p w14:paraId="3E399B2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43028DB9" w14:textId="77777777" w:rsidR="00000000" w:rsidRDefault="00EB4933">
            <w:pPr>
              <w:jc w:val="right"/>
              <w:rPr>
                <w:rFonts w:eastAsia="Times New Roman"/>
                <w:sz w:val="20"/>
                <w:szCs w:val="20"/>
              </w:rPr>
            </w:pPr>
            <w:r>
              <w:rPr>
                <w:rFonts w:eastAsia="Times New Roman"/>
                <w:sz w:val="20"/>
                <w:szCs w:val="20"/>
              </w:rPr>
              <w:t>58,616</w:t>
            </w:r>
          </w:p>
        </w:tc>
        <w:tc>
          <w:tcPr>
            <w:tcW w:w="50" w:type="pct"/>
            <w:shd w:val="clear" w:color="auto" w:fill="CCEEFF"/>
            <w:tcMar>
              <w:top w:w="0" w:type="dxa"/>
              <w:left w:w="0" w:type="dxa"/>
              <w:bottom w:w="45" w:type="dxa"/>
              <w:right w:w="0" w:type="dxa"/>
            </w:tcMar>
            <w:vAlign w:val="center"/>
            <w:hideMark/>
          </w:tcPr>
          <w:p w14:paraId="5403C886" w14:textId="77777777" w:rsidR="00000000" w:rsidRDefault="00EB4933">
            <w:pPr>
              <w:pStyle w:val="NormalWeb"/>
              <w:spacing w:before="0" w:beforeAutospacing="0" w:after="0" w:afterAutospacing="0"/>
              <w:rPr>
                <w:sz w:val="20"/>
                <w:szCs w:val="20"/>
              </w:rPr>
            </w:pPr>
            <w:r>
              <w:rPr>
                <w:sz w:val="20"/>
                <w:szCs w:val="20"/>
              </w:rPr>
              <w:t> </w:t>
            </w:r>
          </w:p>
        </w:tc>
      </w:tr>
      <w:tr w:rsidR="00000000" w14:paraId="7BD72184" w14:textId="77777777">
        <w:trPr>
          <w:divId w:val="98525094"/>
          <w:trHeight w:val="225"/>
          <w:tblCellSpacing w:w="15" w:type="dxa"/>
        </w:trPr>
        <w:tc>
          <w:tcPr>
            <w:tcW w:w="0" w:type="auto"/>
            <w:shd w:val="clear" w:color="auto" w:fill="FFFFFF"/>
            <w:vAlign w:val="center"/>
            <w:hideMark/>
          </w:tcPr>
          <w:p w14:paraId="547B2D6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148ADE4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E7F2E2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601A638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6F686E2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1456DF0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3B6078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594C6C0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63DA725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4E62176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427A38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1FBA44B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47EB214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2268AA3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456B86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2DED18A4" w14:textId="77777777" w:rsidR="00000000" w:rsidRDefault="00EB4933">
            <w:pPr>
              <w:pStyle w:val="NormalWeb"/>
              <w:spacing w:before="0" w:beforeAutospacing="0" w:after="0" w:afterAutospacing="0"/>
              <w:rPr>
                <w:sz w:val="20"/>
                <w:szCs w:val="20"/>
              </w:rPr>
            </w:pPr>
            <w:r>
              <w:rPr>
                <w:sz w:val="20"/>
                <w:szCs w:val="20"/>
              </w:rPr>
              <w:t> </w:t>
            </w:r>
          </w:p>
        </w:tc>
      </w:tr>
      <w:tr w:rsidR="00000000" w14:paraId="69201813" w14:textId="77777777">
        <w:trPr>
          <w:divId w:val="98525094"/>
          <w:trHeight w:val="225"/>
          <w:tblCellSpacing w:w="15" w:type="dxa"/>
        </w:trPr>
        <w:tc>
          <w:tcPr>
            <w:tcW w:w="0" w:type="auto"/>
            <w:shd w:val="clear" w:color="auto" w:fill="CCEEFF"/>
            <w:hideMark/>
          </w:tcPr>
          <w:p w14:paraId="072DD246" w14:textId="77777777" w:rsidR="00000000" w:rsidRDefault="00EB4933">
            <w:pPr>
              <w:pStyle w:val="NormalWeb"/>
              <w:spacing w:before="0" w:beforeAutospacing="0" w:after="0" w:afterAutospacing="0"/>
              <w:rPr>
                <w:sz w:val="20"/>
                <w:szCs w:val="20"/>
              </w:rPr>
            </w:pPr>
            <w:r>
              <w:rPr>
                <w:rStyle w:val="Strong"/>
                <w:sz w:val="20"/>
                <w:szCs w:val="20"/>
              </w:rPr>
              <w:lastRenderedPageBreak/>
              <w:t>Net profit attributable to:</w:t>
            </w:r>
          </w:p>
        </w:tc>
        <w:tc>
          <w:tcPr>
            <w:tcW w:w="50" w:type="pct"/>
            <w:shd w:val="clear" w:color="auto" w:fill="CCEEFF"/>
            <w:vAlign w:val="center"/>
            <w:hideMark/>
          </w:tcPr>
          <w:p w14:paraId="03E86AB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65303E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39C8FCA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6E91365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3DE466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13FAA1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26C476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1EFC5CF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2863C3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2C068A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A7B159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EF7728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05F0C85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14330D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09B468AB" w14:textId="77777777" w:rsidR="00000000" w:rsidRDefault="00EB4933">
            <w:pPr>
              <w:pStyle w:val="NormalWeb"/>
              <w:spacing w:before="0" w:beforeAutospacing="0" w:after="0" w:afterAutospacing="0"/>
              <w:rPr>
                <w:sz w:val="20"/>
                <w:szCs w:val="20"/>
              </w:rPr>
            </w:pPr>
            <w:r>
              <w:rPr>
                <w:sz w:val="20"/>
                <w:szCs w:val="20"/>
              </w:rPr>
              <w:t> </w:t>
            </w:r>
          </w:p>
        </w:tc>
      </w:tr>
      <w:tr w:rsidR="00000000" w14:paraId="55C44A42" w14:textId="77777777">
        <w:trPr>
          <w:divId w:val="98525094"/>
          <w:trHeight w:val="225"/>
          <w:tblCellSpacing w:w="15" w:type="dxa"/>
        </w:trPr>
        <w:tc>
          <w:tcPr>
            <w:tcW w:w="0" w:type="auto"/>
            <w:shd w:val="clear" w:color="auto" w:fill="FFFFFF"/>
            <w:hideMark/>
          </w:tcPr>
          <w:p w14:paraId="0F487FD6" w14:textId="77777777" w:rsidR="00000000" w:rsidRDefault="00EB4933">
            <w:pPr>
              <w:pStyle w:val="NormalWeb"/>
              <w:spacing w:before="0" w:beforeAutospacing="0" w:after="0" w:afterAutospacing="0"/>
              <w:rPr>
                <w:sz w:val="20"/>
                <w:szCs w:val="20"/>
              </w:rPr>
            </w:pPr>
            <w:r>
              <w:rPr>
                <w:sz w:val="20"/>
                <w:szCs w:val="20"/>
              </w:rPr>
              <w:t>Equity holders of the Company</w:t>
            </w:r>
          </w:p>
        </w:tc>
        <w:tc>
          <w:tcPr>
            <w:tcW w:w="50" w:type="pct"/>
            <w:shd w:val="clear" w:color="auto" w:fill="FFFFFF"/>
            <w:vAlign w:val="center"/>
            <w:hideMark/>
          </w:tcPr>
          <w:p w14:paraId="6B5CF85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8AF8235" w14:textId="77777777" w:rsidR="00000000" w:rsidRDefault="00EB4933">
            <w:pPr>
              <w:pStyle w:val="NormalWeb"/>
              <w:spacing w:before="0" w:beforeAutospacing="0" w:after="0" w:afterAutospacing="0"/>
              <w:jc w:val="center"/>
              <w:rPr>
                <w:sz w:val="20"/>
                <w:szCs w:val="20"/>
              </w:rPr>
            </w:pPr>
            <w:r>
              <w:rPr>
                <w:sz w:val="20"/>
                <w:szCs w:val="20"/>
              </w:rPr>
              <w:t>12</w:t>
            </w:r>
          </w:p>
        </w:tc>
        <w:tc>
          <w:tcPr>
            <w:tcW w:w="50" w:type="pct"/>
            <w:shd w:val="clear" w:color="auto" w:fill="FFFFFF"/>
            <w:vAlign w:val="center"/>
            <w:hideMark/>
          </w:tcPr>
          <w:p w14:paraId="3023276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4FABC02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0AF7B6A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C2691EF" w14:textId="77777777" w:rsidR="00000000" w:rsidRDefault="00EB4933">
            <w:pPr>
              <w:jc w:val="right"/>
              <w:rPr>
                <w:rFonts w:eastAsia="Times New Roman"/>
                <w:sz w:val="20"/>
                <w:szCs w:val="20"/>
              </w:rPr>
            </w:pPr>
            <w:r>
              <w:rPr>
                <w:rFonts w:eastAsia="Times New Roman"/>
                <w:sz w:val="20"/>
                <w:szCs w:val="20"/>
              </w:rPr>
              <w:t>23,061</w:t>
            </w:r>
          </w:p>
        </w:tc>
        <w:tc>
          <w:tcPr>
            <w:tcW w:w="50" w:type="pct"/>
            <w:shd w:val="clear" w:color="auto" w:fill="FFFFFF"/>
            <w:vAlign w:val="center"/>
            <w:hideMark/>
          </w:tcPr>
          <w:p w14:paraId="4EB96E4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AC8FF6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4BF9CE5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96D5F28" w14:textId="77777777" w:rsidR="00000000" w:rsidRDefault="00EB4933">
            <w:pPr>
              <w:jc w:val="right"/>
              <w:rPr>
                <w:rFonts w:eastAsia="Times New Roman"/>
                <w:sz w:val="20"/>
                <w:szCs w:val="20"/>
              </w:rPr>
            </w:pPr>
            <w:r>
              <w:rPr>
                <w:rFonts w:eastAsia="Times New Roman"/>
                <w:sz w:val="20"/>
                <w:szCs w:val="20"/>
              </w:rPr>
              <w:t>6,524</w:t>
            </w:r>
          </w:p>
        </w:tc>
        <w:tc>
          <w:tcPr>
            <w:tcW w:w="50" w:type="pct"/>
            <w:shd w:val="clear" w:color="auto" w:fill="FFFFFF"/>
            <w:vAlign w:val="center"/>
            <w:hideMark/>
          </w:tcPr>
          <w:p w14:paraId="03E857E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0381E32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28F3667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CAFD321" w14:textId="77777777" w:rsidR="00000000" w:rsidRDefault="00EB4933">
            <w:pPr>
              <w:jc w:val="right"/>
              <w:rPr>
                <w:rFonts w:eastAsia="Times New Roman"/>
                <w:sz w:val="20"/>
                <w:szCs w:val="20"/>
              </w:rPr>
            </w:pPr>
            <w:r>
              <w:rPr>
                <w:rFonts w:eastAsia="Times New Roman"/>
                <w:sz w:val="20"/>
                <w:szCs w:val="20"/>
              </w:rPr>
              <w:t>46,893</w:t>
            </w:r>
          </w:p>
        </w:tc>
        <w:tc>
          <w:tcPr>
            <w:tcW w:w="50" w:type="pct"/>
            <w:shd w:val="clear" w:color="auto" w:fill="FFFFFF"/>
            <w:vAlign w:val="center"/>
            <w:hideMark/>
          </w:tcPr>
          <w:p w14:paraId="20436D49" w14:textId="77777777" w:rsidR="00000000" w:rsidRDefault="00EB4933">
            <w:pPr>
              <w:pStyle w:val="NormalWeb"/>
              <w:spacing w:before="0" w:beforeAutospacing="0" w:after="0" w:afterAutospacing="0"/>
              <w:rPr>
                <w:sz w:val="20"/>
                <w:szCs w:val="20"/>
              </w:rPr>
            </w:pPr>
            <w:r>
              <w:rPr>
                <w:sz w:val="20"/>
                <w:szCs w:val="20"/>
              </w:rPr>
              <w:t> </w:t>
            </w:r>
          </w:p>
        </w:tc>
      </w:tr>
      <w:tr w:rsidR="00000000" w14:paraId="4FCF9ABD" w14:textId="77777777">
        <w:trPr>
          <w:divId w:val="98525094"/>
          <w:trHeight w:val="225"/>
          <w:tblCellSpacing w:w="15" w:type="dxa"/>
        </w:trPr>
        <w:tc>
          <w:tcPr>
            <w:tcW w:w="0" w:type="auto"/>
            <w:shd w:val="clear" w:color="auto" w:fill="CCEEFF"/>
            <w:hideMark/>
          </w:tcPr>
          <w:p w14:paraId="66619D6A" w14:textId="77777777" w:rsidR="00000000" w:rsidRDefault="00EB4933">
            <w:pPr>
              <w:pStyle w:val="NormalWeb"/>
              <w:spacing w:before="0" w:beforeAutospacing="0" w:after="0" w:afterAutospacing="0"/>
              <w:rPr>
                <w:sz w:val="20"/>
                <w:szCs w:val="20"/>
              </w:rPr>
            </w:pPr>
            <w:r>
              <w:rPr>
                <w:sz w:val="20"/>
                <w:szCs w:val="20"/>
              </w:rPr>
              <w:t>Non-controlling interest</w:t>
            </w:r>
          </w:p>
        </w:tc>
        <w:tc>
          <w:tcPr>
            <w:tcW w:w="50" w:type="pct"/>
            <w:shd w:val="clear" w:color="auto" w:fill="CCEEFF"/>
            <w:vAlign w:val="center"/>
            <w:hideMark/>
          </w:tcPr>
          <w:p w14:paraId="49E0EAB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49A187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36A99C3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3D9F38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vAlign w:val="center"/>
            <w:hideMark/>
          </w:tcPr>
          <w:p w14:paraId="7B60087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E326EB7" w14:textId="77777777" w:rsidR="00000000" w:rsidRDefault="00EB4933">
            <w:pPr>
              <w:jc w:val="right"/>
              <w:rPr>
                <w:rFonts w:eastAsia="Times New Roman"/>
                <w:sz w:val="20"/>
                <w:szCs w:val="20"/>
              </w:rPr>
            </w:pPr>
            <w:r>
              <w:rPr>
                <w:rFonts w:eastAsia="Times New Roman"/>
                <w:sz w:val="20"/>
                <w:szCs w:val="20"/>
              </w:rPr>
              <w:t>5,765</w:t>
            </w:r>
          </w:p>
        </w:tc>
        <w:tc>
          <w:tcPr>
            <w:tcW w:w="50" w:type="pct"/>
            <w:shd w:val="clear" w:color="auto" w:fill="CCEEFF"/>
            <w:tcMar>
              <w:top w:w="0" w:type="dxa"/>
              <w:left w:w="0" w:type="dxa"/>
              <w:bottom w:w="15" w:type="dxa"/>
              <w:right w:w="0" w:type="dxa"/>
            </w:tcMar>
            <w:vAlign w:val="center"/>
            <w:hideMark/>
          </w:tcPr>
          <w:p w14:paraId="5FCE2B1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0357C53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vAlign w:val="center"/>
            <w:hideMark/>
          </w:tcPr>
          <w:p w14:paraId="5935506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D5A6A90" w14:textId="77777777" w:rsidR="00000000" w:rsidRDefault="00EB4933">
            <w:pPr>
              <w:jc w:val="right"/>
              <w:rPr>
                <w:rFonts w:eastAsia="Times New Roman"/>
                <w:sz w:val="20"/>
                <w:szCs w:val="20"/>
              </w:rPr>
            </w:pPr>
            <w:r>
              <w:rPr>
                <w:rFonts w:eastAsia="Times New Roman"/>
                <w:sz w:val="20"/>
                <w:szCs w:val="20"/>
              </w:rPr>
              <w:t>1,631</w:t>
            </w:r>
          </w:p>
        </w:tc>
        <w:tc>
          <w:tcPr>
            <w:tcW w:w="50" w:type="pct"/>
            <w:shd w:val="clear" w:color="auto" w:fill="CCEEFF"/>
            <w:tcMar>
              <w:top w:w="0" w:type="dxa"/>
              <w:left w:w="0" w:type="dxa"/>
              <w:bottom w:w="15" w:type="dxa"/>
              <w:right w:w="0" w:type="dxa"/>
            </w:tcMar>
            <w:vAlign w:val="center"/>
            <w:hideMark/>
          </w:tcPr>
          <w:p w14:paraId="40B70CC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971E88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vAlign w:val="center"/>
            <w:hideMark/>
          </w:tcPr>
          <w:p w14:paraId="31F1C89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3A97BB6" w14:textId="77777777" w:rsidR="00000000" w:rsidRDefault="00EB4933">
            <w:pPr>
              <w:jc w:val="right"/>
              <w:rPr>
                <w:rFonts w:eastAsia="Times New Roman"/>
                <w:sz w:val="20"/>
                <w:szCs w:val="20"/>
              </w:rPr>
            </w:pPr>
            <w:r>
              <w:rPr>
                <w:rFonts w:eastAsia="Times New Roman"/>
                <w:sz w:val="20"/>
                <w:szCs w:val="20"/>
              </w:rPr>
              <w:t>11,723</w:t>
            </w:r>
          </w:p>
        </w:tc>
        <w:tc>
          <w:tcPr>
            <w:tcW w:w="50" w:type="pct"/>
            <w:shd w:val="clear" w:color="auto" w:fill="CCEEFF"/>
            <w:tcMar>
              <w:top w:w="0" w:type="dxa"/>
              <w:left w:w="0" w:type="dxa"/>
              <w:bottom w:w="15" w:type="dxa"/>
              <w:right w:w="0" w:type="dxa"/>
            </w:tcMar>
            <w:vAlign w:val="center"/>
            <w:hideMark/>
          </w:tcPr>
          <w:p w14:paraId="37FBBEB3" w14:textId="77777777" w:rsidR="00000000" w:rsidRDefault="00EB4933">
            <w:pPr>
              <w:pStyle w:val="NormalWeb"/>
              <w:spacing w:before="0" w:beforeAutospacing="0" w:after="0" w:afterAutospacing="0"/>
              <w:rPr>
                <w:sz w:val="20"/>
                <w:szCs w:val="20"/>
              </w:rPr>
            </w:pPr>
            <w:r>
              <w:rPr>
                <w:sz w:val="20"/>
                <w:szCs w:val="20"/>
              </w:rPr>
              <w:t> </w:t>
            </w:r>
          </w:p>
        </w:tc>
      </w:tr>
      <w:tr w:rsidR="00000000" w14:paraId="283DDCFC" w14:textId="77777777">
        <w:trPr>
          <w:divId w:val="98525094"/>
          <w:trHeight w:val="225"/>
          <w:tblCellSpacing w:w="15" w:type="dxa"/>
        </w:trPr>
        <w:tc>
          <w:tcPr>
            <w:tcW w:w="0" w:type="auto"/>
            <w:shd w:val="clear" w:color="auto" w:fill="FFFFFF"/>
            <w:hideMark/>
          </w:tcPr>
          <w:p w14:paraId="6A7029F6" w14:textId="77777777" w:rsidR="00000000" w:rsidRDefault="00EB4933">
            <w:pPr>
              <w:pStyle w:val="NormalWeb"/>
              <w:spacing w:before="0" w:beforeAutospacing="0" w:after="0" w:afterAutospacing="0"/>
              <w:rPr>
                <w:sz w:val="20"/>
                <w:szCs w:val="20"/>
              </w:rPr>
            </w:pPr>
            <w:r>
              <w:rPr>
                <w:sz w:val="20"/>
                <w:szCs w:val="20"/>
              </w:rPr>
              <w:t>Net profit</w:t>
            </w:r>
          </w:p>
        </w:tc>
        <w:tc>
          <w:tcPr>
            <w:tcW w:w="50" w:type="pct"/>
            <w:shd w:val="clear" w:color="auto" w:fill="FFFFFF"/>
            <w:vAlign w:val="center"/>
            <w:hideMark/>
          </w:tcPr>
          <w:p w14:paraId="6C06B26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7F648A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1E4DC34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28492C6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vAlign w:val="center"/>
            <w:hideMark/>
          </w:tcPr>
          <w:p w14:paraId="1A3901F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180D7AC9" w14:textId="77777777" w:rsidR="00000000" w:rsidRDefault="00EB4933">
            <w:pPr>
              <w:jc w:val="right"/>
              <w:rPr>
                <w:rFonts w:eastAsia="Times New Roman"/>
                <w:sz w:val="20"/>
                <w:szCs w:val="20"/>
              </w:rPr>
            </w:pPr>
            <w:r>
              <w:rPr>
                <w:rFonts w:eastAsia="Times New Roman"/>
                <w:sz w:val="20"/>
                <w:szCs w:val="20"/>
              </w:rPr>
              <w:t>28,826</w:t>
            </w:r>
          </w:p>
        </w:tc>
        <w:tc>
          <w:tcPr>
            <w:tcW w:w="50" w:type="pct"/>
            <w:shd w:val="clear" w:color="auto" w:fill="FFFFFF"/>
            <w:tcMar>
              <w:top w:w="0" w:type="dxa"/>
              <w:left w:w="0" w:type="dxa"/>
              <w:bottom w:w="45" w:type="dxa"/>
              <w:right w:w="0" w:type="dxa"/>
            </w:tcMar>
            <w:vAlign w:val="center"/>
            <w:hideMark/>
          </w:tcPr>
          <w:p w14:paraId="582C35E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31BCFC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vAlign w:val="center"/>
            <w:hideMark/>
          </w:tcPr>
          <w:p w14:paraId="4CFFEE3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1162D920" w14:textId="77777777" w:rsidR="00000000" w:rsidRDefault="00EB4933">
            <w:pPr>
              <w:jc w:val="right"/>
              <w:rPr>
                <w:rFonts w:eastAsia="Times New Roman"/>
                <w:sz w:val="20"/>
                <w:szCs w:val="20"/>
              </w:rPr>
            </w:pPr>
            <w:r>
              <w:rPr>
                <w:rFonts w:eastAsia="Times New Roman"/>
                <w:sz w:val="20"/>
                <w:szCs w:val="20"/>
              </w:rPr>
              <w:t>8,155</w:t>
            </w:r>
          </w:p>
        </w:tc>
        <w:tc>
          <w:tcPr>
            <w:tcW w:w="50" w:type="pct"/>
            <w:shd w:val="clear" w:color="auto" w:fill="FFFFFF"/>
            <w:tcMar>
              <w:top w:w="0" w:type="dxa"/>
              <w:left w:w="0" w:type="dxa"/>
              <w:bottom w:w="45" w:type="dxa"/>
              <w:right w:w="0" w:type="dxa"/>
            </w:tcMar>
            <w:vAlign w:val="center"/>
            <w:hideMark/>
          </w:tcPr>
          <w:p w14:paraId="183060F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1305A4E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vAlign w:val="center"/>
            <w:hideMark/>
          </w:tcPr>
          <w:p w14:paraId="5A92EC7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518712FC" w14:textId="77777777" w:rsidR="00000000" w:rsidRDefault="00EB4933">
            <w:pPr>
              <w:jc w:val="right"/>
              <w:rPr>
                <w:rFonts w:eastAsia="Times New Roman"/>
                <w:sz w:val="20"/>
                <w:szCs w:val="20"/>
              </w:rPr>
            </w:pPr>
            <w:r>
              <w:rPr>
                <w:rFonts w:eastAsia="Times New Roman"/>
                <w:sz w:val="20"/>
                <w:szCs w:val="20"/>
              </w:rPr>
              <w:t>58,616</w:t>
            </w:r>
          </w:p>
        </w:tc>
        <w:tc>
          <w:tcPr>
            <w:tcW w:w="50" w:type="pct"/>
            <w:shd w:val="clear" w:color="auto" w:fill="FFFFFF"/>
            <w:tcMar>
              <w:top w:w="0" w:type="dxa"/>
              <w:left w:w="0" w:type="dxa"/>
              <w:bottom w:w="45" w:type="dxa"/>
              <w:right w:w="0" w:type="dxa"/>
            </w:tcMar>
            <w:vAlign w:val="center"/>
            <w:hideMark/>
          </w:tcPr>
          <w:p w14:paraId="45F02164" w14:textId="77777777" w:rsidR="00000000" w:rsidRDefault="00EB4933">
            <w:pPr>
              <w:pStyle w:val="NormalWeb"/>
              <w:spacing w:before="0" w:beforeAutospacing="0" w:after="0" w:afterAutospacing="0"/>
              <w:rPr>
                <w:sz w:val="20"/>
                <w:szCs w:val="20"/>
              </w:rPr>
            </w:pPr>
            <w:r>
              <w:rPr>
                <w:sz w:val="20"/>
                <w:szCs w:val="20"/>
              </w:rPr>
              <w:t> </w:t>
            </w:r>
          </w:p>
        </w:tc>
      </w:tr>
      <w:tr w:rsidR="00000000" w14:paraId="4A753742" w14:textId="77777777">
        <w:trPr>
          <w:divId w:val="98525094"/>
          <w:trHeight w:val="225"/>
          <w:tblCellSpacing w:w="15" w:type="dxa"/>
        </w:trPr>
        <w:tc>
          <w:tcPr>
            <w:tcW w:w="0" w:type="auto"/>
            <w:shd w:val="clear" w:color="auto" w:fill="CCEEFF"/>
            <w:vAlign w:val="center"/>
            <w:hideMark/>
          </w:tcPr>
          <w:p w14:paraId="6853795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6563484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CD9FE0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1F2372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043A449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A64EBA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CB241D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7D9571F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69429AF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3B3F445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52E160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40EC7A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60E40B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7BD5674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4E8BF0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FF44E86" w14:textId="77777777" w:rsidR="00000000" w:rsidRDefault="00EB4933">
            <w:pPr>
              <w:pStyle w:val="NormalWeb"/>
              <w:spacing w:before="0" w:beforeAutospacing="0" w:after="0" w:afterAutospacing="0"/>
              <w:rPr>
                <w:sz w:val="20"/>
                <w:szCs w:val="20"/>
              </w:rPr>
            </w:pPr>
            <w:r>
              <w:rPr>
                <w:sz w:val="20"/>
                <w:szCs w:val="20"/>
              </w:rPr>
              <w:t> </w:t>
            </w:r>
          </w:p>
        </w:tc>
      </w:tr>
      <w:tr w:rsidR="00000000" w14:paraId="04A5DE71" w14:textId="77777777">
        <w:trPr>
          <w:divId w:val="98525094"/>
          <w:trHeight w:val="225"/>
          <w:tblCellSpacing w:w="15" w:type="dxa"/>
        </w:trPr>
        <w:tc>
          <w:tcPr>
            <w:tcW w:w="0" w:type="auto"/>
            <w:shd w:val="clear" w:color="auto" w:fill="FFFFFF"/>
            <w:hideMark/>
          </w:tcPr>
          <w:p w14:paraId="0DD5AAE2" w14:textId="77777777" w:rsidR="00000000" w:rsidRDefault="00EB4933">
            <w:pPr>
              <w:pStyle w:val="NormalWeb"/>
              <w:spacing w:before="0" w:beforeAutospacing="0" w:after="0" w:afterAutospacing="0"/>
              <w:rPr>
                <w:sz w:val="20"/>
                <w:szCs w:val="20"/>
              </w:rPr>
            </w:pPr>
            <w:r>
              <w:rPr>
                <w:rStyle w:val="Strong"/>
                <w:sz w:val="20"/>
                <w:szCs w:val="20"/>
              </w:rPr>
              <w:t>Other comprehensive income for the year</w:t>
            </w:r>
          </w:p>
        </w:tc>
        <w:tc>
          <w:tcPr>
            <w:tcW w:w="50" w:type="pct"/>
            <w:shd w:val="clear" w:color="auto" w:fill="FFFFFF"/>
            <w:vAlign w:val="center"/>
            <w:hideMark/>
          </w:tcPr>
          <w:p w14:paraId="590953A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5DB064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4E8DD9F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2EFCDB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4B2EDE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F5D47E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489D31D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518E617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5E3E1A4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F83D06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4EDF678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6B94350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2FC45A1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ABFFAF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520AD54D" w14:textId="77777777" w:rsidR="00000000" w:rsidRDefault="00EB4933">
            <w:pPr>
              <w:pStyle w:val="NormalWeb"/>
              <w:spacing w:before="0" w:beforeAutospacing="0" w:after="0" w:afterAutospacing="0"/>
              <w:rPr>
                <w:sz w:val="20"/>
                <w:szCs w:val="20"/>
              </w:rPr>
            </w:pPr>
            <w:r>
              <w:rPr>
                <w:sz w:val="20"/>
                <w:szCs w:val="20"/>
              </w:rPr>
              <w:t> </w:t>
            </w:r>
          </w:p>
        </w:tc>
      </w:tr>
      <w:tr w:rsidR="00000000" w14:paraId="68858144" w14:textId="77777777">
        <w:trPr>
          <w:divId w:val="98525094"/>
          <w:trHeight w:val="225"/>
          <w:tblCellSpacing w:w="15" w:type="dxa"/>
        </w:trPr>
        <w:tc>
          <w:tcPr>
            <w:tcW w:w="0" w:type="auto"/>
            <w:shd w:val="clear" w:color="auto" w:fill="CCEEFF"/>
            <w:hideMark/>
          </w:tcPr>
          <w:p w14:paraId="6A534501" w14:textId="77777777" w:rsidR="00000000" w:rsidRDefault="00EB4933">
            <w:pPr>
              <w:pStyle w:val="NormalWeb"/>
              <w:spacing w:before="0" w:beforeAutospacing="0" w:after="0" w:afterAutospacing="0"/>
              <w:rPr>
                <w:sz w:val="20"/>
                <w:szCs w:val="20"/>
              </w:rPr>
            </w:pPr>
            <w:r>
              <w:rPr>
                <w:sz w:val="20"/>
                <w:szCs w:val="20"/>
              </w:rPr>
              <w:t>Net profit</w:t>
            </w:r>
          </w:p>
        </w:tc>
        <w:tc>
          <w:tcPr>
            <w:tcW w:w="50" w:type="pct"/>
            <w:shd w:val="clear" w:color="auto" w:fill="CCEEFF"/>
            <w:vAlign w:val="center"/>
            <w:hideMark/>
          </w:tcPr>
          <w:p w14:paraId="178B1AC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E8FB90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7AB964B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35594B9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3DB4F56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236862B" w14:textId="77777777" w:rsidR="00000000" w:rsidRDefault="00EB4933">
            <w:pPr>
              <w:jc w:val="right"/>
              <w:rPr>
                <w:rFonts w:eastAsia="Times New Roman"/>
                <w:sz w:val="20"/>
                <w:szCs w:val="20"/>
              </w:rPr>
            </w:pPr>
            <w:r>
              <w:rPr>
                <w:rFonts w:eastAsia="Times New Roman"/>
                <w:sz w:val="20"/>
                <w:szCs w:val="20"/>
              </w:rPr>
              <w:t>28,826</w:t>
            </w:r>
          </w:p>
        </w:tc>
        <w:tc>
          <w:tcPr>
            <w:tcW w:w="50" w:type="pct"/>
            <w:shd w:val="clear" w:color="auto" w:fill="CCEEFF"/>
            <w:vAlign w:val="center"/>
            <w:hideMark/>
          </w:tcPr>
          <w:p w14:paraId="60C60A1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87E18D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088B5C4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55ED7EB" w14:textId="77777777" w:rsidR="00000000" w:rsidRDefault="00EB4933">
            <w:pPr>
              <w:jc w:val="right"/>
              <w:rPr>
                <w:rFonts w:eastAsia="Times New Roman"/>
                <w:sz w:val="20"/>
                <w:szCs w:val="20"/>
              </w:rPr>
            </w:pPr>
            <w:r>
              <w:rPr>
                <w:rFonts w:eastAsia="Times New Roman"/>
                <w:sz w:val="20"/>
                <w:szCs w:val="20"/>
              </w:rPr>
              <w:t>8,155</w:t>
            </w:r>
          </w:p>
        </w:tc>
        <w:tc>
          <w:tcPr>
            <w:tcW w:w="50" w:type="pct"/>
            <w:shd w:val="clear" w:color="auto" w:fill="CCEEFF"/>
            <w:vAlign w:val="center"/>
            <w:hideMark/>
          </w:tcPr>
          <w:p w14:paraId="028E35F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4B8947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824E70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AC11A05" w14:textId="77777777" w:rsidR="00000000" w:rsidRDefault="00EB4933">
            <w:pPr>
              <w:jc w:val="right"/>
              <w:rPr>
                <w:rFonts w:eastAsia="Times New Roman"/>
                <w:sz w:val="20"/>
                <w:szCs w:val="20"/>
              </w:rPr>
            </w:pPr>
            <w:r>
              <w:rPr>
                <w:rFonts w:eastAsia="Times New Roman"/>
                <w:sz w:val="20"/>
                <w:szCs w:val="20"/>
              </w:rPr>
              <w:t>58,616</w:t>
            </w:r>
          </w:p>
        </w:tc>
        <w:tc>
          <w:tcPr>
            <w:tcW w:w="50" w:type="pct"/>
            <w:shd w:val="clear" w:color="auto" w:fill="CCEEFF"/>
            <w:vAlign w:val="center"/>
            <w:hideMark/>
          </w:tcPr>
          <w:p w14:paraId="7D0FF70C" w14:textId="77777777" w:rsidR="00000000" w:rsidRDefault="00EB4933">
            <w:pPr>
              <w:pStyle w:val="NormalWeb"/>
              <w:spacing w:before="0" w:beforeAutospacing="0" w:after="0" w:afterAutospacing="0"/>
              <w:rPr>
                <w:sz w:val="20"/>
                <w:szCs w:val="20"/>
              </w:rPr>
            </w:pPr>
            <w:r>
              <w:rPr>
                <w:sz w:val="20"/>
                <w:szCs w:val="20"/>
              </w:rPr>
              <w:t> </w:t>
            </w:r>
          </w:p>
        </w:tc>
      </w:tr>
      <w:tr w:rsidR="00000000" w14:paraId="10ABA325" w14:textId="77777777">
        <w:trPr>
          <w:divId w:val="98525094"/>
          <w:trHeight w:val="225"/>
          <w:tblCellSpacing w:w="15" w:type="dxa"/>
        </w:trPr>
        <w:tc>
          <w:tcPr>
            <w:tcW w:w="0" w:type="auto"/>
            <w:shd w:val="clear" w:color="auto" w:fill="FFFFFF"/>
            <w:hideMark/>
          </w:tcPr>
          <w:p w14:paraId="64BCFBEC" w14:textId="77777777" w:rsidR="00000000" w:rsidRDefault="00EB4933">
            <w:pPr>
              <w:pStyle w:val="NormalWeb"/>
              <w:spacing w:before="0" w:beforeAutospacing="0" w:after="0" w:afterAutospacing="0"/>
              <w:rPr>
                <w:sz w:val="20"/>
                <w:szCs w:val="20"/>
              </w:rPr>
            </w:pPr>
            <w:r>
              <w:rPr>
                <w:sz w:val="20"/>
                <w:szCs w:val="20"/>
              </w:rPr>
              <w:t>Exchange differences on translation of financial statements of entities outside the mainland of the People’s Republic of China</w:t>
            </w:r>
          </w:p>
        </w:tc>
        <w:tc>
          <w:tcPr>
            <w:tcW w:w="50" w:type="pct"/>
            <w:shd w:val="clear" w:color="auto" w:fill="FFFFFF"/>
            <w:vAlign w:val="center"/>
            <w:hideMark/>
          </w:tcPr>
          <w:p w14:paraId="41196DF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79D7A4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F68907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297B188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vAlign w:val="center"/>
            <w:hideMark/>
          </w:tcPr>
          <w:p w14:paraId="72697B3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3A9BED5"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tcMar>
              <w:top w:w="0" w:type="dxa"/>
              <w:left w:w="0" w:type="dxa"/>
              <w:bottom w:w="15" w:type="dxa"/>
              <w:right w:w="0" w:type="dxa"/>
            </w:tcMar>
            <w:vAlign w:val="center"/>
            <w:hideMark/>
          </w:tcPr>
          <w:p w14:paraId="320ACBF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633FB3B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vAlign w:val="center"/>
            <w:hideMark/>
          </w:tcPr>
          <w:p w14:paraId="1DDE96C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F4A15B8" w14:textId="77777777" w:rsidR="00000000" w:rsidRDefault="00EB4933">
            <w:pPr>
              <w:jc w:val="right"/>
              <w:rPr>
                <w:rFonts w:eastAsia="Times New Roman"/>
                <w:sz w:val="20"/>
                <w:szCs w:val="20"/>
              </w:rPr>
            </w:pPr>
            <w:r>
              <w:rPr>
                <w:rFonts w:eastAsia="Times New Roman"/>
                <w:sz w:val="20"/>
                <w:szCs w:val="20"/>
              </w:rPr>
              <w:t>616</w:t>
            </w:r>
          </w:p>
        </w:tc>
        <w:tc>
          <w:tcPr>
            <w:tcW w:w="50" w:type="pct"/>
            <w:shd w:val="clear" w:color="auto" w:fill="FFFFFF"/>
            <w:tcMar>
              <w:top w:w="0" w:type="dxa"/>
              <w:left w:w="0" w:type="dxa"/>
              <w:bottom w:w="15" w:type="dxa"/>
              <w:right w:w="0" w:type="dxa"/>
            </w:tcMar>
            <w:vAlign w:val="center"/>
            <w:hideMark/>
          </w:tcPr>
          <w:p w14:paraId="5830291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4AA5D4F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vAlign w:val="center"/>
            <w:hideMark/>
          </w:tcPr>
          <w:p w14:paraId="56E8C22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A6C4C1F" w14:textId="77777777" w:rsidR="00000000" w:rsidRDefault="00EB4933">
            <w:pPr>
              <w:jc w:val="right"/>
              <w:rPr>
                <w:rFonts w:eastAsia="Times New Roman"/>
                <w:sz w:val="20"/>
                <w:szCs w:val="20"/>
              </w:rPr>
            </w:pPr>
            <w:r>
              <w:rPr>
                <w:rFonts w:eastAsia="Times New Roman"/>
                <w:sz w:val="20"/>
                <w:szCs w:val="20"/>
              </w:rPr>
              <w:t>(405</w:t>
            </w:r>
          </w:p>
        </w:tc>
        <w:tc>
          <w:tcPr>
            <w:tcW w:w="50" w:type="pct"/>
            <w:shd w:val="clear" w:color="auto" w:fill="FFFFFF"/>
            <w:tcMar>
              <w:top w:w="0" w:type="dxa"/>
              <w:left w:w="0" w:type="dxa"/>
              <w:bottom w:w="15" w:type="dxa"/>
              <w:right w:w="0" w:type="dxa"/>
            </w:tcMar>
            <w:vAlign w:val="bottom"/>
            <w:hideMark/>
          </w:tcPr>
          <w:p w14:paraId="67B11CD2" w14:textId="77777777" w:rsidR="00000000" w:rsidRDefault="00EB4933">
            <w:pPr>
              <w:rPr>
                <w:rFonts w:eastAsia="Times New Roman"/>
                <w:sz w:val="20"/>
                <w:szCs w:val="20"/>
              </w:rPr>
            </w:pPr>
            <w:r>
              <w:rPr>
                <w:rFonts w:eastAsia="Times New Roman"/>
                <w:sz w:val="20"/>
                <w:szCs w:val="20"/>
              </w:rPr>
              <w:t>)</w:t>
            </w:r>
          </w:p>
        </w:tc>
      </w:tr>
      <w:tr w:rsidR="00000000" w14:paraId="50EFE3A0" w14:textId="77777777">
        <w:trPr>
          <w:divId w:val="98525094"/>
          <w:trHeight w:val="225"/>
          <w:tblCellSpacing w:w="15" w:type="dxa"/>
        </w:trPr>
        <w:tc>
          <w:tcPr>
            <w:tcW w:w="0" w:type="auto"/>
            <w:shd w:val="clear" w:color="auto" w:fill="CCEEFF"/>
            <w:hideMark/>
          </w:tcPr>
          <w:p w14:paraId="239E89C6" w14:textId="77777777" w:rsidR="00000000" w:rsidRDefault="00EB4933">
            <w:pPr>
              <w:pStyle w:val="NormalWeb"/>
              <w:spacing w:before="0" w:beforeAutospacing="0" w:after="0" w:afterAutospacing="0"/>
              <w:rPr>
                <w:sz w:val="20"/>
                <w:szCs w:val="20"/>
              </w:rPr>
            </w:pPr>
            <w:r>
              <w:rPr>
                <w:rStyle w:val="Strong"/>
                <w:sz w:val="20"/>
                <w:szCs w:val="20"/>
              </w:rPr>
              <w:t>Total comprehensive income for the year</w:t>
            </w:r>
          </w:p>
        </w:tc>
        <w:tc>
          <w:tcPr>
            <w:tcW w:w="50" w:type="pct"/>
            <w:shd w:val="clear" w:color="auto" w:fill="CCEEFF"/>
            <w:vAlign w:val="center"/>
            <w:hideMark/>
          </w:tcPr>
          <w:p w14:paraId="141847C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2863E6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731526E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0D83115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vAlign w:val="center"/>
            <w:hideMark/>
          </w:tcPr>
          <w:p w14:paraId="783D0CD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5922BD4B" w14:textId="77777777" w:rsidR="00000000" w:rsidRDefault="00EB4933">
            <w:pPr>
              <w:jc w:val="right"/>
              <w:rPr>
                <w:rFonts w:eastAsia="Times New Roman"/>
                <w:sz w:val="20"/>
                <w:szCs w:val="20"/>
              </w:rPr>
            </w:pPr>
            <w:r>
              <w:rPr>
                <w:rFonts w:eastAsia="Times New Roman"/>
                <w:sz w:val="20"/>
                <w:szCs w:val="20"/>
              </w:rPr>
              <w:t>28,826</w:t>
            </w:r>
          </w:p>
        </w:tc>
        <w:tc>
          <w:tcPr>
            <w:tcW w:w="50" w:type="pct"/>
            <w:shd w:val="clear" w:color="auto" w:fill="CCEEFF"/>
            <w:tcMar>
              <w:top w:w="0" w:type="dxa"/>
              <w:left w:w="0" w:type="dxa"/>
              <w:bottom w:w="45" w:type="dxa"/>
              <w:right w:w="0" w:type="dxa"/>
            </w:tcMar>
            <w:vAlign w:val="center"/>
            <w:hideMark/>
          </w:tcPr>
          <w:p w14:paraId="24C4C5C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BE453D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vAlign w:val="center"/>
            <w:hideMark/>
          </w:tcPr>
          <w:p w14:paraId="71710BD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18DFFB71" w14:textId="77777777" w:rsidR="00000000" w:rsidRDefault="00EB4933">
            <w:pPr>
              <w:jc w:val="right"/>
              <w:rPr>
                <w:rFonts w:eastAsia="Times New Roman"/>
                <w:sz w:val="20"/>
                <w:szCs w:val="20"/>
              </w:rPr>
            </w:pPr>
            <w:r>
              <w:rPr>
                <w:rFonts w:eastAsia="Times New Roman"/>
                <w:sz w:val="20"/>
                <w:szCs w:val="20"/>
              </w:rPr>
              <w:t>8,771</w:t>
            </w:r>
          </w:p>
        </w:tc>
        <w:tc>
          <w:tcPr>
            <w:tcW w:w="50" w:type="pct"/>
            <w:shd w:val="clear" w:color="auto" w:fill="CCEEFF"/>
            <w:tcMar>
              <w:top w:w="0" w:type="dxa"/>
              <w:left w:w="0" w:type="dxa"/>
              <w:bottom w:w="45" w:type="dxa"/>
              <w:right w:w="0" w:type="dxa"/>
            </w:tcMar>
            <w:vAlign w:val="center"/>
            <w:hideMark/>
          </w:tcPr>
          <w:p w14:paraId="63BDEAB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07E1CE4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vAlign w:val="center"/>
            <w:hideMark/>
          </w:tcPr>
          <w:p w14:paraId="7CB2B62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6F020F5D" w14:textId="77777777" w:rsidR="00000000" w:rsidRDefault="00EB4933">
            <w:pPr>
              <w:jc w:val="right"/>
              <w:rPr>
                <w:rFonts w:eastAsia="Times New Roman"/>
                <w:sz w:val="20"/>
                <w:szCs w:val="20"/>
              </w:rPr>
            </w:pPr>
            <w:r>
              <w:rPr>
                <w:rFonts w:eastAsia="Times New Roman"/>
                <w:sz w:val="20"/>
                <w:szCs w:val="20"/>
              </w:rPr>
              <w:t>58,211</w:t>
            </w:r>
          </w:p>
        </w:tc>
        <w:tc>
          <w:tcPr>
            <w:tcW w:w="50" w:type="pct"/>
            <w:shd w:val="clear" w:color="auto" w:fill="CCEEFF"/>
            <w:tcMar>
              <w:top w:w="0" w:type="dxa"/>
              <w:left w:w="0" w:type="dxa"/>
              <w:bottom w:w="45" w:type="dxa"/>
              <w:right w:w="0" w:type="dxa"/>
            </w:tcMar>
            <w:vAlign w:val="center"/>
            <w:hideMark/>
          </w:tcPr>
          <w:p w14:paraId="3D145AE5" w14:textId="77777777" w:rsidR="00000000" w:rsidRDefault="00EB4933">
            <w:pPr>
              <w:pStyle w:val="NormalWeb"/>
              <w:spacing w:before="0" w:beforeAutospacing="0" w:after="0" w:afterAutospacing="0"/>
              <w:rPr>
                <w:sz w:val="20"/>
                <w:szCs w:val="20"/>
              </w:rPr>
            </w:pPr>
            <w:r>
              <w:rPr>
                <w:sz w:val="20"/>
                <w:szCs w:val="20"/>
              </w:rPr>
              <w:t> </w:t>
            </w:r>
          </w:p>
        </w:tc>
      </w:tr>
      <w:tr w:rsidR="00000000" w14:paraId="4F9F50C7" w14:textId="77777777">
        <w:trPr>
          <w:divId w:val="98525094"/>
          <w:trHeight w:val="225"/>
          <w:tblCellSpacing w:w="15" w:type="dxa"/>
        </w:trPr>
        <w:tc>
          <w:tcPr>
            <w:tcW w:w="0" w:type="auto"/>
            <w:shd w:val="clear" w:color="auto" w:fill="FFFFFF"/>
            <w:vAlign w:val="center"/>
            <w:hideMark/>
          </w:tcPr>
          <w:p w14:paraId="1DFC423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7184668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F5E5E9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626002B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1854754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7B230B7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A7CA23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6A66D4F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060402A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62E6D07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BD7E1C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3FDA83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252B622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0C607A8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C48A3F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9C82E27" w14:textId="77777777" w:rsidR="00000000" w:rsidRDefault="00EB4933">
            <w:pPr>
              <w:pStyle w:val="NormalWeb"/>
              <w:spacing w:before="0" w:beforeAutospacing="0" w:after="0" w:afterAutospacing="0"/>
              <w:rPr>
                <w:sz w:val="20"/>
                <w:szCs w:val="20"/>
              </w:rPr>
            </w:pPr>
            <w:r>
              <w:rPr>
                <w:sz w:val="20"/>
                <w:szCs w:val="20"/>
              </w:rPr>
              <w:t> </w:t>
            </w:r>
          </w:p>
        </w:tc>
      </w:tr>
      <w:tr w:rsidR="00000000" w14:paraId="6D808762" w14:textId="77777777">
        <w:trPr>
          <w:divId w:val="98525094"/>
          <w:trHeight w:val="225"/>
          <w:tblCellSpacing w:w="15" w:type="dxa"/>
        </w:trPr>
        <w:tc>
          <w:tcPr>
            <w:tcW w:w="0" w:type="auto"/>
            <w:shd w:val="clear" w:color="auto" w:fill="CCEEFF"/>
            <w:hideMark/>
          </w:tcPr>
          <w:p w14:paraId="2DEACE7E" w14:textId="77777777" w:rsidR="00000000" w:rsidRDefault="00EB4933">
            <w:pPr>
              <w:pStyle w:val="NormalWeb"/>
              <w:spacing w:before="0" w:beforeAutospacing="0" w:after="0" w:afterAutospacing="0"/>
              <w:rPr>
                <w:sz w:val="20"/>
                <w:szCs w:val="20"/>
              </w:rPr>
            </w:pPr>
            <w:r>
              <w:rPr>
                <w:rStyle w:val="Strong"/>
                <w:sz w:val="20"/>
                <w:szCs w:val="20"/>
              </w:rPr>
              <w:t>Total comprehensive income attributable to:</w:t>
            </w:r>
          </w:p>
        </w:tc>
        <w:tc>
          <w:tcPr>
            <w:tcW w:w="50" w:type="pct"/>
            <w:shd w:val="clear" w:color="auto" w:fill="CCEEFF"/>
            <w:vAlign w:val="center"/>
            <w:hideMark/>
          </w:tcPr>
          <w:p w14:paraId="2400765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0C8B4C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6ECC39F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BD7B1D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0CCF209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120ED6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6740985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3421B24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0BC11D3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A8AB58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0661C64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7000059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BE2E7A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ADE49F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1CC93199" w14:textId="77777777" w:rsidR="00000000" w:rsidRDefault="00EB4933">
            <w:pPr>
              <w:pStyle w:val="NormalWeb"/>
              <w:spacing w:before="0" w:beforeAutospacing="0" w:after="0" w:afterAutospacing="0"/>
              <w:rPr>
                <w:sz w:val="20"/>
                <w:szCs w:val="20"/>
              </w:rPr>
            </w:pPr>
            <w:r>
              <w:rPr>
                <w:sz w:val="20"/>
                <w:szCs w:val="20"/>
              </w:rPr>
              <w:t> </w:t>
            </w:r>
          </w:p>
        </w:tc>
      </w:tr>
      <w:tr w:rsidR="00000000" w14:paraId="5E672958" w14:textId="77777777">
        <w:trPr>
          <w:divId w:val="98525094"/>
          <w:trHeight w:val="225"/>
          <w:tblCellSpacing w:w="15" w:type="dxa"/>
        </w:trPr>
        <w:tc>
          <w:tcPr>
            <w:tcW w:w="0" w:type="auto"/>
            <w:shd w:val="clear" w:color="auto" w:fill="FFFFFF"/>
            <w:hideMark/>
          </w:tcPr>
          <w:p w14:paraId="76D69B68" w14:textId="77777777" w:rsidR="00000000" w:rsidRDefault="00EB4933">
            <w:pPr>
              <w:pStyle w:val="NormalWeb"/>
              <w:spacing w:before="0" w:beforeAutospacing="0" w:after="0" w:afterAutospacing="0"/>
              <w:rPr>
                <w:sz w:val="20"/>
                <w:szCs w:val="20"/>
              </w:rPr>
            </w:pPr>
            <w:r>
              <w:rPr>
                <w:sz w:val="20"/>
                <w:szCs w:val="20"/>
              </w:rPr>
              <w:t>Equity holders of the Company</w:t>
            </w:r>
          </w:p>
        </w:tc>
        <w:tc>
          <w:tcPr>
            <w:tcW w:w="50" w:type="pct"/>
            <w:shd w:val="clear" w:color="auto" w:fill="FFFFFF"/>
            <w:vAlign w:val="center"/>
            <w:hideMark/>
          </w:tcPr>
          <w:p w14:paraId="2214D8B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4C9FE8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24356C8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0919D2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5D46FC1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742FD05" w14:textId="77777777" w:rsidR="00000000" w:rsidRDefault="00EB4933">
            <w:pPr>
              <w:jc w:val="right"/>
              <w:rPr>
                <w:rFonts w:eastAsia="Times New Roman"/>
                <w:sz w:val="20"/>
                <w:szCs w:val="20"/>
              </w:rPr>
            </w:pPr>
            <w:r>
              <w:rPr>
                <w:rFonts w:eastAsia="Times New Roman"/>
                <w:sz w:val="20"/>
                <w:szCs w:val="20"/>
              </w:rPr>
              <w:t>23,061</w:t>
            </w:r>
          </w:p>
        </w:tc>
        <w:tc>
          <w:tcPr>
            <w:tcW w:w="50" w:type="pct"/>
            <w:shd w:val="clear" w:color="auto" w:fill="FFFFFF"/>
            <w:vAlign w:val="center"/>
            <w:hideMark/>
          </w:tcPr>
          <w:p w14:paraId="2FF14E6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575AB2D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4D8BDCF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9A9AB8F" w14:textId="77777777" w:rsidR="00000000" w:rsidRDefault="00EB4933">
            <w:pPr>
              <w:jc w:val="right"/>
              <w:rPr>
                <w:rFonts w:eastAsia="Times New Roman"/>
                <w:sz w:val="20"/>
                <w:szCs w:val="20"/>
              </w:rPr>
            </w:pPr>
            <w:r>
              <w:rPr>
                <w:rFonts w:eastAsia="Times New Roman"/>
                <w:sz w:val="20"/>
                <w:szCs w:val="20"/>
              </w:rPr>
              <w:t>7,017</w:t>
            </w:r>
          </w:p>
        </w:tc>
        <w:tc>
          <w:tcPr>
            <w:tcW w:w="50" w:type="pct"/>
            <w:shd w:val="clear" w:color="auto" w:fill="FFFFFF"/>
            <w:vAlign w:val="center"/>
            <w:hideMark/>
          </w:tcPr>
          <w:p w14:paraId="4D2731A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73A920B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A5A1EF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E63EDC9" w14:textId="77777777" w:rsidR="00000000" w:rsidRDefault="00EB4933">
            <w:pPr>
              <w:jc w:val="right"/>
              <w:rPr>
                <w:rFonts w:eastAsia="Times New Roman"/>
                <w:sz w:val="20"/>
                <w:szCs w:val="20"/>
              </w:rPr>
            </w:pPr>
            <w:r>
              <w:rPr>
                <w:rFonts w:eastAsia="Times New Roman"/>
                <w:sz w:val="20"/>
                <w:szCs w:val="20"/>
              </w:rPr>
              <w:t>46,569</w:t>
            </w:r>
          </w:p>
        </w:tc>
        <w:tc>
          <w:tcPr>
            <w:tcW w:w="50" w:type="pct"/>
            <w:shd w:val="clear" w:color="auto" w:fill="FFFFFF"/>
            <w:vAlign w:val="center"/>
            <w:hideMark/>
          </w:tcPr>
          <w:p w14:paraId="4AA606FE" w14:textId="77777777" w:rsidR="00000000" w:rsidRDefault="00EB4933">
            <w:pPr>
              <w:pStyle w:val="NormalWeb"/>
              <w:spacing w:before="0" w:beforeAutospacing="0" w:after="0" w:afterAutospacing="0"/>
              <w:rPr>
                <w:sz w:val="20"/>
                <w:szCs w:val="20"/>
              </w:rPr>
            </w:pPr>
            <w:r>
              <w:rPr>
                <w:sz w:val="20"/>
                <w:szCs w:val="20"/>
              </w:rPr>
              <w:t> </w:t>
            </w:r>
          </w:p>
        </w:tc>
      </w:tr>
      <w:tr w:rsidR="00000000" w14:paraId="4EEE1B36" w14:textId="77777777">
        <w:trPr>
          <w:divId w:val="98525094"/>
          <w:trHeight w:val="225"/>
          <w:tblCellSpacing w:w="15" w:type="dxa"/>
        </w:trPr>
        <w:tc>
          <w:tcPr>
            <w:tcW w:w="0" w:type="auto"/>
            <w:shd w:val="clear" w:color="auto" w:fill="CCEEFF"/>
            <w:hideMark/>
          </w:tcPr>
          <w:p w14:paraId="36AA0477" w14:textId="77777777" w:rsidR="00000000" w:rsidRDefault="00EB4933">
            <w:pPr>
              <w:pStyle w:val="NormalWeb"/>
              <w:spacing w:before="0" w:beforeAutospacing="0" w:after="0" w:afterAutospacing="0"/>
              <w:rPr>
                <w:sz w:val="20"/>
                <w:szCs w:val="20"/>
              </w:rPr>
            </w:pPr>
            <w:r>
              <w:rPr>
                <w:sz w:val="20"/>
                <w:szCs w:val="20"/>
              </w:rPr>
              <w:t>Non-controlling interests</w:t>
            </w:r>
          </w:p>
        </w:tc>
        <w:tc>
          <w:tcPr>
            <w:tcW w:w="50" w:type="pct"/>
            <w:shd w:val="clear" w:color="auto" w:fill="CCEEFF"/>
            <w:vAlign w:val="center"/>
            <w:hideMark/>
          </w:tcPr>
          <w:p w14:paraId="337A077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B7E6AC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6BD4283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518B06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vAlign w:val="center"/>
            <w:hideMark/>
          </w:tcPr>
          <w:p w14:paraId="5F34768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AB4C0DB" w14:textId="77777777" w:rsidR="00000000" w:rsidRDefault="00EB4933">
            <w:pPr>
              <w:jc w:val="right"/>
              <w:rPr>
                <w:rFonts w:eastAsia="Times New Roman"/>
                <w:sz w:val="20"/>
                <w:szCs w:val="20"/>
              </w:rPr>
            </w:pPr>
            <w:r>
              <w:rPr>
                <w:rFonts w:eastAsia="Times New Roman"/>
                <w:sz w:val="20"/>
                <w:szCs w:val="20"/>
              </w:rPr>
              <w:t>5,765</w:t>
            </w:r>
          </w:p>
        </w:tc>
        <w:tc>
          <w:tcPr>
            <w:tcW w:w="50" w:type="pct"/>
            <w:shd w:val="clear" w:color="auto" w:fill="CCEEFF"/>
            <w:tcMar>
              <w:top w:w="0" w:type="dxa"/>
              <w:left w:w="0" w:type="dxa"/>
              <w:bottom w:w="15" w:type="dxa"/>
              <w:right w:w="0" w:type="dxa"/>
            </w:tcMar>
            <w:vAlign w:val="center"/>
            <w:hideMark/>
          </w:tcPr>
          <w:p w14:paraId="0357964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22C2FD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vAlign w:val="center"/>
            <w:hideMark/>
          </w:tcPr>
          <w:p w14:paraId="0433A74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CA5A277" w14:textId="77777777" w:rsidR="00000000" w:rsidRDefault="00EB4933">
            <w:pPr>
              <w:jc w:val="right"/>
              <w:rPr>
                <w:rFonts w:eastAsia="Times New Roman"/>
                <w:sz w:val="20"/>
                <w:szCs w:val="20"/>
              </w:rPr>
            </w:pPr>
            <w:r>
              <w:rPr>
                <w:rFonts w:eastAsia="Times New Roman"/>
                <w:sz w:val="20"/>
                <w:szCs w:val="20"/>
              </w:rPr>
              <w:t>1,754</w:t>
            </w:r>
          </w:p>
        </w:tc>
        <w:tc>
          <w:tcPr>
            <w:tcW w:w="50" w:type="pct"/>
            <w:shd w:val="clear" w:color="auto" w:fill="CCEEFF"/>
            <w:tcMar>
              <w:top w:w="0" w:type="dxa"/>
              <w:left w:w="0" w:type="dxa"/>
              <w:bottom w:w="15" w:type="dxa"/>
              <w:right w:w="0" w:type="dxa"/>
            </w:tcMar>
            <w:vAlign w:val="center"/>
            <w:hideMark/>
          </w:tcPr>
          <w:p w14:paraId="09568E3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89BA04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vAlign w:val="center"/>
            <w:hideMark/>
          </w:tcPr>
          <w:p w14:paraId="6561007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55B96F1" w14:textId="77777777" w:rsidR="00000000" w:rsidRDefault="00EB4933">
            <w:pPr>
              <w:jc w:val="right"/>
              <w:rPr>
                <w:rFonts w:eastAsia="Times New Roman"/>
                <w:sz w:val="20"/>
                <w:szCs w:val="20"/>
              </w:rPr>
            </w:pPr>
            <w:r>
              <w:rPr>
                <w:rFonts w:eastAsia="Times New Roman"/>
                <w:sz w:val="20"/>
                <w:szCs w:val="20"/>
              </w:rPr>
              <w:t>11,642</w:t>
            </w:r>
          </w:p>
        </w:tc>
        <w:tc>
          <w:tcPr>
            <w:tcW w:w="50" w:type="pct"/>
            <w:shd w:val="clear" w:color="auto" w:fill="CCEEFF"/>
            <w:tcMar>
              <w:top w:w="0" w:type="dxa"/>
              <w:left w:w="0" w:type="dxa"/>
              <w:bottom w:w="15" w:type="dxa"/>
              <w:right w:w="0" w:type="dxa"/>
            </w:tcMar>
            <w:vAlign w:val="center"/>
            <w:hideMark/>
          </w:tcPr>
          <w:p w14:paraId="35BA80DB" w14:textId="77777777" w:rsidR="00000000" w:rsidRDefault="00EB4933">
            <w:pPr>
              <w:pStyle w:val="NormalWeb"/>
              <w:spacing w:before="0" w:beforeAutospacing="0" w:after="0" w:afterAutospacing="0"/>
              <w:rPr>
                <w:sz w:val="20"/>
                <w:szCs w:val="20"/>
              </w:rPr>
            </w:pPr>
            <w:r>
              <w:rPr>
                <w:sz w:val="20"/>
                <w:szCs w:val="20"/>
              </w:rPr>
              <w:t> </w:t>
            </w:r>
          </w:p>
        </w:tc>
      </w:tr>
      <w:tr w:rsidR="00000000" w14:paraId="0EF2D0B2" w14:textId="77777777">
        <w:trPr>
          <w:divId w:val="98525094"/>
          <w:trHeight w:val="225"/>
          <w:tblCellSpacing w:w="15" w:type="dxa"/>
        </w:trPr>
        <w:tc>
          <w:tcPr>
            <w:tcW w:w="0" w:type="auto"/>
            <w:shd w:val="clear" w:color="auto" w:fill="FFFFFF"/>
            <w:hideMark/>
          </w:tcPr>
          <w:p w14:paraId="1F96D5AA" w14:textId="77777777" w:rsidR="00000000" w:rsidRDefault="00EB4933">
            <w:pPr>
              <w:pStyle w:val="NormalWeb"/>
              <w:spacing w:before="0" w:beforeAutospacing="0" w:after="0" w:afterAutospacing="0"/>
              <w:rPr>
                <w:sz w:val="20"/>
                <w:szCs w:val="20"/>
              </w:rPr>
            </w:pPr>
            <w:r>
              <w:rPr>
                <w:sz w:val="20"/>
                <w:szCs w:val="20"/>
              </w:rPr>
              <w:t>Total comprehensive income</w:t>
            </w:r>
          </w:p>
        </w:tc>
        <w:tc>
          <w:tcPr>
            <w:tcW w:w="50" w:type="pct"/>
            <w:shd w:val="clear" w:color="auto" w:fill="FFFFFF"/>
            <w:vAlign w:val="center"/>
            <w:hideMark/>
          </w:tcPr>
          <w:p w14:paraId="788F959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76A18C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7C460F4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26C496A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vAlign w:val="center"/>
            <w:hideMark/>
          </w:tcPr>
          <w:p w14:paraId="5ED403F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06AA0F21" w14:textId="77777777" w:rsidR="00000000" w:rsidRDefault="00EB4933">
            <w:pPr>
              <w:jc w:val="right"/>
              <w:rPr>
                <w:rFonts w:eastAsia="Times New Roman"/>
                <w:sz w:val="20"/>
                <w:szCs w:val="20"/>
              </w:rPr>
            </w:pPr>
            <w:r>
              <w:rPr>
                <w:rFonts w:eastAsia="Times New Roman"/>
                <w:sz w:val="20"/>
                <w:szCs w:val="20"/>
              </w:rPr>
              <w:t>28,826</w:t>
            </w:r>
          </w:p>
        </w:tc>
        <w:tc>
          <w:tcPr>
            <w:tcW w:w="50" w:type="pct"/>
            <w:shd w:val="clear" w:color="auto" w:fill="FFFFFF"/>
            <w:tcMar>
              <w:top w:w="0" w:type="dxa"/>
              <w:left w:w="0" w:type="dxa"/>
              <w:bottom w:w="45" w:type="dxa"/>
              <w:right w:w="0" w:type="dxa"/>
            </w:tcMar>
            <w:vAlign w:val="center"/>
            <w:hideMark/>
          </w:tcPr>
          <w:p w14:paraId="45130F0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07342F3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vAlign w:val="center"/>
            <w:hideMark/>
          </w:tcPr>
          <w:p w14:paraId="78037F1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392F3460" w14:textId="77777777" w:rsidR="00000000" w:rsidRDefault="00EB4933">
            <w:pPr>
              <w:jc w:val="right"/>
              <w:rPr>
                <w:rFonts w:eastAsia="Times New Roman"/>
                <w:sz w:val="20"/>
                <w:szCs w:val="20"/>
              </w:rPr>
            </w:pPr>
            <w:r>
              <w:rPr>
                <w:rFonts w:eastAsia="Times New Roman"/>
                <w:sz w:val="20"/>
                <w:szCs w:val="20"/>
              </w:rPr>
              <w:t>8,771</w:t>
            </w:r>
          </w:p>
        </w:tc>
        <w:tc>
          <w:tcPr>
            <w:tcW w:w="50" w:type="pct"/>
            <w:shd w:val="clear" w:color="auto" w:fill="FFFFFF"/>
            <w:tcMar>
              <w:top w:w="0" w:type="dxa"/>
              <w:left w:w="0" w:type="dxa"/>
              <w:bottom w:w="45" w:type="dxa"/>
              <w:right w:w="0" w:type="dxa"/>
            </w:tcMar>
            <w:vAlign w:val="center"/>
            <w:hideMark/>
          </w:tcPr>
          <w:p w14:paraId="62F9288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0B93D0B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vAlign w:val="center"/>
            <w:hideMark/>
          </w:tcPr>
          <w:p w14:paraId="40BA5C3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486F6C43" w14:textId="77777777" w:rsidR="00000000" w:rsidRDefault="00EB4933">
            <w:pPr>
              <w:jc w:val="right"/>
              <w:rPr>
                <w:rFonts w:eastAsia="Times New Roman"/>
                <w:sz w:val="20"/>
                <w:szCs w:val="20"/>
              </w:rPr>
            </w:pPr>
            <w:r>
              <w:rPr>
                <w:rFonts w:eastAsia="Times New Roman"/>
                <w:sz w:val="20"/>
                <w:szCs w:val="20"/>
              </w:rPr>
              <w:t>58,211</w:t>
            </w:r>
          </w:p>
        </w:tc>
        <w:tc>
          <w:tcPr>
            <w:tcW w:w="50" w:type="pct"/>
            <w:shd w:val="clear" w:color="auto" w:fill="FFFFFF"/>
            <w:tcMar>
              <w:top w:w="0" w:type="dxa"/>
              <w:left w:w="0" w:type="dxa"/>
              <w:bottom w:w="45" w:type="dxa"/>
              <w:right w:w="0" w:type="dxa"/>
            </w:tcMar>
            <w:vAlign w:val="center"/>
            <w:hideMark/>
          </w:tcPr>
          <w:p w14:paraId="75992379" w14:textId="77777777" w:rsidR="00000000" w:rsidRDefault="00EB4933">
            <w:pPr>
              <w:pStyle w:val="NormalWeb"/>
              <w:spacing w:before="0" w:beforeAutospacing="0" w:after="0" w:afterAutospacing="0"/>
              <w:rPr>
                <w:sz w:val="20"/>
                <w:szCs w:val="20"/>
              </w:rPr>
            </w:pPr>
            <w:r>
              <w:rPr>
                <w:sz w:val="20"/>
                <w:szCs w:val="20"/>
              </w:rPr>
              <w:t> </w:t>
            </w:r>
          </w:p>
        </w:tc>
      </w:tr>
      <w:tr w:rsidR="00000000" w14:paraId="7ACD31E9" w14:textId="77777777">
        <w:trPr>
          <w:divId w:val="98525094"/>
          <w:trHeight w:val="225"/>
          <w:tblCellSpacing w:w="15" w:type="dxa"/>
        </w:trPr>
        <w:tc>
          <w:tcPr>
            <w:tcW w:w="0" w:type="auto"/>
            <w:shd w:val="clear" w:color="auto" w:fill="CCEEFF"/>
            <w:vAlign w:val="center"/>
            <w:hideMark/>
          </w:tcPr>
          <w:p w14:paraId="143CFA5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025C552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B3BEE4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3530A7E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6A5594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305EB9E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D0ECD3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7BE3082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FBC85D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0E67D35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0236D9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A305AE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1C1B2A7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593961C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9684EB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01A03991" w14:textId="77777777" w:rsidR="00000000" w:rsidRDefault="00EB4933">
            <w:pPr>
              <w:pStyle w:val="NormalWeb"/>
              <w:spacing w:before="0" w:beforeAutospacing="0" w:after="0" w:afterAutospacing="0"/>
              <w:rPr>
                <w:sz w:val="20"/>
                <w:szCs w:val="20"/>
              </w:rPr>
            </w:pPr>
            <w:r>
              <w:rPr>
                <w:sz w:val="20"/>
                <w:szCs w:val="20"/>
              </w:rPr>
              <w:t> </w:t>
            </w:r>
          </w:p>
        </w:tc>
      </w:tr>
      <w:tr w:rsidR="00000000" w14:paraId="0FB06378" w14:textId="77777777">
        <w:trPr>
          <w:divId w:val="98525094"/>
          <w:trHeight w:val="225"/>
          <w:tblCellSpacing w:w="15" w:type="dxa"/>
        </w:trPr>
        <w:tc>
          <w:tcPr>
            <w:tcW w:w="0" w:type="auto"/>
            <w:shd w:val="clear" w:color="auto" w:fill="FFFFFF"/>
            <w:hideMark/>
          </w:tcPr>
          <w:p w14:paraId="2D00A75E" w14:textId="77777777" w:rsidR="00000000" w:rsidRDefault="00EB4933">
            <w:pPr>
              <w:pStyle w:val="NormalWeb"/>
              <w:spacing w:before="0" w:beforeAutospacing="0" w:after="0" w:afterAutospacing="0"/>
              <w:rPr>
                <w:sz w:val="20"/>
                <w:szCs w:val="20"/>
              </w:rPr>
            </w:pPr>
            <w:r>
              <w:rPr>
                <w:sz w:val="20"/>
                <w:szCs w:val="20"/>
              </w:rPr>
              <w:t>Basic and diluted earnings per share for the profit attributable to the equity holders of the Company during the year (expressed in RMB per share)</w:t>
            </w:r>
          </w:p>
        </w:tc>
        <w:tc>
          <w:tcPr>
            <w:tcW w:w="50" w:type="pct"/>
            <w:shd w:val="clear" w:color="auto" w:fill="FFFFFF"/>
            <w:vAlign w:val="center"/>
            <w:hideMark/>
          </w:tcPr>
          <w:p w14:paraId="0D21799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841A743" w14:textId="77777777" w:rsidR="00000000" w:rsidRDefault="00EB4933">
            <w:pPr>
              <w:pStyle w:val="NormalWeb"/>
              <w:spacing w:before="0" w:beforeAutospacing="0" w:after="0" w:afterAutospacing="0"/>
              <w:jc w:val="center"/>
              <w:rPr>
                <w:sz w:val="20"/>
                <w:szCs w:val="20"/>
              </w:rPr>
            </w:pPr>
            <w:r>
              <w:rPr>
                <w:sz w:val="20"/>
                <w:szCs w:val="20"/>
              </w:rPr>
              <w:t>12</w:t>
            </w:r>
          </w:p>
        </w:tc>
        <w:tc>
          <w:tcPr>
            <w:tcW w:w="50" w:type="pct"/>
            <w:shd w:val="clear" w:color="auto" w:fill="FFFFFF"/>
            <w:vAlign w:val="center"/>
            <w:hideMark/>
          </w:tcPr>
          <w:p w14:paraId="69BA8B4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347E301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68086BA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617ACF5" w14:textId="77777777" w:rsidR="00000000" w:rsidRDefault="00EB4933">
            <w:pPr>
              <w:jc w:val="right"/>
              <w:rPr>
                <w:rFonts w:eastAsia="Times New Roman"/>
                <w:sz w:val="20"/>
                <w:szCs w:val="20"/>
              </w:rPr>
            </w:pPr>
            <w:r>
              <w:rPr>
                <w:rFonts w:eastAsia="Times New Roman"/>
                <w:sz w:val="20"/>
                <w:szCs w:val="20"/>
              </w:rPr>
              <w:t>0.10</w:t>
            </w:r>
          </w:p>
        </w:tc>
        <w:tc>
          <w:tcPr>
            <w:tcW w:w="50" w:type="pct"/>
            <w:shd w:val="clear" w:color="auto" w:fill="FFFFFF"/>
            <w:vAlign w:val="center"/>
            <w:hideMark/>
          </w:tcPr>
          <w:p w14:paraId="7552F61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0AB6B37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1E0F5BD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E43BDEB" w14:textId="77777777" w:rsidR="00000000" w:rsidRDefault="00EB4933">
            <w:pPr>
              <w:jc w:val="right"/>
              <w:rPr>
                <w:rFonts w:eastAsia="Times New Roman"/>
                <w:sz w:val="20"/>
                <w:szCs w:val="20"/>
              </w:rPr>
            </w:pPr>
            <w:r>
              <w:rPr>
                <w:rFonts w:eastAsia="Times New Roman"/>
                <w:sz w:val="20"/>
                <w:szCs w:val="20"/>
              </w:rPr>
              <w:t>0.01</w:t>
            </w:r>
          </w:p>
        </w:tc>
        <w:tc>
          <w:tcPr>
            <w:tcW w:w="50" w:type="pct"/>
            <w:shd w:val="clear" w:color="auto" w:fill="FFFFFF"/>
            <w:vAlign w:val="center"/>
            <w:hideMark/>
          </w:tcPr>
          <w:p w14:paraId="17D9C6A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18A6A5D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4C34491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CE61051" w14:textId="77777777" w:rsidR="00000000" w:rsidRDefault="00EB4933">
            <w:pPr>
              <w:jc w:val="right"/>
              <w:rPr>
                <w:rFonts w:eastAsia="Times New Roman"/>
                <w:sz w:val="20"/>
                <w:szCs w:val="20"/>
              </w:rPr>
            </w:pPr>
            <w:r>
              <w:rPr>
                <w:rFonts w:eastAsia="Times New Roman"/>
                <w:sz w:val="20"/>
                <w:szCs w:val="20"/>
              </w:rPr>
              <w:t>0.05</w:t>
            </w:r>
          </w:p>
        </w:tc>
        <w:tc>
          <w:tcPr>
            <w:tcW w:w="50" w:type="pct"/>
            <w:shd w:val="clear" w:color="auto" w:fill="FFFFFF"/>
            <w:vAlign w:val="center"/>
            <w:hideMark/>
          </w:tcPr>
          <w:p w14:paraId="710CB609" w14:textId="77777777" w:rsidR="00000000" w:rsidRDefault="00EB4933">
            <w:pPr>
              <w:pStyle w:val="NormalWeb"/>
              <w:spacing w:before="0" w:beforeAutospacing="0" w:after="0" w:afterAutospacing="0"/>
              <w:rPr>
                <w:sz w:val="20"/>
                <w:szCs w:val="20"/>
              </w:rPr>
            </w:pPr>
            <w:r>
              <w:rPr>
                <w:sz w:val="20"/>
                <w:szCs w:val="20"/>
              </w:rPr>
              <w:t> </w:t>
            </w:r>
          </w:p>
        </w:tc>
      </w:tr>
      <w:tr w:rsidR="00000000" w14:paraId="485DC58B" w14:textId="77777777">
        <w:trPr>
          <w:divId w:val="98525094"/>
          <w:trHeight w:val="225"/>
          <w:tblCellSpacing w:w="15" w:type="dxa"/>
        </w:trPr>
        <w:tc>
          <w:tcPr>
            <w:tcW w:w="0" w:type="auto"/>
            <w:shd w:val="clear" w:color="auto" w:fill="CCEEFF"/>
            <w:hideMark/>
          </w:tcPr>
          <w:p w14:paraId="7CE4B128" w14:textId="77777777" w:rsidR="00000000" w:rsidRDefault="00EB4933">
            <w:pPr>
              <w:pStyle w:val="NormalWeb"/>
              <w:spacing w:before="0" w:beforeAutospacing="0" w:after="0" w:afterAutospacing="0"/>
              <w:rPr>
                <w:sz w:val="20"/>
                <w:szCs w:val="20"/>
              </w:rPr>
            </w:pPr>
            <w:r>
              <w:rPr>
                <w:sz w:val="20"/>
                <w:szCs w:val="20"/>
              </w:rPr>
              <w:t>Weighted average number of shares outstanding in the year</w:t>
            </w:r>
          </w:p>
        </w:tc>
        <w:tc>
          <w:tcPr>
            <w:tcW w:w="50" w:type="pct"/>
            <w:shd w:val="clear" w:color="auto" w:fill="CCEEFF"/>
            <w:vAlign w:val="center"/>
            <w:hideMark/>
          </w:tcPr>
          <w:p w14:paraId="6C6D3F1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61972FA" w14:textId="77777777" w:rsidR="00000000" w:rsidRDefault="00EB4933">
            <w:pPr>
              <w:pStyle w:val="NormalWeb"/>
              <w:spacing w:before="0" w:beforeAutospacing="0" w:after="0" w:afterAutospacing="0"/>
              <w:jc w:val="center"/>
              <w:rPr>
                <w:sz w:val="20"/>
                <w:szCs w:val="20"/>
              </w:rPr>
            </w:pPr>
            <w:r>
              <w:rPr>
                <w:sz w:val="20"/>
                <w:szCs w:val="20"/>
              </w:rPr>
              <w:t>12</w:t>
            </w:r>
          </w:p>
        </w:tc>
        <w:tc>
          <w:tcPr>
            <w:tcW w:w="50" w:type="pct"/>
            <w:shd w:val="clear" w:color="auto" w:fill="CCEEFF"/>
            <w:vAlign w:val="center"/>
            <w:hideMark/>
          </w:tcPr>
          <w:p w14:paraId="095CA7C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429D57A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938A41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CFCF5CD" w14:textId="77777777" w:rsidR="00000000" w:rsidRDefault="00EB4933">
            <w:pPr>
              <w:jc w:val="right"/>
              <w:rPr>
                <w:rFonts w:eastAsia="Times New Roman"/>
                <w:sz w:val="20"/>
                <w:szCs w:val="20"/>
              </w:rPr>
            </w:pPr>
            <w:r>
              <w:rPr>
                <w:rFonts w:eastAsia="Times New Roman"/>
                <w:sz w:val="20"/>
                <w:szCs w:val="20"/>
              </w:rPr>
              <w:t>236,180,071</w:t>
            </w:r>
          </w:p>
        </w:tc>
        <w:tc>
          <w:tcPr>
            <w:tcW w:w="50" w:type="pct"/>
            <w:shd w:val="clear" w:color="auto" w:fill="CCEEFF"/>
            <w:vAlign w:val="center"/>
            <w:hideMark/>
          </w:tcPr>
          <w:p w14:paraId="0F6EB0B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47D031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6AED4BB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C7DD58A" w14:textId="77777777" w:rsidR="00000000" w:rsidRDefault="00EB4933">
            <w:pPr>
              <w:jc w:val="right"/>
              <w:rPr>
                <w:rFonts w:eastAsia="Times New Roman"/>
                <w:sz w:val="20"/>
                <w:szCs w:val="20"/>
              </w:rPr>
            </w:pPr>
            <w:r>
              <w:rPr>
                <w:rFonts w:eastAsia="Times New Roman"/>
                <w:sz w:val="20"/>
                <w:szCs w:val="20"/>
              </w:rPr>
              <w:t>1,000,171,839</w:t>
            </w:r>
          </w:p>
        </w:tc>
        <w:tc>
          <w:tcPr>
            <w:tcW w:w="50" w:type="pct"/>
            <w:shd w:val="clear" w:color="auto" w:fill="CCEEFF"/>
            <w:vAlign w:val="center"/>
            <w:hideMark/>
          </w:tcPr>
          <w:p w14:paraId="7275DBE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2E8340A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vAlign w:val="center"/>
            <w:hideMark/>
          </w:tcPr>
          <w:p w14:paraId="7C53546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3D9CD2F" w14:textId="77777777" w:rsidR="00000000" w:rsidRDefault="00EB4933">
            <w:pPr>
              <w:jc w:val="right"/>
              <w:rPr>
                <w:rFonts w:eastAsia="Times New Roman"/>
                <w:sz w:val="20"/>
                <w:szCs w:val="20"/>
              </w:rPr>
            </w:pPr>
            <w:r>
              <w:rPr>
                <w:rFonts w:eastAsia="Times New Roman"/>
                <w:sz w:val="20"/>
                <w:szCs w:val="20"/>
              </w:rPr>
              <w:t>1,001,046,568</w:t>
            </w:r>
          </w:p>
        </w:tc>
        <w:tc>
          <w:tcPr>
            <w:tcW w:w="50" w:type="pct"/>
            <w:shd w:val="clear" w:color="auto" w:fill="CCEEFF"/>
            <w:vAlign w:val="center"/>
            <w:hideMark/>
          </w:tcPr>
          <w:p w14:paraId="75A14EED" w14:textId="77777777" w:rsidR="00000000" w:rsidRDefault="00EB4933">
            <w:pPr>
              <w:pStyle w:val="NormalWeb"/>
              <w:spacing w:before="0" w:beforeAutospacing="0" w:after="0" w:afterAutospacing="0"/>
              <w:rPr>
                <w:sz w:val="20"/>
                <w:szCs w:val="20"/>
              </w:rPr>
            </w:pPr>
            <w:r>
              <w:rPr>
                <w:sz w:val="20"/>
                <w:szCs w:val="20"/>
              </w:rPr>
              <w:t> </w:t>
            </w:r>
          </w:p>
        </w:tc>
      </w:tr>
      <w:tr w:rsidR="00000000" w14:paraId="45336920" w14:textId="77777777">
        <w:trPr>
          <w:divId w:val="98525094"/>
          <w:trHeight w:val="225"/>
          <w:tblCellSpacing w:w="15" w:type="dxa"/>
        </w:trPr>
        <w:tc>
          <w:tcPr>
            <w:tcW w:w="0" w:type="auto"/>
            <w:shd w:val="clear" w:color="auto" w:fill="FFFFFF"/>
            <w:vAlign w:val="center"/>
            <w:hideMark/>
          </w:tcPr>
          <w:p w14:paraId="5070519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7FF7F85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6FFB2B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7A7819D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6C83C3D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15FBEEB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D008D9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194571F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1830DD2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25A005C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70A14B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28C8474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26644AF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709D829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5A8651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vAlign w:val="center"/>
            <w:hideMark/>
          </w:tcPr>
          <w:p w14:paraId="083A71FB" w14:textId="77777777" w:rsidR="00000000" w:rsidRDefault="00EB4933">
            <w:pPr>
              <w:pStyle w:val="NormalWeb"/>
              <w:spacing w:before="0" w:beforeAutospacing="0" w:after="0" w:afterAutospacing="0"/>
              <w:rPr>
                <w:sz w:val="20"/>
                <w:szCs w:val="20"/>
              </w:rPr>
            </w:pPr>
            <w:r>
              <w:rPr>
                <w:sz w:val="20"/>
                <w:szCs w:val="20"/>
              </w:rPr>
              <w:t> </w:t>
            </w:r>
          </w:p>
        </w:tc>
      </w:tr>
    </w:tbl>
    <w:p w14:paraId="6054BA47"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2D7B24D7" w14:textId="77777777" w:rsidR="00000000" w:rsidRDefault="00EB4933">
      <w:pPr>
        <w:pStyle w:val="NormalWeb"/>
        <w:spacing w:before="0" w:beforeAutospacing="0" w:after="0" w:afterAutospacing="0"/>
        <w:jc w:val="center"/>
        <w:divId w:val="98525094"/>
        <w:rPr>
          <w:sz w:val="20"/>
          <w:szCs w:val="20"/>
        </w:rPr>
      </w:pPr>
      <w:r>
        <w:rPr>
          <w:sz w:val="20"/>
          <w:szCs w:val="20"/>
        </w:rPr>
        <w:t>The Annexed notes form an integral part of and should be read in conjunction with the consolidated financial statements.</w:t>
      </w:r>
    </w:p>
    <w:p w14:paraId="684106EC"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DADC325" w14:textId="77777777">
        <w:trPr>
          <w:divId w:val="98525094"/>
          <w:trHeight w:val="225"/>
          <w:tblCellSpacing w:w="15" w:type="dxa"/>
        </w:trPr>
        <w:tc>
          <w:tcPr>
            <w:tcW w:w="0" w:type="auto"/>
            <w:vAlign w:val="center"/>
            <w:hideMark/>
          </w:tcPr>
          <w:p w14:paraId="21B37C21" w14:textId="77777777" w:rsidR="00000000" w:rsidRDefault="00EB4933">
            <w:pPr>
              <w:rPr>
                <w:rFonts w:eastAsia="Times New Roman"/>
                <w:sz w:val="20"/>
                <w:szCs w:val="20"/>
              </w:rPr>
            </w:pPr>
            <w:r>
              <w:rPr>
                <w:rFonts w:eastAsia="Times New Roman"/>
                <w:sz w:val="20"/>
                <w:szCs w:val="20"/>
              </w:rPr>
              <w:t> </w:t>
            </w:r>
          </w:p>
        </w:tc>
      </w:tr>
      <w:tr w:rsidR="00000000" w14:paraId="22EC5CA8" w14:textId="77777777">
        <w:trPr>
          <w:divId w:val="98525094"/>
          <w:trHeight w:val="225"/>
          <w:tblCellSpacing w:w="15" w:type="dxa"/>
        </w:trPr>
        <w:tc>
          <w:tcPr>
            <w:tcW w:w="0" w:type="auto"/>
            <w:tcBorders>
              <w:bottom w:val="single" w:sz="6" w:space="0" w:color="000000"/>
            </w:tcBorders>
            <w:vAlign w:val="center"/>
            <w:hideMark/>
          </w:tcPr>
          <w:p w14:paraId="0E245563" w14:textId="77777777" w:rsidR="00000000" w:rsidRDefault="00EB4933">
            <w:pPr>
              <w:jc w:val="center"/>
              <w:rPr>
                <w:rFonts w:eastAsia="Times New Roman"/>
                <w:sz w:val="20"/>
                <w:szCs w:val="20"/>
              </w:rPr>
            </w:pPr>
            <w:r>
              <w:rPr>
                <w:rFonts w:eastAsia="Times New Roman"/>
                <w:sz w:val="20"/>
                <w:szCs w:val="20"/>
              </w:rPr>
              <w:t>F-5</w:t>
            </w:r>
          </w:p>
        </w:tc>
      </w:tr>
      <w:tr w:rsidR="00000000" w14:paraId="28BC70B7" w14:textId="77777777">
        <w:trPr>
          <w:divId w:val="98525094"/>
          <w:trHeight w:val="225"/>
          <w:tblCellSpacing w:w="15" w:type="dxa"/>
        </w:trPr>
        <w:tc>
          <w:tcPr>
            <w:tcW w:w="0" w:type="auto"/>
            <w:vAlign w:val="center"/>
            <w:hideMark/>
          </w:tcPr>
          <w:p w14:paraId="60AB5A84" w14:textId="77777777" w:rsidR="00000000" w:rsidRDefault="00EB4933">
            <w:pPr>
              <w:rPr>
                <w:rFonts w:eastAsia="Times New Roman"/>
                <w:sz w:val="20"/>
                <w:szCs w:val="20"/>
              </w:rPr>
            </w:pPr>
          </w:p>
        </w:tc>
      </w:tr>
      <w:tr w:rsidR="00000000" w14:paraId="1D2FE00F" w14:textId="77777777">
        <w:trPr>
          <w:divId w:val="98525094"/>
          <w:trHeight w:val="225"/>
          <w:tblCellSpacing w:w="15" w:type="dxa"/>
        </w:trPr>
        <w:tc>
          <w:tcPr>
            <w:tcW w:w="0" w:type="auto"/>
            <w:vAlign w:val="center"/>
            <w:hideMark/>
          </w:tcPr>
          <w:p w14:paraId="603CF27F" w14:textId="77777777" w:rsidR="00000000" w:rsidRDefault="00EB4933">
            <w:pPr>
              <w:rPr>
                <w:rFonts w:eastAsia="Times New Roman"/>
                <w:sz w:val="20"/>
                <w:szCs w:val="20"/>
              </w:rPr>
            </w:pPr>
            <w:hyperlink r:id="rId222" w:anchor="finindex" w:history="1">
              <w:r>
                <w:rPr>
                  <w:rStyle w:val="Hyperlink"/>
                  <w:rFonts w:eastAsia="Times New Roman"/>
                  <w:i/>
                  <w:iCs/>
                  <w:sz w:val="20"/>
                  <w:szCs w:val="20"/>
                </w:rPr>
                <w:t>Table of Contents</w:t>
              </w:r>
            </w:hyperlink>
          </w:p>
        </w:tc>
      </w:tr>
    </w:tbl>
    <w:p w14:paraId="50B364D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D3020DD" w14:textId="77777777" w:rsidR="00000000" w:rsidRDefault="00EB4933">
      <w:pPr>
        <w:pStyle w:val="NormalWeb"/>
        <w:spacing w:before="0" w:beforeAutospacing="0" w:after="0" w:afterAutospacing="0"/>
        <w:jc w:val="center"/>
        <w:divId w:val="98525094"/>
        <w:rPr>
          <w:sz w:val="20"/>
          <w:szCs w:val="20"/>
        </w:rPr>
      </w:pPr>
      <w:bookmarkStart w:id="37" w:name="sop"/>
      <w:r>
        <w:rPr>
          <w:rStyle w:val="Strong"/>
          <w:sz w:val="20"/>
          <w:szCs w:val="20"/>
        </w:rPr>
        <w:t>DUNXIN FINANCIAL HOLDINGS LIMITED</w:t>
      </w:r>
      <w:bookmarkEnd w:id="37"/>
    </w:p>
    <w:p w14:paraId="0A697DD4"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CONSOLIDATED STATEMENTS OF FINANCIAL POSITION</w:t>
      </w:r>
    </w:p>
    <w:p w14:paraId="0C0CE2B2"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(Expressed in Thousands of Chinese Renminbi Yuan)</w:t>
      </w:r>
    </w:p>
    <w:p w14:paraId="65616E60"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As at December 31, 2018 and 2019</w:t>
      </w:r>
    </w:p>
    <w:p w14:paraId="65D43D0D" w14:textId="77777777" w:rsidR="00000000" w:rsidRDefault="00EB4933">
      <w:pPr>
        <w:pStyle w:val="NormalWeb"/>
        <w:spacing w:before="0" w:beforeAutospacing="0" w:after="0" w:afterAutospacing="0"/>
        <w:jc w:val="center"/>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875"/>
        <w:gridCol w:w="119"/>
        <w:gridCol w:w="837"/>
        <w:gridCol w:w="120"/>
        <w:gridCol w:w="120"/>
        <w:gridCol w:w="120"/>
        <w:gridCol w:w="837"/>
        <w:gridCol w:w="120"/>
        <w:gridCol w:w="120"/>
        <w:gridCol w:w="120"/>
        <w:gridCol w:w="837"/>
        <w:gridCol w:w="135"/>
      </w:tblGrid>
      <w:tr w:rsidR="00000000" w14:paraId="771059D2" w14:textId="77777777">
        <w:trPr>
          <w:divId w:val="98525094"/>
          <w:trHeight w:val="225"/>
          <w:tblCellSpacing w:w="15" w:type="dxa"/>
        </w:trPr>
        <w:tc>
          <w:tcPr>
            <w:tcW w:w="0" w:type="auto"/>
            <w:vAlign w:val="center"/>
            <w:hideMark/>
          </w:tcPr>
          <w:p w14:paraId="1A37164F"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E5F8E7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vAlign w:val="bottom"/>
            <w:hideMark/>
          </w:tcPr>
          <w:p w14:paraId="42E96D28" w14:textId="77777777" w:rsidR="00000000" w:rsidRDefault="00EB4933">
            <w:pPr>
              <w:pStyle w:val="NormalWeb"/>
              <w:spacing w:before="0" w:beforeAutospacing="0" w:after="0" w:afterAutospacing="0"/>
              <w:jc w:val="center"/>
              <w:rPr>
                <w:sz w:val="20"/>
                <w:szCs w:val="20"/>
              </w:rPr>
            </w:pPr>
            <w:r>
              <w:rPr>
                <w:rStyle w:val="Strong"/>
                <w:sz w:val="20"/>
                <w:szCs w:val="20"/>
              </w:rPr>
              <w:t>Note</w:t>
            </w:r>
          </w:p>
        </w:tc>
        <w:tc>
          <w:tcPr>
            <w:tcW w:w="0" w:type="auto"/>
            <w:noWrap/>
            <w:tcMar>
              <w:top w:w="0" w:type="dxa"/>
              <w:left w:w="0" w:type="dxa"/>
              <w:bottom w:w="15" w:type="dxa"/>
              <w:right w:w="0" w:type="dxa"/>
            </w:tcMar>
            <w:vAlign w:val="center"/>
            <w:hideMark/>
          </w:tcPr>
          <w:p w14:paraId="100D700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E8F5D8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D03416F"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tcMar>
              <w:top w:w="0" w:type="dxa"/>
              <w:left w:w="0" w:type="dxa"/>
              <w:bottom w:w="15" w:type="dxa"/>
              <w:right w:w="0" w:type="dxa"/>
            </w:tcMar>
            <w:vAlign w:val="center"/>
            <w:hideMark/>
          </w:tcPr>
          <w:p w14:paraId="50F206E1"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FFED17C"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DB76388"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tcMar>
              <w:top w:w="0" w:type="dxa"/>
              <w:left w:w="0" w:type="dxa"/>
              <w:bottom w:w="15" w:type="dxa"/>
              <w:right w:w="0" w:type="dxa"/>
            </w:tcMar>
            <w:vAlign w:val="center"/>
            <w:hideMark/>
          </w:tcPr>
          <w:p w14:paraId="1F721806" w14:textId="77777777" w:rsidR="00000000" w:rsidRDefault="00EB4933">
            <w:pPr>
              <w:pStyle w:val="NormalWeb"/>
              <w:spacing w:before="0" w:beforeAutospacing="0" w:after="0" w:afterAutospacing="0"/>
              <w:rPr>
                <w:sz w:val="20"/>
                <w:szCs w:val="20"/>
              </w:rPr>
            </w:pPr>
            <w:r>
              <w:rPr>
                <w:sz w:val="20"/>
                <w:szCs w:val="20"/>
              </w:rPr>
              <w:t> </w:t>
            </w:r>
          </w:p>
        </w:tc>
      </w:tr>
      <w:tr w:rsidR="00000000" w14:paraId="0E4947C1" w14:textId="77777777">
        <w:trPr>
          <w:divId w:val="98525094"/>
          <w:trHeight w:val="225"/>
          <w:tblCellSpacing w:w="15" w:type="dxa"/>
        </w:trPr>
        <w:tc>
          <w:tcPr>
            <w:tcW w:w="0" w:type="auto"/>
            <w:vAlign w:val="center"/>
            <w:hideMark/>
          </w:tcPr>
          <w:p w14:paraId="4952BD9B"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640C7F1" w14:textId="77777777" w:rsidR="00000000" w:rsidRDefault="00EB4933">
            <w:pPr>
              <w:pStyle w:val="NormalWeb"/>
              <w:spacing w:before="0" w:beforeAutospacing="0" w:after="0" w:afterAutospacing="0"/>
              <w:rPr>
                <w:sz w:val="20"/>
                <w:szCs w:val="20"/>
              </w:rPr>
            </w:pPr>
            <w:r>
              <w:rPr>
                <w:sz w:val="20"/>
                <w:szCs w:val="20"/>
              </w:rPr>
              <w:t> </w:t>
            </w:r>
          </w:p>
        </w:tc>
        <w:tc>
          <w:tcPr>
            <w:tcW w:w="450" w:type="pct"/>
            <w:vAlign w:val="center"/>
            <w:hideMark/>
          </w:tcPr>
          <w:p w14:paraId="7E4319DA"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F43ADF6"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275BA9E"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498509CD"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FD5E57A"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BD1314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435CD806"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BD8267C" w14:textId="77777777" w:rsidR="00000000" w:rsidRDefault="00EB4933">
            <w:pPr>
              <w:pStyle w:val="NormalWeb"/>
              <w:spacing w:before="0" w:beforeAutospacing="0" w:after="0" w:afterAutospacing="0"/>
              <w:rPr>
                <w:sz w:val="20"/>
                <w:szCs w:val="20"/>
              </w:rPr>
            </w:pPr>
            <w:r>
              <w:rPr>
                <w:sz w:val="20"/>
                <w:szCs w:val="20"/>
              </w:rPr>
              <w:t> </w:t>
            </w:r>
          </w:p>
        </w:tc>
      </w:tr>
      <w:tr w:rsidR="00000000" w14:paraId="0672AEFB" w14:textId="77777777">
        <w:trPr>
          <w:divId w:val="98525094"/>
          <w:trHeight w:val="225"/>
          <w:tblCellSpacing w:w="15" w:type="dxa"/>
        </w:trPr>
        <w:tc>
          <w:tcPr>
            <w:tcW w:w="0" w:type="auto"/>
            <w:hideMark/>
          </w:tcPr>
          <w:p w14:paraId="2C526F63" w14:textId="77777777" w:rsidR="00000000" w:rsidRDefault="00EB4933">
            <w:pPr>
              <w:pStyle w:val="NormalWeb"/>
              <w:spacing w:before="0" w:beforeAutospacing="0" w:after="0" w:afterAutospacing="0"/>
              <w:rPr>
                <w:sz w:val="20"/>
                <w:szCs w:val="20"/>
              </w:rPr>
            </w:pPr>
            <w:r>
              <w:rPr>
                <w:rStyle w:val="Strong"/>
                <w:sz w:val="20"/>
                <w:szCs w:val="20"/>
              </w:rPr>
              <w:t>ASSETS</w:t>
            </w:r>
          </w:p>
        </w:tc>
        <w:tc>
          <w:tcPr>
            <w:tcW w:w="50" w:type="pct"/>
            <w:noWrap/>
            <w:vAlign w:val="center"/>
            <w:hideMark/>
          </w:tcPr>
          <w:p w14:paraId="7187EC3F" w14:textId="77777777" w:rsidR="00000000" w:rsidRDefault="00EB4933">
            <w:pPr>
              <w:pStyle w:val="NormalWeb"/>
              <w:spacing w:before="0" w:beforeAutospacing="0" w:after="0" w:afterAutospacing="0"/>
              <w:rPr>
                <w:sz w:val="20"/>
                <w:szCs w:val="20"/>
              </w:rPr>
            </w:pPr>
            <w:r>
              <w:rPr>
                <w:sz w:val="20"/>
                <w:szCs w:val="20"/>
              </w:rPr>
              <w:t> </w:t>
            </w:r>
          </w:p>
        </w:tc>
        <w:tc>
          <w:tcPr>
            <w:tcW w:w="450" w:type="pct"/>
            <w:vAlign w:val="center"/>
            <w:hideMark/>
          </w:tcPr>
          <w:p w14:paraId="067F3170"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898559A"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718CC7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D68AAB3"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3697B14"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0A3973E"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0EEDEB6F"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86DC6DB" w14:textId="77777777" w:rsidR="00000000" w:rsidRDefault="00EB4933">
            <w:pPr>
              <w:pStyle w:val="NormalWeb"/>
              <w:spacing w:before="0" w:beforeAutospacing="0" w:after="0" w:afterAutospacing="0"/>
              <w:rPr>
                <w:sz w:val="20"/>
                <w:szCs w:val="20"/>
              </w:rPr>
            </w:pPr>
            <w:r>
              <w:rPr>
                <w:sz w:val="20"/>
                <w:szCs w:val="20"/>
              </w:rPr>
              <w:t> </w:t>
            </w:r>
          </w:p>
        </w:tc>
      </w:tr>
      <w:tr w:rsidR="00000000" w14:paraId="2EDF2A0D" w14:textId="77777777">
        <w:trPr>
          <w:divId w:val="98525094"/>
          <w:trHeight w:val="225"/>
          <w:tblCellSpacing w:w="15" w:type="dxa"/>
        </w:trPr>
        <w:tc>
          <w:tcPr>
            <w:tcW w:w="0" w:type="auto"/>
            <w:hideMark/>
          </w:tcPr>
          <w:p w14:paraId="78AF8A7A" w14:textId="77777777" w:rsidR="00000000" w:rsidRDefault="00EB4933">
            <w:pPr>
              <w:pStyle w:val="NormalWeb"/>
              <w:spacing w:before="0" w:beforeAutospacing="0" w:after="0" w:afterAutospacing="0"/>
              <w:rPr>
                <w:sz w:val="20"/>
                <w:szCs w:val="20"/>
              </w:rPr>
            </w:pPr>
            <w:r>
              <w:rPr>
                <w:rStyle w:val="Strong"/>
                <w:sz w:val="20"/>
                <w:szCs w:val="20"/>
              </w:rPr>
              <w:t>CURRENT ASSETS</w:t>
            </w:r>
          </w:p>
        </w:tc>
        <w:tc>
          <w:tcPr>
            <w:tcW w:w="50" w:type="pct"/>
            <w:noWrap/>
            <w:vAlign w:val="center"/>
            <w:hideMark/>
          </w:tcPr>
          <w:p w14:paraId="01606C7A" w14:textId="77777777" w:rsidR="00000000" w:rsidRDefault="00EB4933">
            <w:pPr>
              <w:pStyle w:val="NormalWeb"/>
              <w:spacing w:before="0" w:beforeAutospacing="0" w:after="0" w:afterAutospacing="0"/>
              <w:rPr>
                <w:sz w:val="20"/>
                <w:szCs w:val="20"/>
              </w:rPr>
            </w:pPr>
            <w:r>
              <w:rPr>
                <w:sz w:val="20"/>
                <w:szCs w:val="20"/>
              </w:rPr>
              <w:t> </w:t>
            </w:r>
          </w:p>
        </w:tc>
        <w:tc>
          <w:tcPr>
            <w:tcW w:w="450" w:type="pct"/>
            <w:vAlign w:val="center"/>
            <w:hideMark/>
          </w:tcPr>
          <w:p w14:paraId="6B2E2510"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450BF1D"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8C09AEC"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0040BFA"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64C5129"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8D2557C"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08262362"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A2815F5" w14:textId="77777777" w:rsidR="00000000" w:rsidRDefault="00EB4933">
            <w:pPr>
              <w:pStyle w:val="NormalWeb"/>
              <w:spacing w:before="0" w:beforeAutospacing="0" w:after="0" w:afterAutospacing="0"/>
              <w:rPr>
                <w:sz w:val="20"/>
                <w:szCs w:val="20"/>
              </w:rPr>
            </w:pPr>
            <w:r>
              <w:rPr>
                <w:sz w:val="20"/>
                <w:szCs w:val="20"/>
              </w:rPr>
              <w:t> </w:t>
            </w:r>
          </w:p>
        </w:tc>
      </w:tr>
      <w:tr w:rsidR="00000000" w14:paraId="5EB40133" w14:textId="77777777">
        <w:trPr>
          <w:divId w:val="98525094"/>
          <w:trHeight w:val="225"/>
          <w:tblCellSpacing w:w="15" w:type="dxa"/>
        </w:trPr>
        <w:tc>
          <w:tcPr>
            <w:tcW w:w="0" w:type="auto"/>
            <w:shd w:val="clear" w:color="auto" w:fill="CCEEFF"/>
            <w:hideMark/>
          </w:tcPr>
          <w:p w14:paraId="425D0A97" w14:textId="77777777" w:rsidR="00000000" w:rsidRDefault="00EB4933">
            <w:pPr>
              <w:pStyle w:val="NormalWeb"/>
              <w:spacing w:before="0" w:beforeAutospacing="0" w:after="0" w:afterAutospacing="0"/>
              <w:rPr>
                <w:sz w:val="20"/>
                <w:szCs w:val="20"/>
              </w:rPr>
            </w:pPr>
            <w:r>
              <w:rPr>
                <w:sz w:val="20"/>
                <w:szCs w:val="20"/>
              </w:rPr>
              <w:t>Cash, cash equivalents and restricted cash</w:t>
            </w:r>
          </w:p>
        </w:tc>
        <w:tc>
          <w:tcPr>
            <w:tcW w:w="50" w:type="pct"/>
            <w:shd w:val="clear" w:color="auto" w:fill="CCEEFF"/>
            <w:noWrap/>
            <w:vAlign w:val="center"/>
            <w:hideMark/>
          </w:tcPr>
          <w:p w14:paraId="066C22D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D815FBA" w14:textId="77777777" w:rsidR="00000000" w:rsidRDefault="00EB4933">
            <w:pPr>
              <w:pStyle w:val="NormalWeb"/>
              <w:spacing w:before="0" w:beforeAutospacing="0" w:after="0" w:afterAutospacing="0"/>
              <w:jc w:val="center"/>
              <w:rPr>
                <w:sz w:val="20"/>
                <w:szCs w:val="20"/>
              </w:rPr>
            </w:pPr>
            <w:r>
              <w:rPr>
                <w:sz w:val="20"/>
                <w:szCs w:val="20"/>
              </w:rPr>
              <w:t>13</w:t>
            </w:r>
          </w:p>
        </w:tc>
        <w:tc>
          <w:tcPr>
            <w:tcW w:w="50" w:type="pct"/>
            <w:shd w:val="clear" w:color="auto" w:fill="CCEEFF"/>
            <w:noWrap/>
            <w:vAlign w:val="center"/>
            <w:hideMark/>
          </w:tcPr>
          <w:p w14:paraId="674269A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DC8BC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EB362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689162B" w14:textId="77777777" w:rsidR="00000000" w:rsidRDefault="00EB4933">
            <w:pPr>
              <w:jc w:val="right"/>
              <w:rPr>
                <w:rFonts w:eastAsia="Times New Roman"/>
                <w:sz w:val="20"/>
                <w:szCs w:val="20"/>
              </w:rPr>
            </w:pPr>
            <w:r>
              <w:rPr>
                <w:rFonts w:eastAsia="Times New Roman"/>
                <w:sz w:val="20"/>
                <w:szCs w:val="20"/>
              </w:rPr>
              <w:t>3,188</w:t>
            </w:r>
          </w:p>
        </w:tc>
        <w:tc>
          <w:tcPr>
            <w:tcW w:w="50" w:type="pct"/>
            <w:shd w:val="clear" w:color="auto" w:fill="CCEEFF"/>
            <w:noWrap/>
            <w:vAlign w:val="center"/>
            <w:hideMark/>
          </w:tcPr>
          <w:p w14:paraId="5424123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DC84D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E17F1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9D5F577" w14:textId="77777777" w:rsidR="00000000" w:rsidRDefault="00EB4933">
            <w:pPr>
              <w:jc w:val="right"/>
              <w:rPr>
                <w:rFonts w:eastAsia="Times New Roman"/>
                <w:sz w:val="20"/>
                <w:szCs w:val="20"/>
              </w:rPr>
            </w:pPr>
            <w:r>
              <w:rPr>
                <w:rFonts w:eastAsia="Times New Roman"/>
                <w:sz w:val="20"/>
                <w:szCs w:val="20"/>
              </w:rPr>
              <w:t>132</w:t>
            </w:r>
          </w:p>
        </w:tc>
        <w:tc>
          <w:tcPr>
            <w:tcW w:w="50" w:type="pct"/>
            <w:shd w:val="clear" w:color="auto" w:fill="CCEEFF"/>
            <w:noWrap/>
            <w:vAlign w:val="center"/>
            <w:hideMark/>
          </w:tcPr>
          <w:p w14:paraId="5036BB15" w14:textId="77777777" w:rsidR="00000000" w:rsidRDefault="00EB4933">
            <w:pPr>
              <w:pStyle w:val="NormalWeb"/>
              <w:spacing w:before="0" w:beforeAutospacing="0" w:after="0" w:afterAutospacing="0"/>
              <w:rPr>
                <w:sz w:val="20"/>
                <w:szCs w:val="20"/>
              </w:rPr>
            </w:pPr>
            <w:r>
              <w:rPr>
                <w:sz w:val="20"/>
                <w:szCs w:val="20"/>
              </w:rPr>
              <w:t> </w:t>
            </w:r>
          </w:p>
        </w:tc>
      </w:tr>
      <w:tr w:rsidR="00000000" w14:paraId="4284309A" w14:textId="77777777">
        <w:trPr>
          <w:divId w:val="98525094"/>
          <w:trHeight w:val="225"/>
          <w:tblCellSpacing w:w="15" w:type="dxa"/>
        </w:trPr>
        <w:tc>
          <w:tcPr>
            <w:tcW w:w="0" w:type="auto"/>
            <w:shd w:val="clear" w:color="auto" w:fill="FFFFFF"/>
            <w:hideMark/>
          </w:tcPr>
          <w:p w14:paraId="3A9EE2EF" w14:textId="77777777" w:rsidR="00000000" w:rsidRDefault="00EB4933">
            <w:pPr>
              <w:pStyle w:val="NormalWeb"/>
              <w:spacing w:before="0" w:beforeAutospacing="0" w:after="0" w:afterAutospacing="0"/>
              <w:rPr>
                <w:sz w:val="20"/>
                <w:szCs w:val="20"/>
              </w:rPr>
            </w:pPr>
            <w:r>
              <w:rPr>
                <w:sz w:val="20"/>
                <w:szCs w:val="20"/>
              </w:rPr>
              <w:t>Interest receivables, net of credit impairment losses</w:t>
            </w:r>
          </w:p>
        </w:tc>
        <w:tc>
          <w:tcPr>
            <w:tcW w:w="50" w:type="pct"/>
            <w:shd w:val="clear" w:color="auto" w:fill="FFFFFF"/>
            <w:noWrap/>
            <w:vAlign w:val="center"/>
            <w:hideMark/>
          </w:tcPr>
          <w:p w14:paraId="7C74C9C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76CF6A3" w14:textId="77777777" w:rsidR="00000000" w:rsidRDefault="00EB4933">
            <w:pPr>
              <w:pStyle w:val="NormalWeb"/>
              <w:spacing w:before="0" w:beforeAutospacing="0" w:after="0" w:afterAutospacing="0"/>
              <w:jc w:val="center"/>
              <w:rPr>
                <w:sz w:val="20"/>
                <w:szCs w:val="20"/>
              </w:rPr>
            </w:pPr>
            <w:r>
              <w:rPr>
                <w:sz w:val="20"/>
                <w:szCs w:val="20"/>
              </w:rPr>
              <w:t>14</w:t>
            </w:r>
          </w:p>
        </w:tc>
        <w:tc>
          <w:tcPr>
            <w:tcW w:w="50" w:type="pct"/>
            <w:shd w:val="clear" w:color="auto" w:fill="FFFFFF"/>
            <w:noWrap/>
            <w:vAlign w:val="center"/>
            <w:hideMark/>
          </w:tcPr>
          <w:p w14:paraId="1A3E991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82F07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4F4C5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D314481" w14:textId="77777777" w:rsidR="00000000" w:rsidRDefault="00EB4933">
            <w:pPr>
              <w:jc w:val="right"/>
              <w:rPr>
                <w:rFonts w:eastAsia="Times New Roman"/>
                <w:sz w:val="20"/>
                <w:szCs w:val="20"/>
              </w:rPr>
            </w:pPr>
            <w:r>
              <w:rPr>
                <w:rFonts w:eastAsia="Times New Roman"/>
                <w:sz w:val="20"/>
                <w:szCs w:val="20"/>
              </w:rPr>
              <w:t>7,057</w:t>
            </w:r>
          </w:p>
        </w:tc>
        <w:tc>
          <w:tcPr>
            <w:tcW w:w="50" w:type="pct"/>
            <w:shd w:val="clear" w:color="auto" w:fill="FFFFFF"/>
            <w:noWrap/>
            <w:vAlign w:val="center"/>
            <w:hideMark/>
          </w:tcPr>
          <w:p w14:paraId="161DF5F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71A3D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A6BE1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7D7CD3A"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CE9057B" w14:textId="77777777" w:rsidR="00000000" w:rsidRDefault="00EB4933">
            <w:pPr>
              <w:pStyle w:val="NormalWeb"/>
              <w:spacing w:before="0" w:beforeAutospacing="0" w:after="0" w:afterAutospacing="0"/>
              <w:rPr>
                <w:sz w:val="20"/>
                <w:szCs w:val="20"/>
              </w:rPr>
            </w:pPr>
            <w:r>
              <w:rPr>
                <w:sz w:val="20"/>
                <w:szCs w:val="20"/>
              </w:rPr>
              <w:t> </w:t>
            </w:r>
          </w:p>
        </w:tc>
      </w:tr>
      <w:tr w:rsidR="00000000" w14:paraId="394A3012" w14:textId="77777777">
        <w:trPr>
          <w:divId w:val="98525094"/>
          <w:trHeight w:val="225"/>
          <w:tblCellSpacing w:w="15" w:type="dxa"/>
        </w:trPr>
        <w:tc>
          <w:tcPr>
            <w:tcW w:w="0" w:type="auto"/>
            <w:shd w:val="clear" w:color="auto" w:fill="CCEEFF"/>
            <w:hideMark/>
          </w:tcPr>
          <w:p w14:paraId="64495398" w14:textId="77777777" w:rsidR="00000000" w:rsidRDefault="00EB4933">
            <w:pPr>
              <w:pStyle w:val="NormalWeb"/>
              <w:spacing w:before="0" w:beforeAutospacing="0" w:after="0" w:afterAutospacing="0"/>
              <w:rPr>
                <w:sz w:val="20"/>
                <w:szCs w:val="20"/>
              </w:rPr>
            </w:pPr>
            <w:r>
              <w:rPr>
                <w:sz w:val="20"/>
                <w:szCs w:val="20"/>
              </w:rPr>
              <w:t xml:space="preserve">Loans receivable, net of credit impairment losses </w:t>
            </w:r>
          </w:p>
        </w:tc>
        <w:tc>
          <w:tcPr>
            <w:tcW w:w="50" w:type="pct"/>
            <w:shd w:val="clear" w:color="auto" w:fill="CCEEFF"/>
            <w:noWrap/>
            <w:vAlign w:val="center"/>
            <w:hideMark/>
          </w:tcPr>
          <w:p w14:paraId="6C18CB4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E3B5390" w14:textId="77777777" w:rsidR="00000000" w:rsidRDefault="00EB4933">
            <w:pPr>
              <w:pStyle w:val="NormalWeb"/>
              <w:spacing w:before="0" w:beforeAutospacing="0" w:after="0" w:afterAutospacing="0"/>
              <w:jc w:val="center"/>
              <w:rPr>
                <w:sz w:val="20"/>
                <w:szCs w:val="20"/>
              </w:rPr>
            </w:pPr>
            <w:r>
              <w:rPr>
                <w:sz w:val="20"/>
                <w:szCs w:val="20"/>
              </w:rPr>
              <w:t>15</w:t>
            </w:r>
          </w:p>
        </w:tc>
        <w:tc>
          <w:tcPr>
            <w:tcW w:w="50" w:type="pct"/>
            <w:shd w:val="clear" w:color="auto" w:fill="CCEEFF"/>
            <w:noWrap/>
            <w:vAlign w:val="center"/>
            <w:hideMark/>
          </w:tcPr>
          <w:p w14:paraId="15017D0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26347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B842B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8E3BC26" w14:textId="77777777" w:rsidR="00000000" w:rsidRDefault="00EB4933">
            <w:pPr>
              <w:jc w:val="right"/>
              <w:rPr>
                <w:rFonts w:eastAsia="Times New Roman"/>
                <w:sz w:val="20"/>
                <w:szCs w:val="20"/>
              </w:rPr>
            </w:pPr>
            <w:r>
              <w:rPr>
                <w:rFonts w:eastAsia="Times New Roman"/>
                <w:sz w:val="20"/>
                <w:szCs w:val="20"/>
              </w:rPr>
              <w:t>579,654</w:t>
            </w:r>
          </w:p>
        </w:tc>
        <w:tc>
          <w:tcPr>
            <w:tcW w:w="50" w:type="pct"/>
            <w:shd w:val="clear" w:color="auto" w:fill="CCEEFF"/>
            <w:noWrap/>
            <w:vAlign w:val="center"/>
            <w:hideMark/>
          </w:tcPr>
          <w:p w14:paraId="73B5BF9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83F02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9FE79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F84A89A" w14:textId="77777777" w:rsidR="00000000" w:rsidRDefault="00EB4933">
            <w:pPr>
              <w:jc w:val="right"/>
              <w:rPr>
                <w:rFonts w:eastAsia="Times New Roman"/>
                <w:sz w:val="20"/>
                <w:szCs w:val="20"/>
              </w:rPr>
            </w:pPr>
            <w:r>
              <w:rPr>
                <w:rFonts w:eastAsia="Times New Roman"/>
                <w:sz w:val="20"/>
                <w:szCs w:val="20"/>
              </w:rPr>
              <w:t>615,184</w:t>
            </w:r>
          </w:p>
        </w:tc>
        <w:tc>
          <w:tcPr>
            <w:tcW w:w="50" w:type="pct"/>
            <w:shd w:val="clear" w:color="auto" w:fill="CCEEFF"/>
            <w:noWrap/>
            <w:vAlign w:val="center"/>
            <w:hideMark/>
          </w:tcPr>
          <w:p w14:paraId="1F451BDA" w14:textId="77777777" w:rsidR="00000000" w:rsidRDefault="00EB4933">
            <w:pPr>
              <w:pStyle w:val="NormalWeb"/>
              <w:spacing w:before="0" w:beforeAutospacing="0" w:after="0" w:afterAutospacing="0"/>
              <w:rPr>
                <w:sz w:val="20"/>
                <w:szCs w:val="20"/>
              </w:rPr>
            </w:pPr>
            <w:r>
              <w:rPr>
                <w:sz w:val="20"/>
                <w:szCs w:val="20"/>
              </w:rPr>
              <w:t> </w:t>
            </w:r>
          </w:p>
        </w:tc>
      </w:tr>
      <w:tr w:rsidR="00000000" w14:paraId="419667AB" w14:textId="77777777">
        <w:trPr>
          <w:divId w:val="98525094"/>
          <w:trHeight w:val="225"/>
          <w:tblCellSpacing w:w="15" w:type="dxa"/>
        </w:trPr>
        <w:tc>
          <w:tcPr>
            <w:tcW w:w="0" w:type="auto"/>
            <w:shd w:val="clear" w:color="auto" w:fill="FFFFFF"/>
            <w:hideMark/>
          </w:tcPr>
          <w:p w14:paraId="6E22ED04" w14:textId="77777777" w:rsidR="00000000" w:rsidRDefault="00EB4933">
            <w:pPr>
              <w:pStyle w:val="NormalWeb"/>
              <w:spacing w:before="0" w:beforeAutospacing="0" w:after="0" w:afterAutospacing="0"/>
              <w:rPr>
                <w:sz w:val="20"/>
                <w:szCs w:val="20"/>
              </w:rPr>
            </w:pPr>
            <w:r>
              <w:rPr>
                <w:sz w:val="20"/>
                <w:szCs w:val="20"/>
              </w:rPr>
              <w:t>Prepaid expenses and others</w:t>
            </w:r>
          </w:p>
        </w:tc>
        <w:tc>
          <w:tcPr>
            <w:tcW w:w="50" w:type="pct"/>
            <w:shd w:val="clear" w:color="auto" w:fill="FFFFFF"/>
            <w:noWrap/>
            <w:vAlign w:val="center"/>
            <w:hideMark/>
          </w:tcPr>
          <w:p w14:paraId="4CEBA16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69C8687" w14:textId="77777777" w:rsidR="00000000" w:rsidRDefault="00EB4933">
            <w:pPr>
              <w:pStyle w:val="NormalWeb"/>
              <w:spacing w:before="0" w:beforeAutospacing="0" w:after="0" w:afterAutospacing="0"/>
              <w:jc w:val="center"/>
              <w:rPr>
                <w:sz w:val="20"/>
                <w:szCs w:val="20"/>
              </w:rPr>
            </w:pPr>
            <w:r>
              <w:rPr>
                <w:sz w:val="20"/>
                <w:szCs w:val="20"/>
              </w:rPr>
              <w:t>16</w:t>
            </w:r>
          </w:p>
        </w:tc>
        <w:tc>
          <w:tcPr>
            <w:tcW w:w="50" w:type="pct"/>
            <w:shd w:val="clear" w:color="auto" w:fill="FFFFFF"/>
            <w:noWrap/>
            <w:vAlign w:val="center"/>
            <w:hideMark/>
          </w:tcPr>
          <w:p w14:paraId="3DE197C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89542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96D933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BB4756D" w14:textId="77777777" w:rsidR="00000000" w:rsidRDefault="00EB4933">
            <w:pPr>
              <w:jc w:val="right"/>
              <w:rPr>
                <w:rFonts w:eastAsia="Times New Roman"/>
                <w:sz w:val="20"/>
                <w:szCs w:val="20"/>
              </w:rPr>
            </w:pPr>
            <w:r>
              <w:rPr>
                <w:rFonts w:eastAsia="Times New Roman"/>
                <w:sz w:val="20"/>
                <w:szCs w:val="20"/>
              </w:rPr>
              <w:t>1,038</w:t>
            </w:r>
          </w:p>
        </w:tc>
        <w:tc>
          <w:tcPr>
            <w:tcW w:w="50" w:type="pct"/>
            <w:shd w:val="clear" w:color="auto" w:fill="FFFFFF"/>
            <w:noWrap/>
            <w:tcMar>
              <w:top w:w="0" w:type="dxa"/>
              <w:left w:w="0" w:type="dxa"/>
              <w:bottom w:w="15" w:type="dxa"/>
              <w:right w:w="0" w:type="dxa"/>
            </w:tcMar>
            <w:vAlign w:val="center"/>
            <w:hideMark/>
          </w:tcPr>
          <w:p w14:paraId="15099A0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67110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905178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363812A" w14:textId="77777777" w:rsidR="00000000" w:rsidRDefault="00EB4933">
            <w:pPr>
              <w:jc w:val="right"/>
              <w:rPr>
                <w:rFonts w:eastAsia="Times New Roman"/>
                <w:sz w:val="20"/>
                <w:szCs w:val="20"/>
              </w:rPr>
            </w:pPr>
            <w:r>
              <w:rPr>
                <w:rFonts w:eastAsia="Times New Roman"/>
                <w:sz w:val="20"/>
                <w:szCs w:val="20"/>
              </w:rPr>
              <w:t>295</w:t>
            </w:r>
          </w:p>
        </w:tc>
        <w:tc>
          <w:tcPr>
            <w:tcW w:w="50" w:type="pct"/>
            <w:shd w:val="clear" w:color="auto" w:fill="FFFFFF"/>
            <w:noWrap/>
            <w:tcMar>
              <w:top w:w="0" w:type="dxa"/>
              <w:left w:w="0" w:type="dxa"/>
              <w:bottom w:w="15" w:type="dxa"/>
              <w:right w:w="0" w:type="dxa"/>
            </w:tcMar>
            <w:vAlign w:val="center"/>
            <w:hideMark/>
          </w:tcPr>
          <w:p w14:paraId="3B5EDECE" w14:textId="77777777" w:rsidR="00000000" w:rsidRDefault="00EB4933">
            <w:pPr>
              <w:pStyle w:val="NormalWeb"/>
              <w:spacing w:before="0" w:beforeAutospacing="0" w:after="0" w:afterAutospacing="0"/>
              <w:rPr>
                <w:sz w:val="20"/>
                <w:szCs w:val="20"/>
              </w:rPr>
            </w:pPr>
            <w:r>
              <w:rPr>
                <w:sz w:val="20"/>
                <w:szCs w:val="20"/>
              </w:rPr>
              <w:t> </w:t>
            </w:r>
          </w:p>
        </w:tc>
      </w:tr>
      <w:tr w:rsidR="00000000" w14:paraId="55333B4A" w14:textId="77777777">
        <w:trPr>
          <w:divId w:val="98525094"/>
          <w:trHeight w:val="225"/>
          <w:tblCellSpacing w:w="15" w:type="dxa"/>
        </w:trPr>
        <w:tc>
          <w:tcPr>
            <w:tcW w:w="0" w:type="auto"/>
            <w:shd w:val="clear" w:color="auto" w:fill="CCEEFF"/>
            <w:hideMark/>
          </w:tcPr>
          <w:p w14:paraId="4213D500" w14:textId="77777777" w:rsidR="00000000" w:rsidRDefault="00EB4933">
            <w:pPr>
              <w:pStyle w:val="NormalWeb"/>
              <w:spacing w:before="0" w:beforeAutospacing="0" w:after="0" w:afterAutospacing="0"/>
              <w:rPr>
                <w:sz w:val="20"/>
                <w:szCs w:val="20"/>
              </w:rPr>
            </w:pPr>
            <w:r>
              <w:rPr>
                <w:rStyle w:val="Strong"/>
                <w:sz w:val="20"/>
                <w:szCs w:val="20"/>
              </w:rPr>
              <w:t>Total current assets</w:t>
            </w:r>
          </w:p>
        </w:tc>
        <w:tc>
          <w:tcPr>
            <w:tcW w:w="50" w:type="pct"/>
            <w:shd w:val="clear" w:color="auto" w:fill="CCEEFF"/>
            <w:noWrap/>
            <w:vAlign w:val="center"/>
            <w:hideMark/>
          </w:tcPr>
          <w:p w14:paraId="0DDF3E9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870D55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B4293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9E03F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E09E9A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D56635E" w14:textId="77777777" w:rsidR="00000000" w:rsidRDefault="00EB4933">
            <w:pPr>
              <w:jc w:val="right"/>
              <w:rPr>
                <w:rFonts w:eastAsia="Times New Roman"/>
                <w:sz w:val="20"/>
                <w:szCs w:val="20"/>
              </w:rPr>
            </w:pPr>
            <w:r>
              <w:rPr>
                <w:rFonts w:eastAsia="Times New Roman"/>
                <w:sz w:val="20"/>
                <w:szCs w:val="20"/>
              </w:rPr>
              <w:t>590,937</w:t>
            </w:r>
          </w:p>
        </w:tc>
        <w:tc>
          <w:tcPr>
            <w:tcW w:w="50" w:type="pct"/>
            <w:shd w:val="clear" w:color="auto" w:fill="CCEEFF"/>
            <w:noWrap/>
            <w:tcMar>
              <w:top w:w="0" w:type="dxa"/>
              <w:left w:w="0" w:type="dxa"/>
              <w:bottom w:w="15" w:type="dxa"/>
              <w:right w:w="0" w:type="dxa"/>
            </w:tcMar>
            <w:vAlign w:val="center"/>
            <w:hideMark/>
          </w:tcPr>
          <w:p w14:paraId="562EFEF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F8203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0F80F8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778A76E" w14:textId="77777777" w:rsidR="00000000" w:rsidRDefault="00EB4933">
            <w:pPr>
              <w:jc w:val="right"/>
              <w:rPr>
                <w:rFonts w:eastAsia="Times New Roman"/>
                <w:sz w:val="20"/>
                <w:szCs w:val="20"/>
              </w:rPr>
            </w:pPr>
            <w:r>
              <w:rPr>
                <w:rFonts w:eastAsia="Times New Roman"/>
                <w:sz w:val="20"/>
                <w:szCs w:val="20"/>
              </w:rPr>
              <w:t>615,611</w:t>
            </w:r>
          </w:p>
        </w:tc>
        <w:tc>
          <w:tcPr>
            <w:tcW w:w="50" w:type="pct"/>
            <w:shd w:val="clear" w:color="auto" w:fill="CCEEFF"/>
            <w:noWrap/>
            <w:tcMar>
              <w:top w:w="0" w:type="dxa"/>
              <w:left w:w="0" w:type="dxa"/>
              <w:bottom w:w="15" w:type="dxa"/>
              <w:right w:w="0" w:type="dxa"/>
            </w:tcMar>
            <w:vAlign w:val="center"/>
            <w:hideMark/>
          </w:tcPr>
          <w:p w14:paraId="3ABBE454" w14:textId="77777777" w:rsidR="00000000" w:rsidRDefault="00EB4933">
            <w:pPr>
              <w:pStyle w:val="NormalWeb"/>
              <w:spacing w:before="0" w:beforeAutospacing="0" w:after="0" w:afterAutospacing="0"/>
              <w:rPr>
                <w:sz w:val="20"/>
                <w:szCs w:val="20"/>
              </w:rPr>
            </w:pPr>
            <w:r>
              <w:rPr>
                <w:sz w:val="20"/>
                <w:szCs w:val="20"/>
              </w:rPr>
              <w:t> </w:t>
            </w:r>
          </w:p>
        </w:tc>
      </w:tr>
      <w:tr w:rsidR="00000000" w14:paraId="445C1484" w14:textId="77777777">
        <w:trPr>
          <w:divId w:val="98525094"/>
          <w:trHeight w:val="225"/>
          <w:tblCellSpacing w:w="15" w:type="dxa"/>
        </w:trPr>
        <w:tc>
          <w:tcPr>
            <w:tcW w:w="0" w:type="auto"/>
            <w:shd w:val="clear" w:color="auto" w:fill="FFFFFF"/>
            <w:vAlign w:val="center"/>
            <w:hideMark/>
          </w:tcPr>
          <w:p w14:paraId="2976586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295A8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983C0D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89EE5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89719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D6D28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F57020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F6560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4E67D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F35AB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4ECA2C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2DAD40" w14:textId="77777777" w:rsidR="00000000" w:rsidRDefault="00EB4933">
            <w:pPr>
              <w:pStyle w:val="NormalWeb"/>
              <w:spacing w:before="0" w:beforeAutospacing="0" w:after="0" w:afterAutospacing="0"/>
              <w:rPr>
                <w:sz w:val="20"/>
                <w:szCs w:val="20"/>
              </w:rPr>
            </w:pPr>
            <w:r>
              <w:rPr>
                <w:sz w:val="20"/>
                <w:szCs w:val="20"/>
              </w:rPr>
              <w:t> </w:t>
            </w:r>
          </w:p>
        </w:tc>
      </w:tr>
      <w:tr w:rsidR="00000000" w14:paraId="2175720B" w14:textId="77777777">
        <w:trPr>
          <w:divId w:val="98525094"/>
          <w:trHeight w:val="225"/>
          <w:tblCellSpacing w:w="15" w:type="dxa"/>
        </w:trPr>
        <w:tc>
          <w:tcPr>
            <w:tcW w:w="0" w:type="auto"/>
            <w:shd w:val="clear" w:color="auto" w:fill="CCEEFF"/>
            <w:hideMark/>
          </w:tcPr>
          <w:p w14:paraId="1B8BE27F" w14:textId="77777777" w:rsidR="00000000" w:rsidRDefault="00EB4933">
            <w:pPr>
              <w:pStyle w:val="NormalWeb"/>
              <w:spacing w:before="0" w:beforeAutospacing="0" w:after="0" w:afterAutospacing="0"/>
              <w:rPr>
                <w:sz w:val="20"/>
                <w:szCs w:val="20"/>
              </w:rPr>
            </w:pPr>
            <w:r>
              <w:rPr>
                <w:rStyle w:val="Strong"/>
                <w:sz w:val="20"/>
                <w:szCs w:val="20"/>
              </w:rPr>
              <w:t>NON-CURRENT ASSETS</w:t>
            </w:r>
          </w:p>
        </w:tc>
        <w:tc>
          <w:tcPr>
            <w:tcW w:w="50" w:type="pct"/>
            <w:shd w:val="clear" w:color="auto" w:fill="CCEEFF"/>
            <w:noWrap/>
            <w:vAlign w:val="center"/>
            <w:hideMark/>
          </w:tcPr>
          <w:p w14:paraId="607CF41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4ADA51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A287A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3A923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407460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617624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21F37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8511F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0FEBE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4D8EFD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7570CE" w14:textId="77777777" w:rsidR="00000000" w:rsidRDefault="00EB4933">
            <w:pPr>
              <w:pStyle w:val="NormalWeb"/>
              <w:spacing w:before="0" w:beforeAutospacing="0" w:after="0" w:afterAutospacing="0"/>
              <w:rPr>
                <w:sz w:val="20"/>
                <w:szCs w:val="20"/>
              </w:rPr>
            </w:pPr>
            <w:r>
              <w:rPr>
                <w:sz w:val="20"/>
                <w:szCs w:val="20"/>
              </w:rPr>
              <w:t> </w:t>
            </w:r>
          </w:p>
        </w:tc>
      </w:tr>
      <w:tr w:rsidR="00000000" w14:paraId="324CD084" w14:textId="77777777">
        <w:trPr>
          <w:divId w:val="98525094"/>
          <w:trHeight w:val="225"/>
          <w:tblCellSpacing w:w="15" w:type="dxa"/>
        </w:trPr>
        <w:tc>
          <w:tcPr>
            <w:tcW w:w="0" w:type="auto"/>
            <w:shd w:val="clear" w:color="auto" w:fill="FFFFFF"/>
            <w:hideMark/>
          </w:tcPr>
          <w:p w14:paraId="31A4D65B" w14:textId="77777777" w:rsidR="00000000" w:rsidRDefault="00EB4933">
            <w:pPr>
              <w:pStyle w:val="NormalWeb"/>
              <w:spacing w:before="0" w:beforeAutospacing="0" w:after="0" w:afterAutospacing="0"/>
              <w:rPr>
                <w:sz w:val="20"/>
                <w:szCs w:val="20"/>
              </w:rPr>
            </w:pPr>
            <w:r>
              <w:rPr>
                <w:sz w:val="20"/>
                <w:szCs w:val="20"/>
              </w:rPr>
              <w:t>Property and equipment, net</w:t>
            </w:r>
          </w:p>
        </w:tc>
        <w:tc>
          <w:tcPr>
            <w:tcW w:w="50" w:type="pct"/>
            <w:shd w:val="clear" w:color="auto" w:fill="FFFFFF"/>
            <w:noWrap/>
            <w:vAlign w:val="center"/>
            <w:hideMark/>
          </w:tcPr>
          <w:p w14:paraId="1BC02A0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6199853" w14:textId="77777777" w:rsidR="00000000" w:rsidRDefault="00EB4933">
            <w:pPr>
              <w:pStyle w:val="NormalWeb"/>
              <w:spacing w:before="0" w:beforeAutospacing="0" w:after="0" w:afterAutospacing="0"/>
              <w:jc w:val="center"/>
              <w:rPr>
                <w:sz w:val="20"/>
                <w:szCs w:val="20"/>
              </w:rPr>
            </w:pPr>
            <w:r>
              <w:rPr>
                <w:sz w:val="20"/>
                <w:szCs w:val="20"/>
              </w:rPr>
              <w:t>17</w:t>
            </w:r>
          </w:p>
        </w:tc>
        <w:tc>
          <w:tcPr>
            <w:tcW w:w="50" w:type="pct"/>
            <w:shd w:val="clear" w:color="auto" w:fill="FFFFFF"/>
            <w:noWrap/>
            <w:vAlign w:val="center"/>
            <w:hideMark/>
          </w:tcPr>
          <w:p w14:paraId="0EF5881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71947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59A47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6069624" w14:textId="77777777" w:rsidR="00000000" w:rsidRDefault="00EB4933">
            <w:pPr>
              <w:jc w:val="right"/>
              <w:rPr>
                <w:rFonts w:eastAsia="Times New Roman"/>
                <w:sz w:val="20"/>
                <w:szCs w:val="20"/>
              </w:rPr>
            </w:pPr>
            <w:r>
              <w:rPr>
                <w:rFonts w:eastAsia="Times New Roman"/>
                <w:sz w:val="20"/>
                <w:szCs w:val="20"/>
              </w:rPr>
              <w:t>50,824</w:t>
            </w:r>
          </w:p>
        </w:tc>
        <w:tc>
          <w:tcPr>
            <w:tcW w:w="50" w:type="pct"/>
            <w:shd w:val="clear" w:color="auto" w:fill="FFFFFF"/>
            <w:noWrap/>
            <w:vAlign w:val="center"/>
            <w:hideMark/>
          </w:tcPr>
          <w:p w14:paraId="45BA85B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A7D45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8A86F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1689EC0" w14:textId="77777777" w:rsidR="00000000" w:rsidRDefault="00EB4933">
            <w:pPr>
              <w:jc w:val="right"/>
              <w:rPr>
                <w:rFonts w:eastAsia="Times New Roman"/>
                <w:sz w:val="20"/>
                <w:szCs w:val="20"/>
              </w:rPr>
            </w:pPr>
            <w:r>
              <w:rPr>
                <w:rFonts w:eastAsia="Times New Roman"/>
                <w:sz w:val="20"/>
                <w:szCs w:val="20"/>
              </w:rPr>
              <w:t>48,130</w:t>
            </w:r>
          </w:p>
        </w:tc>
        <w:tc>
          <w:tcPr>
            <w:tcW w:w="50" w:type="pct"/>
            <w:shd w:val="clear" w:color="auto" w:fill="FFFFFF"/>
            <w:noWrap/>
            <w:vAlign w:val="center"/>
            <w:hideMark/>
          </w:tcPr>
          <w:p w14:paraId="359F109B" w14:textId="77777777" w:rsidR="00000000" w:rsidRDefault="00EB4933">
            <w:pPr>
              <w:pStyle w:val="NormalWeb"/>
              <w:spacing w:before="0" w:beforeAutospacing="0" w:after="0" w:afterAutospacing="0"/>
              <w:rPr>
                <w:sz w:val="20"/>
                <w:szCs w:val="20"/>
              </w:rPr>
            </w:pPr>
            <w:r>
              <w:rPr>
                <w:sz w:val="20"/>
                <w:szCs w:val="20"/>
              </w:rPr>
              <w:t> </w:t>
            </w:r>
          </w:p>
        </w:tc>
      </w:tr>
      <w:tr w:rsidR="00000000" w14:paraId="2FFA833C" w14:textId="77777777">
        <w:trPr>
          <w:divId w:val="98525094"/>
          <w:trHeight w:val="225"/>
          <w:tblCellSpacing w:w="15" w:type="dxa"/>
        </w:trPr>
        <w:tc>
          <w:tcPr>
            <w:tcW w:w="0" w:type="auto"/>
            <w:shd w:val="clear" w:color="auto" w:fill="CCEEFF"/>
            <w:hideMark/>
          </w:tcPr>
          <w:p w14:paraId="47E8395C" w14:textId="77777777" w:rsidR="00000000" w:rsidRDefault="00EB4933">
            <w:pPr>
              <w:pStyle w:val="NormalWeb"/>
              <w:spacing w:before="0" w:beforeAutospacing="0" w:after="0" w:afterAutospacing="0"/>
              <w:rPr>
                <w:sz w:val="20"/>
                <w:szCs w:val="20"/>
              </w:rPr>
            </w:pPr>
            <w:r>
              <w:rPr>
                <w:sz w:val="20"/>
                <w:szCs w:val="20"/>
              </w:rPr>
              <w:t>Intangible asset</w:t>
            </w:r>
          </w:p>
        </w:tc>
        <w:tc>
          <w:tcPr>
            <w:tcW w:w="50" w:type="pct"/>
            <w:shd w:val="clear" w:color="auto" w:fill="CCEEFF"/>
            <w:noWrap/>
            <w:vAlign w:val="center"/>
            <w:hideMark/>
          </w:tcPr>
          <w:p w14:paraId="32ED5D5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7234B37" w14:textId="77777777" w:rsidR="00000000" w:rsidRDefault="00EB4933">
            <w:pPr>
              <w:pStyle w:val="NormalWeb"/>
              <w:spacing w:before="0" w:beforeAutospacing="0" w:after="0" w:afterAutospacing="0"/>
              <w:jc w:val="center"/>
              <w:rPr>
                <w:sz w:val="20"/>
                <w:szCs w:val="20"/>
              </w:rPr>
            </w:pPr>
            <w:r>
              <w:rPr>
                <w:sz w:val="20"/>
                <w:szCs w:val="20"/>
              </w:rPr>
              <w:t>18</w:t>
            </w:r>
          </w:p>
        </w:tc>
        <w:tc>
          <w:tcPr>
            <w:tcW w:w="50" w:type="pct"/>
            <w:shd w:val="clear" w:color="auto" w:fill="CCEEFF"/>
            <w:noWrap/>
            <w:vAlign w:val="center"/>
            <w:hideMark/>
          </w:tcPr>
          <w:p w14:paraId="0009710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429AB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735877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B9BB254" w14:textId="77777777" w:rsidR="00000000" w:rsidRDefault="00EB4933">
            <w:pPr>
              <w:jc w:val="right"/>
              <w:rPr>
                <w:rFonts w:eastAsia="Times New Roman"/>
                <w:sz w:val="20"/>
                <w:szCs w:val="20"/>
              </w:rPr>
            </w:pPr>
            <w:r>
              <w:rPr>
                <w:rFonts w:eastAsia="Times New Roman"/>
                <w:sz w:val="20"/>
                <w:szCs w:val="20"/>
              </w:rPr>
              <w:t>9</w:t>
            </w:r>
          </w:p>
        </w:tc>
        <w:tc>
          <w:tcPr>
            <w:tcW w:w="50" w:type="pct"/>
            <w:shd w:val="clear" w:color="auto" w:fill="CCEEFF"/>
            <w:noWrap/>
            <w:tcMar>
              <w:top w:w="0" w:type="dxa"/>
              <w:left w:w="0" w:type="dxa"/>
              <w:bottom w:w="15" w:type="dxa"/>
              <w:right w:w="0" w:type="dxa"/>
            </w:tcMar>
            <w:vAlign w:val="center"/>
            <w:hideMark/>
          </w:tcPr>
          <w:p w14:paraId="6F1501B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EF314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A42575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E1EA48A" w14:textId="77777777" w:rsidR="00000000" w:rsidRDefault="00EB4933">
            <w:pPr>
              <w:jc w:val="right"/>
              <w:rPr>
                <w:rFonts w:eastAsia="Times New Roman"/>
                <w:sz w:val="20"/>
                <w:szCs w:val="20"/>
              </w:rPr>
            </w:pPr>
            <w:r>
              <w:rPr>
                <w:rFonts w:eastAsia="Times New Roman"/>
                <w:sz w:val="20"/>
                <w:szCs w:val="20"/>
              </w:rPr>
              <w:t>7</w:t>
            </w:r>
          </w:p>
        </w:tc>
        <w:tc>
          <w:tcPr>
            <w:tcW w:w="50" w:type="pct"/>
            <w:shd w:val="clear" w:color="auto" w:fill="CCEEFF"/>
            <w:noWrap/>
            <w:tcMar>
              <w:top w:w="0" w:type="dxa"/>
              <w:left w:w="0" w:type="dxa"/>
              <w:bottom w:w="15" w:type="dxa"/>
              <w:right w:w="0" w:type="dxa"/>
            </w:tcMar>
            <w:vAlign w:val="center"/>
            <w:hideMark/>
          </w:tcPr>
          <w:p w14:paraId="389B117C" w14:textId="77777777" w:rsidR="00000000" w:rsidRDefault="00EB4933">
            <w:pPr>
              <w:pStyle w:val="NormalWeb"/>
              <w:spacing w:before="0" w:beforeAutospacing="0" w:after="0" w:afterAutospacing="0"/>
              <w:rPr>
                <w:sz w:val="20"/>
                <w:szCs w:val="20"/>
              </w:rPr>
            </w:pPr>
            <w:r>
              <w:rPr>
                <w:sz w:val="20"/>
                <w:szCs w:val="20"/>
              </w:rPr>
              <w:t> </w:t>
            </w:r>
          </w:p>
        </w:tc>
      </w:tr>
      <w:tr w:rsidR="00000000" w14:paraId="4A47A8D4" w14:textId="77777777">
        <w:trPr>
          <w:divId w:val="98525094"/>
          <w:trHeight w:val="225"/>
          <w:tblCellSpacing w:w="15" w:type="dxa"/>
        </w:trPr>
        <w:tc>
          <w:tcPr>
            <w:tcW w:w="0" w:type="auto"/>
            <w:shd w:val="clear" w:color="auto" w:fill="FFFFFF"/>
            <w:hideMark/>
          </w:tcPr>
          <w:p w14:paraId="38896FB0" w14:textId="77777777" w:rsidR="00000000" w:rsidRDefault="00EB4933">
            <w:pPr>
              <w:pStyle w:val="NormalWeb"/>
              <w:spacing w:before="0" w:beforeAutospacing="0" w:after="0" w:afterAutospacing="0"/>
              <w:rPr>
                <w:sz w:val="20"/>
                <w:szCs w:val="20"/>
              </w:rPr>
            </w:pPr>
            <w:r>
              <w:rPr>
                <w:rStyle w:val="Strong"/>
                <w:sz w:val="20"/>
                <w:szCs w:val="20"/>
              </w:rPr>
              <w:lastRenderedPageBreak/>
              <w:t>Total non-current assets</w:t>
            </w:r>
          </w:p>
        </w:tc>
        <w:tc>
          <w:tcPr>
            <w:tcW w:w="50" w:type="pct"/>
            <w:shd w:val="clear" w:color="auto" w:fill="FFFFFF"/>
            <w:noWrap/>
            <w:vAlign w:val="center"/>
            <w:hideMark/>
          </w:tcPr>
          <w:p w14:paraId="0B8E731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2E18C5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D11F9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B6FE1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D3E7E5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1819C1B" w14:textId="77777777" w:rsidR="00000000" w:rsidRDefault="00EB4933">
            <w:pPr>
              <w:jc w:val="right"/>
              <w:rPr>
                <w:rFonts w:eastAsia="Times New Roman"/>
                <w:sz w:val="20"/>
                <w:szCs w:val="20"/>
              </w:rPr>
            </w:pPr>
            <w:r>
              <w:rPr>
                <w:rFonts w:eastAsia="Times New Roman"/>
                <w:sz w:val="20"/>
                <w:szCs w:val="20"/>
              </w:rPr>
              <w:t>50,833</w:t>
            </w:r>
          </w:p>
        </w:tc>
        <w:tc>
          <w:tcPr>
            <w:tcW w:w="50" w:type="pct"/>
            <w:shd w:val="clear" w:color="auto" w:fill="FFFFFF"/>
            <w:noWrap/>
            <w:tcMar>
              <w:top w:w="0" w:type="dxa"/>
              <w:left w:w="0" w:type="dxa"/>
              <w:bottom w:w="15" w:type="dxa"/>
              <w:right w:w="0" w:type="dxa"/>
            </w:tcMar>
            <w:vAlign w:val="center"/>
            <w:hideMark/>
          </w:tcPr>
          <w:p w14:paraId="744EA31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D420D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FFCD6C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1C9A2F5" w14:textId="77777777" w:rsidR="00000000" w:rsidRDefault="00EB4933">
            <w:pPr>
              <w:jc w:val="right"/>
              <w:rPr>
                <w:rFonts w:eastAsia="Times New Roman"/>
                <w:sz w:val="20"/>
                <w:szCs w:val="20"/>
              </w:rPr>
            </w:pPr>
            <w:r>
              <w:rPr>
                <w:rFonts w:eastAsia="Times New Roman"/>
                <w:sz w:val="20"/>
                <w:szCs w:val="20"/>
              </w:rPr>
              <w:t>48,137</w:t>
            </w:r>
          </w:p>
        </w:tc>
        <w:tc>
          <w:tcPr>
            <w:tcW w:w="50" w:type="pct"/>
            <w:shd w:val="clear" w:color="auto" w:fill="FFFFFF"/>
            <w:noWrap/>
            <w:tcMar>
              <w:top w:w="0" w:type="dxa"/>
              <w:left w:w="0" w:type="dxa"/>
              <w:bottom w:w="15" w:type="dxa"/>
              <w:right w:w="0" w:type="dxa"/>
            </w:tcMar>
            <w:vAlign w:val="center"/>
            <w:hideMark/>
          </w:tcPr>
          <w:p w14:paraId="3F7D703D" w14:textId="77777777" w:rsidR="00000000" w:rsidRDefault="00EB4933">
            <w:pPr>
              <w:pStyle w:val="NormalWeb"/>
              <w:spacing w:before="0" w:beforeAutospacing="0" w:after="0" w:afterAutospacing="0"/>
              <w:rPr>
                <w:sz w:val="20"/>
                <w:szCs w:val="20"/>
              </w:rPr>
            </w:pPr>
            <w:r>
              <w:rPr>
                <w:sz w:val="20"/>
                <w:szCs w:val="20"/>
              </w:rPr>
              <w:t> </w:t>
            </w:r>
          </w:p>
        </w:tc>
      </w:tr>
      <w:tr w:rsidR="00000000" w14:paraId="6BF1558E" w14:textId="77777777">
        <w:trPr>
          <w:divId w:val="98525094"/>
          <w:trHeight w:val="225"/>
          <w:tblCellSpacing w:w="15" w:type="dxa"/>
        </w:trPr>
        <w:tc>
          <w:tcPr>
            <w:tcW w:w="0" w:type="auto"/>
            <w:shd w:val="clear" w:color="auto" w:fill="CCEEFF"/>
            <w:vAlign w:val="center"/>
            <w:hideMark/>
          </w:tcPr>
          <w:p w14:paraId="3A24B09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97A06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FF2039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81503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F0027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9B3B9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549D7B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E5426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302DD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5CAB6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728CE7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854D3F" w14:textId="77777777" w:rsidR="00000000" w:rsidRDefault="00EB4933">
            <w:pPr>
              <w:pStyle w:val="NormalWeb"/>
              <w:spacing w:before="0" w:beforeAutospacing="0" w:after="0" w:afterAutospacing="0"/>
              <w:rPr>
                <w:sz w:val="20"/>
                <w:szCs w:val="20"/>
              </w:rPr>
            </w:pPr>
            <w:r>
              <w:rPr>
                <w:sz w:val="20"/>
                <w:szCs w:val="20"/>
              </w:rPr>
              <w:t> </w:t>
            </w:r>
          </w:p>
        </w:tc>
      </w:tr>
      <w:tr w:rsidR="00000000" w14:paraId="44FB6A1E" w14:textId="77777777">
        <w:trPr>
          <w:divId w:val="98525094"/>
          <w:trHeight w:val="225"/>
          <w:tblCellSpacing w:w="15" w:type="dxa"/>
        </w:trPr>
        <w:tc>
          <w:tcPr>
            <w:tcW w:w="0" w:type="auto"/>
            <w:shd w:val="clear" w:color="auto" w:fill="FFFFFF"/>
            <w:hideMark/>
          </w:tcPr>
          <w:p w14:paraId="246C2977" w14:textId="77777777" w:rsidR="00000000" w:rsidRDefault="00EB4933">
            <w:pPr>
              <w:pStyle w:val="NormalWeb"/>
              <w:spacing w:before="0" w:beforeAutospacing="0" w:after="0" w:afterAutospacing="0"/>
              <w:rPr>
                <w:sz w:val="20"/>
                <w:szCs w:val="20"/>
              </w:rPr>
            </w:pPr>
            <w:r>
              <w:rPr>
                <w:rStyle w:val="Strong"/>
                <w:sz w:val="20"/>
                <w:szCs w:val="20"/>
              </w:rPr>
              <w:t>Total assets</w:t>
            </w:r>
          </w:p>
        </w:tc>
        <w:tc>
          <w:tcPr>
            <w:tcW w:w="50" w:type="pct"/>
            <w:shd w:val="clear" w:color="auto" w:fill="FFFFFF"/>
            <w:noWrap/>
            <w:vAlign w:val="center"/>
            <w:hideMark/>
          </w:tcPr>
          <w:p w14:paraId="647F7DE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A0D6E7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54A95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F273F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12566A2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1833E55D" w14:textId="77777777" w:rsidR="00000000" w:rsidRDefault="00EB4933">
            <w:pPr>
              <w:jc w:val="right"/>
              <w:rPr>
                <w:rFonts w:eastAsia="Times New Roman"/>
                <w:sz w:val="20"/>
                <w:szCs w:val="20"/>
              </w:rPr>
            </w:pPr>
            <w:r>
              <w:rPr>
                <w:rFonts w:eastAsia="Times New Roman"/>
                <w:sz w:val="20"/>
                <w:szCs w:val="20"/>
              </w:rPr>
              <w:t>641,770</w:t>
            </w:r>
          </w:p>
        </w:tc>
        <w:tc>
          <w:tcPr>
            <w:tcW w:w="50" w:type="pct"/>
            <w:shd w:val="clear" w:color="auto" w:fill="FFFFFF"/>
            <w:noWrap/>
            <w:tcMar>
              <w:top w:w="0" w:type="dxa"/>
              <w:left w:w="0" w:type="dxa"/>
              <w:bottom w:w="45" w:type="dxa"/>
              <w:right w:w="0" w:type="dxa"/>
            </w:tcMar>
            <w:vAlign w:val="center"/>
            <w:hideMark/>
          </w:tcPr>
          <w:p w14:paraId="19F2F04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F8EFA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440E5F9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7675E4BE" w14:textId="77777777" w:rsidR="00000000" w:rsidRDefault="00EB4933">
            <w:pPr>
              <w:jc w:val="right"/>
              <w:rPr>
                <w:rFonts w:eastAsia="Times New Roman"/>
                <w:sz w:val="20"/>
                <w:szCs w:val="20"/>
              </w:rPr>
            </w:pPr>
            <w:r>
              <w:rPr>
                <w:rFonts w:eastAsia="Times New Roman"/>
                <w:sz w:val="20"/>
                <w:szCs w:val="20"/>
              </w:rPr>
              <w:t>663,748</w:t>
            </w:r>
          </w:p>
        </w:tc>
        <w:tc>
          <w:tcPr>
            <w:tcW w:w="50" w:type="pct"/>
            <w:shd w:val="clear" w:color="auto" w:fill="FFFFFF"/>
            <w:noWrap/>
            <w:tcMar>
              <w:top w:w="0" w:type="dxa"/>
              <w:left w:w="0" w:type="dxa"/>
              <w:bottom w:w="45" w:type="dxa"/>
              <w:right w:w="0" w:type="dxa"/>
            </w:tcMar>
            <w:vAlign w:val="center"/>
            <w:hideMark/>
          </w:tcPr>
          <w:p w14:paraId="23D53267" w14:textId="77777777" w:rsidR="00000000" w:rsidRDefault="00EB4933">
            <w:pPr>
              <w:pStyle w:val="NormalWeb"/>
              <w:spacing w:before="0" w:beforeAutospacing="0" w:after="0" w:afterAutospacing="0"/>
              <w:rPr>
                <w:sz w:val="20"/>
                <w:szCs w:val="20"/>
              </w:rPr>
            </w:pPr>
            <w:r>
              <w:rPr>
                <w:sz w:val="20"/>
                <w:szCs w:val="20"/>
              </w:rPr>
              <w:t> </w:t>
            </w:r>
          </w:p>
        </w:tc>
      </w:tr>
      <w:tr w:rsidR="00000000" w14:paraId="5753A2C6" w14:textId="77777777">
        <w:trPr>
          <w:divId w:val="98525094"/>
          <w:trHeight w:val="225"/>
          <w:tblCellSpacing w:w="15" w:type="dxa"/>
        </w:trPr>
        <w:tc>
          <w:tcPr>
            <w:tcW w:w="0" w:type="auto"/>
            <w:shd w:val="clear" w:color="auto" w:fill="FFFFFF"/>
            <w:vAlign w:val="center"/>
            <w:hideMark/>
          </w:tcPr>
          <w:p w14:paraId="7C22CC6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094F0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629D33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99326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30A86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B9A70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F4A6E9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80B08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001A0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F4791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0D5E6F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0B088C" w14:textId="77777777" w:rsidR="00000000" w:rsidRDefault="00EB4933">
            <w:pPr>
              <w:pStyle w:val="NormalWeb"/>
              <w:spacing w:before="0" w:beforeAutospacing="0" w:after="0" w:afterAutospacing="0"/>
              <w:rPr>
                <w:sz w:val="20"/>
                <w:szCs w:val="20"/>
              </w:rPr>
            </w:pPr>
            <w:r>
              <w:rPr>
                <w:sz w:val="20"/>
                <w:szCs w:val="20"/>
              </w:rPr>
              <w:t> </w:t>
            </w:r>
          </w:p>
        </w:tc>
      </w:tr>
      <w:tr w:rsidR="00000000" w14:paraId="19A162C9" w14:textId="77777777">
        <w:trPr>
          <w:divId w:val="98525094"/>
          <w:trHeight w:val="225"/>
          <w:tblCellSpacing w:w="15" w:type="dxa"/>
        </w:trPr>
        <w:tc>
          <w:tcPr>
            <w:tcW w:w="0" w:type="auto"/>
            <w:shd w:val="clear" w:color="auto" w:fill="FFFFFF"/>
            <w:hideMark/>
          </w:tcPr>
          <w:p w14:paraId="3E985D72" w14:textId="77777777" w:rsidR="00000000" w:rsidRDefault="00EB4933">
            <w:pPr>
              <w:pStyle w:val="NormalWeb"/>
              <w:spacing w:before="0" w:beforeAutospacing="0" w:after="0" w:afterAutospacing="0"/>
              <w:rPr>
                <w:sz w:val="20"/>
                <w:szCs w:val="20"/>
              </w:rPr>
            </w:pPr>
            <w:r>
              <w:rPr>
                <w:rStyle w:val="Strong"/>
                <w:sz w:val="20"/>
                <w:szCs w:val="20"/>
              </w:rPr>
              <w:t>CURRENT LIABILITIES</w:t>
            </w:r>
          </w:p>
        </w:tc>
        <w:tc>
          <w:tcPr>
            <w:tcW w:w="50" w:type="pct"/>
            <w:shd w:val="clear" w:color="auto" w:fill="FFFFFF"/>
            <w:noWrap/>
            <w:vAlign w:val="center"/>
            <w:hideMark/>
          </w:tcPr>
          <w:p w14:paraId="7645BE3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CA05CF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1A4C4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EE6CE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D4E3E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13937F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25E1F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5AA0A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D17A3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14B34A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2FB0E1" w14:textId="77777777" w:rsidR="00000000" w:rsidRDefault="00EB4933">
            <w:pPr>
              <w:pStyle w:val="NormalWeb"/>
              <w:spacing w:before="0" w:beforeAutospacing="0" w:after="0" w:afterAutospacing="0"/>
              <w:rPr>
                <w:sz w:val="20"/>
                <w:szCs w:val="20"/>
              </w:rPr>
            </w:pPr>
            <w:r>
              <w:rPr>
                <w:sz w:val="20"/>
                <w:szCs w:val="20"/>
              </w:rPr>
              <w:t> </w:t>
            </w:r>
          </w:p>
        </w:tc>
      </w:tr>
      <w:tr w:rsidR="00000000" w14:paraId="4060B379" w14:textId="77777777">
        <w:trPr>
          <w:divId w:val="98525094"/>
          <w:trHeight w:val="225"/>
          <w:tblCellSpacing w:w="15" w:type="dxa"/>
        </w:trPr>
        <w:tc>
          <w:tcPr>
            <w:tcW w:w="0" w:type="auto"/>
            <w:shd w:val="clear" w:color="auto" w:fill="CCEEFF"/>
            <w:hideMark/>
          </w:tcPr>
          <w:p w14:paraId="5F577197" w14:textId="77777777" w:rsidR="00000000" w:rsidRDefault="00EB4933">
            <w:pPr>
              <w:pStyle w:val="NormalWeb"/>
              <w:spacing w:before="0" w:beforeAutospacing="0" w:after="0" w:afterAutospacing="0"/>
              <w:rPr>
                <w:sz w:val="20"/>
                <w:szCs w:val="20"/>
              </w:rPr>
            </w:pPr>
            <w:r>
              <w:rPr>
                <w:sz w:val="20"/>
                <w:szCs w:val="20"/>
              </w:rPr>
              <w:t>Loans payable</w:t>
            </w:r>
          </w:p>
        </w:tc>
        <w:tc>
          <w:tcPr>
            <w:tcW w:w="50" w:type="pct"/>
            <w:shd w:val="clear" w:color="auto" w:fill="CCEEFF"/>
            <w:noWrap/>
            <w:vAlign w:val="center"/>
            <w:hideMark/>
          </w:tcPr>
          <w:p w14:paraId="38AD8D0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507A027" w14:textId="77777777" w:rsidR="00000000" w:rsidRDefault="00EB4933">
            <w:pPr>
              <w:pStyle w:val="NormalWeb"/>
              <w:spacing w:before="0" w:beforeAutospacing="0" w:after="0" w:afterAutospacing="0"/>
              <w:jc w:val="center"/>
              <w:rPr>
                <w:sz w:val="20"/>
                <w:szCs w:val="20"/>
              </w:rPr>
            </w:pPr>
            <w:r>
              <w:rPr>
                <w:sz w:val="20"/>
                <w:szCs w:val="20"/>
              </w:rPr>
              <w:t>19</w:t>
            </w:r>
          </w:p>
        </w:tc>
        <w:tc>
          <w:tcPr>
            <w:tcW w:w="50" w:type="pct"/>
            <w:shd w:val="clear" w:color="auto" w:fill="CCEEFF"/>
            <w:noWrap/>
            <w:vAlign w:val="center"/>
            <w:hideMark/>
          </w:tcPr>
          <w:p w14:paraId="4097DFD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74307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74703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701DB27" w14:textId="77777777" w:rsidR="00000000" w:rsidRDefault="00EB4933">
            <w:pPr>
              <w:jc w:val="right"/>
              <w:rPr>
                <w:rFonts w:eastAsia="Times New Roman"/>
                <w:sz w:val="20"/>
                <w:szCs w:val="20"/>
              </w:rPr>
            </w:pPr>
            <w:r>
              <w:rPr>
                <w:rFonts w:eastAsia="Times New Roman"/>
                <w:sz w:val="20"/>
                <w:szCs w:val="20"/>
              </w:rPr>
              <w:t>200,417</w:t>
            </w:r>
          </w:p>
        </w:tc>
        <w:tc>
          <w:tcPr>
            <w:tcW w:w="50" w:type="pct"/>
            <w:shd w:val="clear" w:color="auto" w:fill="CCEEFF"/>
            <w:noWrap/>
            <w:vAlign w:val="center"/>
            <w:hideMark/>
          </w:tcPr>
          <w:p w14:paraId="2D41339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65328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51070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186FC59" w14:textId="77777777" w:rsidR="00000000" w:rsidRDefault="00EB4933">
            <w:pPr>
              <w:jc w:val="right"/>
              <w:rPr>
                <w:rFonts w:eastAsia="Times New Roman"/>
                <w:sz w:val="20"/>
                <w:szCs w:val="20"/>
              </w:rPr>
            </w:pPr>
            <w:r>
              <w:rPr>
                <w:rFonts w:eastAsia="Times New Roman"/>
                <w:sz w:val="20"/>
                <w:szCs w:val="20"/>
              </w:rPr>
              <w:t>172,891</w:t>
            </w:r>
          </w:p>
        </w:tc>
        <w:tc>
          <w:tcPr>
            <w:tcW w:w="50" w:type="pct"/>
            <w:shd w:val="clear" w:color="auto" w:fill="CCEEFF"/>
            <w:noWrap/>
            <w:vAlign w:val="center"/>
            <w:hideMark/>
          </w:tcPr>
          <w:p w14:paraId="028B985C" w14:textId="77777777" w:rsidR="00000000" w:rsidRDefault="00EB4933">
            <w:pPr>
              <w:pStyle w:val="NormalWeb"/>
              <w:spacing w:before="0" w:beforeAutospacing="0" w:after="0" w:afterAutospacing="0"/>
              <w:rPr>
                <w:sz w:val="20"/>
                <w:szCs w:val="20"/>
              </w:rPr>
            </w:pPr>
            <w:r>
              <w:rPr>
                <w:sz w:val="20"/>
                <w:szCs w:val="20"/>
              </w:rPr>
              <w:t> </w:t>
            </w:r>
          </w:p>
        </w:tc>
      </w:tr>
      <w:tr w:rsidR="00000000" w14:paraId="13665B4C" w14:textId="77777777">
        <w:trPr>
          <w:divId w:val="98525094"/>
          <w:trHeight w:val="225"/>
          <w:tblCellSpacing w:w="15" w:type="dxa"/>
        </w:trPr>
        <w:tc>
          <w:tcPr>
            <w:tcW w:w="0" w:type="auto"/>
            <w:shd w:val="clear" w:color="auto" w:fill="FFFFFF"/>
            <w:hideMark/>
          </w:tcPr>
          <w:p w14:paraId="58D20FAF" w14:textId="77777777" w:rsidR="00000000" w:rsidRDefault="00EB4933">
            <w:pPr>
              <w:pStyle w:val="NormalWeb"/>
              <w:spacing w:before="0" w:beforeAutospacing="0" w:after="0" w:afterAutospacing="0"/>
              <w:rPr>
                <w:sz w:val="20"/>
                <w:szCs w:val="20"/>
              </w:rPr>
            </w:pPr>
            <w:r>
              <w:rPr>
                <w:sz w:val="20"/>
                <w:szCs w:val="20"/>
              </w:rPr>
              <w:t>Salary and benefit payable</w:t>
            </w:r>
          </w:p>
        </w:tc>
        <w:tc>
          <w:tcPr>
            <w:tcW w:w="50" w:type="pct"/>
            <w:shd w:val="clear" w:color="auto" w:fill="FFFFFF"/>
            <w:noWrap/>
            <w:vAlign w:val="center"/>
            <w:hideMark/>
          </w:tcPr>
          <w:p w14:paraId="0DB09E8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BBEF889" w14:textId="77777777" w:rsidR="00000000" w:rsidRDefault="00EB4933">
            <w:pPr>
              <w:pStyle w:val="NormalWeb"/>
              <w:spacing w:before="0" w:beforeAutospacing="0" w:after="0" w:afterAutospacing="0"/>
              <w:jc w:val="center"/>
              <w:rPr>
                <w:sz w:val="20"/>
                <w:szCs w:val="20"/>
              </w:rPr>
            </w:pPr>
            <w:r>
              <w:rPr>
                <w:sz w:val="20"/>
                <w:szCs w:val="20"/>
              </w:rPr>
              <w:t>20</w:t>
            </w:r>
          </w:p>
        </w:tc>
        <w:tc>
          <w:tcPr>
            <w:tcW w:w="50" w:type="pct"/>
            <w:shd w:val="clear" w:color="auto" w:fill="FFFFFF"/>
            <w:noWrap/>
            <w:vAlign w:val="center"/>
            <w:hideMark/>
          </w:tcPr>
          <w:p w14:paraId="785188E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FD8CF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15963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33024D5" w14:textId="77777777" w:rsidR="00000000" w:rsidRDefault="00EB4933">
            <w:pPr>
              <w:jc w:val="right"/>
              <w:rPr>
                <w:rFonts w:eastAsia="Times New Roman"/>
                <w:sz w:val="20"/>
                <w:szCs w:val="20"/>
              </w:rPr>
            </w:pPr>
            <w:r>
              <w:rPr>
                <w:rFonts w:eastAsia="Times New Roman"/>
                <w:sz w:val="20"/>
                <w:szCs w:val="20"/>
              </w:rPr>
              <w:t>1,411</w:t>
            </w:r>
          </w:p>
        </w:tc>
        <w:tc>
          <w:tcPr>
            <w:tcW w:w="50" w:type="pct"/>
            <w:shd w:val="clear" w:color="auto" w:fill="FFFFFF"/>
            <w:noWrap/>
            <w:vAlign w:val="center"/>
            <w:hideMark/>
          </w:tcPr>
          <w:p w14:paraId="6901ADF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7C75A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B9DDE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283ED00" w14:textId="77777777" w:rsidR="00000000" w:rsidRDefault="00EB4933">
            <w:pPr>
              <w:jc w:val="right"/>
              <w:rPr>
                <w:rFonts w:eastAsia="Times New Roman"/>
                <w:sz w:val="20"/>
                <w:szCs w:val="20"/>
              </w:rPr>
            </w:pPr>
            <w:r>
              <w:rPr>
                <w:rFonts w:eastAsia="Times New Roman"/>
                <w:sz w:val="20"/>
                <w:szCs w:val="20"/>
              </w:rPr>
              <w:t>5,261</w:t>
            </w:r>
          </w:p>
        </w:tc>
        <w:tc>
          <w:tcPr>
            <w:tcW w:w="50" w:type="pct"/>
            <w:shd w:val="clear" w:color="auto" w:fill="FFFFFF"/>
            <w:noWrap/>
            <w:vAlign w:val="center"/>
            <w:hideMark/>
          </w:tcPr>
          <w:p w14:paraId="6A27C967" w14:textId="77777777" w:rsidR="00000000" w:rsidRDefault="00EB4933">
            <w:pPr>
              <w:pStyle w:val="NormalWeb"/>
              <w:spacing w:before="0" w:beforeAutospacing="0" w:after="0" w:afterAutospacing="0"/>
              <w:rPr>
                <w:sz w:val="20"/>
                <w:szCs w:val="20"/>
              </w:rPr>
            </w:pPr>
            <w:r>
              <w:rPr>
                <w:sz w:val="20"/>
                <w:szCs w:val="20"/>
              </w:rPr>
              <w:t> </w:t>
            </w:r>
          </w:p>
        </w:tc>
      </w:tr>
      <w:tr w:rsidR="00000000" w14:paraId="06A8F02B" w14:textId="77777777">
        <w:trPr>
          <w:divId w:val="98525094"/>
          <w:trHeight w:val="225"/>
          <w:tblCellSpacing w:w="15" w:type="dxa"/>
        </w:trPr>
        <w:tc>
          <w:tcPr>
            <w:tcW w:w="0" w:type="auto"/>
            <w:shd w:val="clear" w:color="auto" w:fill="CCEEFF"/>
            <w:hideMark/>
          </w:tcPr>
          <w:p w14:paraId="58C93525" w14:textId="77777777" w:rsidR="00000000" w:rsidRDefault="00EB4933">
            <w:pPr>
              <w:pStyle w:val="NormalWeb"/>
              <w:spacing w:before="0" w:beforeAutospacing="0" w:after="0" w:afterAutospacing="0"/>
              <w:rPr>
                <w:sz w:val="20"/>
                <w:szCs w:val="20"/>
              </w:rPr>
            </w:pPr>
            <w:r>
              <w:rPr>
                <w:sz w:val="20"/>
                <w:szCs w:val="20"/>
              </w:rPr>
              <w:t>Income taxes payable</w:t>
            </w:r>
          </w:p>
        </w:tc>
        <w:tc>
          <w:tcPr>
            <w:tcW w:w="50" w:type="pct"/>
            <w:shd w:val="clear" w:color="auto" w:fill="CCEEFF"/>
            <w:noWrap/>
            <w:vAlign w:val="center"/>
            <w:hideMark/>
          </w:tcPr>
          <w:p w14:paraId="3A08B1A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A94D62B" w14:textId="77777777" w:rsidR="00000000" w:rsidRDefault="00EB4933">
            <w:pPr>
              <w:pStyle w:val="NormalWeb"/>
              <w:spacing w:before="0" w:beforeAutospacing="0" w:after="0" w:afterAutospacing="0"/>
              <w:jc w:val="center"/>
              <w:rPr>
                <w:sz w:val="20"/>
                <w:szCs w:val="20"/>
              </w:rPr>
            </w:pPr>
            <w:r>
              <w:rPr>
                <w:sz w:val="20"/>
                <w:szCs w:val="20"/>
              </w:rPr>
              <w:t>21</w:t>
            </w:r>
          </w:p>
        </w:tc>
        <w:tc>
          <w:tcPr>
            <w:tcW w:w="50" w:type="pct"/>
            <w:shd w:val="clear" w:color="auto" w:fill="CCEEFF"/>
            <w:noWrap/>
            <w:vAlign w:val="center"/>
            <w:hideMark/>
          </w:tcPr>
          <w:p w14:paraId="3AE922C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E859E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CDC77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968E955" w14:textId="77777777" w:rsidR="00000000" w:rsidRDefault="00EB4933">
            <w:pPr>
              <w:jc w:val="right"/>
              <w:rPr>
                <w:rFonts w:eastAsia="Times New Roman"/>
                <w:sz w:val="20"/>
                <w:szCs w:val="20"/>
              </w:rPr>
            </w:pPr>
            <w:r>
              <w:rPr>
                <w:rFonts w:eastAsia="Times New Roman"/>
                <w:sz w:val="20"/>
                <w:szCs w:val="20"/>
              </w:rPr>
              <w:t>32,477</w:t>
            </w:r>
          </w:p>
        </w:tc>
        <w:tc>
          <w:tcPr>
            <w:tcW w:w="50" w:type="pct"/>
            <w:shd w:val="clear" w:color="auto" w:fill="CCEEFF"/>
            <w:noWrap/>
            <w:vAlign w:val="center"/>
            <w:hideMark/>
          </w:tcPr>
          <w:p w14:paraId="38CC2CF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E58CF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5ECBE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FC06E40" w14:textId="77777777" w:rsidR="00000000" w:rsidRDefault="00EB4933">
            <w:pPr>
              <w:jc w:val="right"/>
              <w:rPr>
                <w:rFonts w:eastAsia="Times New Roman"/>
                <w:sz w:val="20"/>
                <w:szCs w:val="20"/>
              </w:rPr>
            </w:pPr>
            <w:r>
              <w:rPr>
                <w:rFonts w:eastAsia="Times New Roman"/>
                <w:sz w:val="20"/>
                <w:szCs w:val="20"/>
              </w:rPr>
              <w:t>32,477</w:t>
            </w:r>
          </w:p>
        </w:tc>
        <w:tc>
          <w:tcPr>
            <w:tcW w:w="50" w:type="pct"/>
            <w:shd w:val="clear" w:color="auto" w:fill="CCEEFF"/>
            <w:noWrap/>
            <w:vAlign w:val="center"/>
            <w:hideMark/>
          </w:tcPr>
          <w:p w14:paraId="24525C3A" w14:textId="77777777" w:rsidR="00000000" w:rsidRDefault="00EB4933">
            <w:pPr>
              <w:pStyle w:val="NormalWeb"/>
              <w:spacing w:before="0" w:beforeAutospacing="0" w:after="0" w:afterAutospacing="0"/>
              <w:rPr>
                <w:sz w:val="20"/>
                <w:szCs w:val="20"/>
              </w:rPr>
            </w:pPr>
            <w:r>
              <w:rPr>
                <w:sz w:val="20"/>
                <w:szCs w:val="20"/>
              </w:rPr>
              <w:t> </w:t>
            </w:r>
          </w:p>
        </w:tc>
      </w:tr>
      <w:tr w:rsidR="00000000" w14:paraId="06DCCF1A" w14:textId="77777777">
        <w:trPr>
          <w:divId w:val="98525094"/>
          <w:trHeight w:val="225"/>
          <w:tblCellSpacing w:w="15" w:type="dxa"/>
        </w:trPr>
        <w:tc>
          <w:tcPr>
            <w:tcW w:w="0" w:type="auto"/>
            <w:shd w:val="clear" w:color="auto" w:fill="FFFFFF"/>
            <w:hideMark/>
          </w:tcPr>
          <w:p w14:paraId="1A1265F5" w14:textId="77777777" w:rsidR="00000000" w:rsidRDefault="00EB4933">
            <w:pPr>
              <w:pStyle w:val="NormalWeb"/>
              <w:spacing w:before="0" w:beforeAutospacing="0" w:after="0" w:afterAutospacing="0"/>
              <w:rPr>
                <w:sz w:val="20"/>
                <w:szCs w:val="20"/>
              </w:rPr>
            </w:pPr>
            <w:r>
              <w:rPr>
                <w:sz w:val="20"/>
                <w:szCs w:val="20"/>
              </w:rPr>
              <w:t>Interest payable</w:t>
            </w:r>
          </w:p>
        </w:tc>
        <w:tc>
          <w:tcPr>
            <w:tcW w:w="50" w:type="pct"/>
            <w:shd w:val="clear" w:color="auto" w:fill="FFFFFF"/>
            <w:noWrap/>
            <w:vAlign w:val="center"/>
            <w:hideMark/>
          </w:tcPr>
          <w:p w14:paraId="4EDE34A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D96E3E7" w14:textId="77777777" w:rsidR="00000000" w:rsidRDefault="00EB4933">
            <w:pPr>
              <w:pStyle w:val="NormalWeb"/>
              <w:spacing w:before="0" w:beforeAutospacing="0" w:after="0" w:afterAutospacing="0"/>
              <w:jc w:val="center"/>
              <w:rPr>
                <w:sz w:val="20"/>
                <w:szCs w:val="20"/>
              </w:rPr>
            </w:pPr>
            <w:r>
              <w:rPr>
                <w:sz w:val="20"/>
                <w:szCs w:val="20"/>
              </w:rPr>
              <w:t>22</w:t>
            </w:r>
          </w:p>
        </w:tc>
        <w:tc>
          <w:tcPr>
            <w:tcW w:w="50" w:type="pct"/>
            <w:shd w:val="clear" w:color="auto" w:fill="FFFFFF"/>
            <w:noWrap/>
            <w:vAlign w:val="center"/>
            <w:hideMark/>
          </w:tcPr>
          <w:p w14:paraId="60B1EAB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86212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B1E71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BFB8A70" w14:textId="77777777" w:rsidR="00000000" w:rsidRDefault="00EB4933">
            <w:pPr>
              <w:jc w:val="right"/>
              <w:rPr>
                <w:rFonts w:eastAsia="Times New Roman"/>
                <w:sz w:val="20"/>
                <w:szCs w:val="20"/>
              </w:rPr>
            </w:pPr>
            <w:r>
              <w:rPr>
                <w:rFonts w:eastAsia="Times New Roman"/>
                <w:sz w:val="20"/>
                <w:szCs w:val="20"/>
              </w:rPr>
              <w:t>5,139</w:t>
            </w:r>
          </w:p>
        </w:tc>
        <w:tc>
          <w:tcPr>
            <w:tcW w:w="50" w:type="pct"/>
            <w:shd w:val="clear" w:color="auto" w:fill="FFFFFF"/>
            <w:noWrap/>
            <w:vAlign w:val="center"/>
            <w:hideMark/>
          </w:tcPr>
          <w:p w14:paraId="2BFADB2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B659B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9D50B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D2E915D" w14:textId="77777777" w:rsidR="00000000" w:rsidRDefault="00EB4933">
            <w:pPr>
              <w:jc w:val="right"/>
              <w:rPr>
                <w:rFonts w:eastAsia="Times New Roman"/>
                <w:sz w:val="20"/>
                <w:szCs w:val="20"/>
              </w:rPr>
            </w:pPr>
            <w:r>
              <w:rPr>
                <w:rFonts w:eastAsia="Times New Roman"/>
                <w:sz w:val="20"/>
                <w:szCs w:val="20"/>
              </w:rPr>
              <w:t>17,723</w:t>
            </w:r>
          </w:p>
        </w:tc>
        <w:tc>
          <w:tcPr>
            <w:tcW w:w="50" w:type="pct"/>
            <w:shd w:val="clear" w:color="auto" w:fill="FFFFFF"/>
            <w:noWrap/>
            <w:vAlign w:val="center"/>
            <w:hideMark/>
          </w:tcPr>
          <w:p w14:paraId="3E8B738D" w14:textId="77777777" w:rsidR="00000000" w:rsidRDefault="00EB4933">
            <w:pPr>
              <w:pStyle w:val="NormalWeb"/>
              <w:spacing w:before="0" w:beforeAutospacing="0" w:after="0" w:afterAutospacing="0"/>
              <w:rPr>
                <w:sz w:val="20"/>
                <w:szCs w:val="20"/>
              </w:rPr>
            </w:pPr>
            <w:r>
              <w:rPr>
                <w:sz w:val="20"/>
                <w:szCs w:val="20"/>
              </w:rPr>
              <w:t> </w:t>
            </w:r>
          </w:p>
        </w:tc>
      </w:tr>
      <w:tr w:rsidR="00000000" w14:paraId="58F984AA" w14:textId="77777777">
        <w:trPr>
          <w:divId w:val="98525094"/>
          <w:trHeight w:val="225"/>
          <w:tblCellSpacing w:w="15" w:type="dxa"/>
        </w:trPr>
        <w:tc>
          <w:tcPr>
            <w:tcW w:w="0" w:type="auto"/>
            <w:shd w:val="clear" w:color="auto" w:fill="CCEEFF"/>
            <w:hideMark/>
          </w:tcPr>
          <w:p w14:paraId="6001DAFB" w14:textId="77777777" w:rsidR="00000000" w:rsidRDefault="00EB4933">
            <w:pPr>
              <w:pStyle w:val="NormalWeb"/>
              <w:spacing w:before="0" w:beforeAutospacing="0" w:after="0" w:afterAutospacing="0"/>
              <w:rPr>
                <w:sz w:val="20"/>
                <w:szCs w:val="20"/>
              </w:rPr>
            </w:pPr>
            <w:r>
              <w:rPr>
                <w:sz w:val="20"/>
                <w:szCs w:val="20"/>
              </w:rPr>
              <w:t>Other payable</w:t>
            </w:r>
          </w:p>
        </w:tc>
        <w:tc>
          <w:tcPr>
            <w:tcW w:w="50" w:type="pct"/>
            <w:shd w:val="clear" w:color="auto" w:fill="CCEEFF"/>
            <w:noWrap/>
            <w:vAlign w:val="center"/>
            <w:hideMark/>
          </w:tcPr>
          <w:p w14:paraId="423AB46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1280931" w14:textId="77777777" w:rsidR="00000000" w:rsidRDefault="00EB4933">
            <w:pPr>
              <w:pStyle w:val="NormalWeb"/>
              <w:spacing w:before="0" w:beforeAutospacing="0" w:after="0" w:afterAutospacing="0"/>
              <w:jc w:val="center"/>
              <w:rPr>
                <w:sz w:val="20"/>
                <w:szCs w:val="20"/>
              </w:rPr>
            </w:pPr>
            <w:r>
              <w:rPr>
                <w:sz w:val="20"/>
                <w:szCs w:val="20"/>
              </w:rPr>
              <w:t>23</w:t>
            </w:r>
          </w:p>
        </w:tc>
        <w:tc>
          <w:tcPr>
            <w:tcW w:w="50" w:type="pct"/>
            <w:shd w:val="clear" w:color="auto" w:fill="CCEEFF"/>
            <w:noWrap/>
            <w:vAlign w:val="center"/>
            <w:hideMark/>
          </w:tcPr>
          <w:p w14:paraId="57F58FF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A0D78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F7996A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6969158" w14:textId="77777777" w:rsidR="00000000" w:rsidRDefault="00EB4933">
            <w:pPr>
              <w:jc w:val="right"/>
              <w:rPr>
                <w:rFonts w:eastAsia="Times New Roman"/>
                <w:sz w:val="20"/>
                <w:szCs w:val="20"/>
              </w:rPr>
            </w:pPr>
            <w:r>
              <w:rPr>
                <w:rFonts w:eastAsia="Times New Roman"/>
                <w:sz w:val="20"/>
                <w:szCs w:val="20"/>
              </w:rPr>
              <w:t>35,260</w:t>
            </w:r>
          </w:p>
        </w:tc>
        <w:tc>
          <w:tcPr>
            <w:tcW w:w="50" w:type="pct"/>
            <w:shd w:val="clear" w:color="auto" w:fill="CCEEFF"/>
            <w:noWrap/>
            <w:tcMar>
              <w:top w:w="0" w:type="dxa"/>
              <w:left w:w="0" w:type="dxa"/>
              <w:bottom w:w="15" w:type="dxa"/>
              <w:right w:w="0" w:type="dxa"/>
            </w:tcMar>
            <w:vAlign w:val="center"/>
            <w:hideMark/>
          </w:tcPr>
          <w:p w14:paraId="7952986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ACE96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481F8C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9325364" w14:textId="77777777" w:rsidR="00000000" w:rsidRDefault="00EB4933">
            <w:pPr>
              <w:jc w:val="right"/>
              <w:rPr>
                <w:rFonts w:eastAsia="Times New Roman"/>
                <w:sz w:val="20"/>
                <w:szCs w:val="20"/>
              </w:rPr>
            </w:pPr>
            <w:r>
              <w:rPr>
                <w:rFonts w:eastAsia="Times New Roman"/>
                <w:sz w:val="20"/>
                <w:szCs w:val="20"/>
              </w:rPr>
              <w:t>9,234</w:t>
            </w:r>
          </w:p>
        </w:tc>
        <w:tc>
          <w:tcPr>
            <w:tcW w:w="50" w:type="pct"/>
            <w:shd w:val="clear" w:color="auto" w:fill="CCEEFF"/>
            <w:noWrap/>
            <w:tcMar>
              <w:top w:w="0" w:type="dxa"/>
              <w:left w:w="0" w:type="dxa"/>
              <w:bottom w:w="15" w:type="dxa"/>
              <w:right w:w="0" w:type="dxa"/>
            </w:tcMar>
            <w:vAlign w:val="center"/>
            <w:hideMark/>
          </w:tcPr>
          <w:p w14:paraId="1AB626C1" w14:textId="77777777" w:rsidR="00000000" w:rsidRDefault="00EB4933">
            <w:pPr>
              <w:pStyle w:val="NormalWeb"/>
              <w:spacing w:before="0" w:beforeAutospacing="0" w:after="0" w:afterAutospacing="0"/>
              <w:rPr>
                <w:sz w:val="20"/>
                <w:szCs w:val="20"/>
              </w:rPr>
            </w:pPr>
            <w:r>
              <w:rPr>
                <w:sz w:val="20"/>
                <w:szCs w:val="20"/>
              </w:rPr>
              <w:t> </w:t>
            </w:r>
          </w:p>
        </w:tc>
      </w:tr>
      <w:tr w:rsidR="00000000" w14:paraId="0FE87124" w14:textId="77777777">
        <w:trPr>
          <w:divId w:val="98525094"/>
          <w:trHeight w:val="225"/>
          <w:tblCellSpacing w:w="15" w:type="dxa"/>
        </w:trPr>
        <w:tc>
          <w:tcPr>
            <w:tcW w:w="0" w:type="auto"/>
            <w:shd w:val="clear" w:color="auto" w:fill="FFFFFF"/>
            <w:hideMark/>
          </w:tcPr>
          <w:p w14:paraId="776363B1" w14:textId="77777777" w:rsidR="00000000" w:rsidRDefault="00EB4933">
            <w:pPr>
              <w:pStyle w:val="NormalWeb"/>
              <w:spacing w:before="0" w:beforeAutospacing="0" w:after="0" w:afterAutospacing="0"/>
              <w:rPr>
                <w:sz w:val="20"/>
                <w:szCs w:val="20"/>
              </w:rPr>
            </w:pPr>
            <w:r>
              <w:rPr>
                <w:rStyle w:val="Strong"/>
                <w:sz w:val="20"/>
                <w:szCs w:val="20"/>
              </w:rPr>
              <w:t>Total current liabilities</w:t>
            </w:r>
          </w:p>
        </w:tc>
        <w:tc>
          <w:tcPr>
            <w:tcW w:w="50" w:type="pct"/>
            <w:shd w:val="clear" w:color="auto" w:fill="FFFFFF"/>
            <w:noWrap/>
            <w:vAlign w:val="center"/>
            <w:hideMark/>
          </w:tcPr>
          <w:p w14:paraId="3AF479C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FEFD61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F4857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B236D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0EFEBC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F34A77A" w14:textId="77777777" w:rsidR="00000000" w:rsidRDefault="00EB4933">
            <w:pPr>
              <w:jc w:val="right"/>
              <w:rPr>
                <w:rFonts w:eastAsia="Times New Roman"/>
                <w:sz w:val="20"/>
                <w:szCs w:val="20"/>
              </w:rPr>
            </w:pPr>
            <w:r>
              <w:rPr>
                <w:rFonts w:eastAsia="Times New Roman"/>
                <w:sz w:val="20"/>
                <w:szCs w:val="20"/>
              </w:rPr>
              <w:t>274,704</w:t>
            </w:r>
          </w:p>
        </w:tc>
        <w:tc>
          <w:tcPr>
            <w:tcW w:w="50" w:type="pct"/>
            <w:shd w:val="clear" w:color="auto" w:fill="FFFFFF"/>
            <w:noWrap/>
            <w:tcMar>
              <w:top w:w="0" w:type="dxa"/>
              <w:left w:w="0" w:type="dxa"/>
              <w:bottom w:w="15" w:type="dxa"/>
              <w:right w:w="0" w:type="dxa"/>
            </w:tcMar>
            <w:vAlign w:val="center"/>
            <w:hideMark/>
          </w:tcPr>
          <w:p w14:paraId="5209D50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3E41F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576559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7BE2AB0" w14:textId="77777777" w:rsidR="00000000" w:rsidRDefault="00EB4933">
            <w:pPr>
              <w:jc w:val="right"/>
              <w:rPr>
                <w:rFonts w:eastAsia="Times New Roman"/>
                <w:sz w:val="20"/>
                <w:szCs w:val="20"/>
              </w:rPr>
            </w:pPr>
            <w:r>
              <w:rPr>
                <w:rFonts w:eastAsia="Times New Roman"/>
                <w:sz w:val="20"/>
                <w:szCs w:val="20"/>
              </w:rPr>
              <w:t>237,586</w:t>
            </w:r>
          </w:p>
        </w:tc>
        <w:tc>
          <w:tcPr>
            <w:tcW w:w="50" w:type="pct"/>
            <w:shd w:val="clear" w:color="auto" w:fill="FFFFFF"/>
            <w:noWrap/>
            <w:tcMar>
              <w:top w:w="0" w:type="dxa"/>
              <w:left w:w="0" w:type="dxa"/>
              <w:bottom w:w="15" w:type="dxa"/>
              <w:right w:w="0" w:type="dxa"/>
            </w:tcMar>
            <w:vAlign w:val="center"/>
            <w:hideMark/>
          </w:tcPr>
          <w:p w14:paraId="5578A1EA" w14:textId="77777777" w:rsidR="00000000" w:rsidRDefault="00EB4933">
            <w:pPr>
              <w:pStyle w:val="NormalWeb"/>
              <w:spacing w:before="0" w:beforeAutospacing="0" w:after="0" w:afterAutospacing="0"/>
              <w:rPr>
                <w:sz w:val="20"/>
                <w:szCs w:val="20"/>
              </w:rPr>
            </w:pPr>
            <w:r>
              <w:rPr>
                <w:sz w:val="20"/>
                <w:szCs w:val="20"/>
              </w:rPr>
              <w:t> </w:t>
            </w:r>
          </w:p>
        </w:tc>
      </w:tr>
      <w:tr w:rsidR="00000000" w14:paraId="52128459" w14:textId="77777777">
        <w:trPr>
          <w:divId w:val="98525094"/>
          <w:trHeight w:val="225"/>
          <w:tblCellSpacing w:w="15" w:type="dxa"/>
        </w:trPr>
        <w:tc>
          <w:tcPr>
            <w:tcW w:w="0" w:type="auto"/>
            <w:shd w:val="clear" w:color="auto" w:fill="CCEEFF"/>
            <w:vAlign w:val="center"/>
            <w:hideMark/>
          </w:tcPr>
          <w:p w14:paraId="6349317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FB95B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3AAA3F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61B79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CDDD4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AF8F9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9246BA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437AD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CBEC9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3FFA9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B7DC42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DA0C32" w14:textId="77777777" w:rsidR="00000000" w:rsidRDefault="00EB4933">
            <w:pPr>
              <w:pStyle w:val="NormalWeb"/>
              <w:spacing w:before="0" w:beforeAutospacing="0" w:after="0" w:afterAutospacing="0"/>
              <w:rPr>
                <w:sz w:val="20"/>
                <w:szCs w:val="20"/>
              </w:rPr>
            </w:pPr>
            <w:r>
              <w:rPr>
                <w:sz w:val="20"/>
                <w:szCs w:val="20"/>
              </w:rPr>
              <w:t> </w:t>
            </w:r>
          </w:p>
        </w:tc>
      </w:tr>
      <w:tr w:rsidR="00000000" w14:paraId="4EAD8FDC" w14:textId="77777777">
        <w:trPr>
          <w:divId w:val="98525094"/>
          <w:trHeight w:val="225"/>
          <w:tblCellSpacing w:w="15" w:type="dxa"/>
        </w:trPr>
        <w:tc>
          <w:tcPr>
            <w:tcW w:w="0" w:type="auto"/>
            <w:shd w:val="clear" w:color="auto" w:fill="FFFFFF"/>
            <w:hideMark/>
          </w:tcPr>
          <w:p w14:paraId="2B6C2E4A" w14:textId="77777777" w:rsidR="00000000" w:rsidRDefault="00EB4933">
            <w:pPr>
              <w:pStyle w:val="NormalWeb"/>
              <w:spacing w:before="0" w:beforeAutospacing="0" w:after="0" w:afterAutospacing="0"/>
              <w:rPr>
                <w:sz w:val="20"/>
                <w:szCs w:val="20"/>
              </w:rPr>
            </w:pPr>
            <w:r>
              <w:rPr>
                <w:rStyle w:val="Strong"/>
                <w:sz w:val="20"/>
                <w:szCs w:val="20"/>
              </w:rPr>
              <w:t>SHAREHOLDERS’ EQUITY</w:t>
            </w:r>
          </w:p>
        </w:tc>
        <w:tc>
          <w:tcPr>
            <w:tcW w:w="50" w:type="pct"/>
            <w:shd w:val="clear" w:color="auto" w:fill="FFFFFF"/>
            <w:noWrap/>
            <w:vAlign w:val="center"/>
            <w:hideMark/>
          </w:tcPr>
          <w:p w14:paraId="70388C3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46746A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0E9BD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7D1D6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DF0A1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993A56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3CE9A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DBD2C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B32F25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C87E31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201AB6" w14:textId="77777777" w:rsidR="00000000" w:rsidRDefault="00EB4933">
            <w:pPr>
              <w:pStyle w:val="NormalWeb"/>
              <w:spacing w:before="0" w:beforeAutospacing="0" w:after="0" w:afterAutospacing="0"/>
              <w:rPr>
                <w:sz w:val="20"/>
                <w:szCs w:val="20"/>
              </w:rPr>
            </w:pPr>
            <w:r>
              <w:rPr>
                <w:sz w:val="20"/>
                <w:szCs w:val="20"/>
              </w:rPr>
              <w:t> </w:t>
            </w:r>
          </w:p>
        </w:tc>
      </w:tr>
      <w:tr w:rsidR="00000000" w14:paraId="5BD96C82" w14:textId="77777777">
        <w:trPr>
          <w:divId w:val="98525094"/>
          <w:trHeight w:val="225"/>
          <w:tblCellSpacing w:w="15" w:type="dxa"/>
        </w:trPr>
        <w:tc>
          <w:tcPr>
            <w:tcW w:w="0" w:type="auto"/>
            <w:shd w:val="clear" w:color="auto" w:fill="CCEEFF"/>
            <w:hideMark/>
          </w:tcPr>
          <w:p w14:paraId="7374B94B" w14:textId="77777777" w:rsidR="00000000" w:rsidRDefault="00EB4933">
            <w:pPr>
              <w:pStyle w:val="NormalWeb"/>
              <w:spacing w:before="0" w:beforeAutospacing="0" w:after="0" w:afterAutospacing="0"/>
              <w:rPr>
                <w:sz w:val="20"/>
                <w:szCs w:val="20"/>
              </w:rPr>
            </w:pPr>
            <w:r>
              <w:rPr>
                <w:sz w:val="20"/>
                <w:szCs w:val="20"/>
              </w:rPr>
              <w:t>Capital and reserve attributable to equity holders of the Company</w:t>
            </w:r>
          </w:p>
        </w:tc>
        <w:tc>
          <w:tcPr>
            <w:tcW w:w="50" w:type="pct"/>
            <w:shd w:val="clear" w:color="auto" w:fill="CCEEFF"/>
            <w:noWrap/>
            <w:vAlign w:val="center"/>
            <w:hideMark/>
          </w:tcPr>
          <w:p w14:paraId="5FF5724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62EB7C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4D5C4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D9195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ADA50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6A1AF0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C4682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DC540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9011F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50E1BE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506257" w14:textId="77777777" w:rsidR="00000000" w:rsidRDefault="00EB4933">
            <w:pPr>
              <w:pStyle w:val="NormalWeb"/>
              <w:spacing w:before="0" w:beforeAutospacing="0" w:after="0" w:afterAutospacing="0"/>
              <w:rPr>
                <w:sz w:val="20"/>
                <w:szCs w:val="20"/>
              </w:rPr>
            </w:pPr>
            <w:r>
              <w:rPr>
                <w:sz w:val="20"/>
                <w:szCs w:val="20"/>
              </w:rPr>
              <w:t> </w:t>
            </w:r>
          </w:p>
        </w:tc>
      </w:tr>
      <w:tr w:rsidR="00000000" w14:paraId="45922ABA" w14:textId="77777777">
        <w:trPr>
          <w:divId w:val="98525094"/>
          <w:trHeight w:val="225"/>
          <w:tblCellSpacing w:w="15" w:type="dxa"/>
        </w:trPr>
        <w:tc>
          <w:tcPr>
            <w:tcW w:w="0" w:type="auto"/>
            <w:shd w:val="clear" w:color="auto" w:fill="FFFFFF"/>
            <w:hideMark/>
          </w:tcPr>
          <w:p w14:paraId="3F24AD50" w14:textId="77777777" w:rsidR="00000000" w:rsidRDefault="00EB4933">
            <w:pPr>
              <w:pStyle w:val="NormalWeb"/>
              <w:spacing w:before="0" w:beforeAutospacing="0" w:after="0" w:afterAutospacing="0"/>
              <w:ind w:firstLine="100"/>
              <w:rPr>
                <w:sz w:val="20"/>
                <w:szCs w:val="20"/>
              </w:rPr>
            </w:pPr>
            <w:r>
              <w:rPr>
                <w:sz w:val="20"/>
                <w:szCs w:val="20"/>
              </w:rPr>
              <w:t>Share capital</w:t>
            </w:r>
          </w:p>
        </w:tc>
        <w:tc>
          <w:tcPr>
            <w:tcW w:w="50" w:type="pct"/>
            <w:shd w:val="clear" w:color="auto" w:fill="FFFFFF"/>
            <w:noWrap/>
            <w:vAlign w:val="center"/>
            <w:hideMark/>
          </w:tcPr>
          <w:p w14:paraId="7D19BA1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F04F100" w14:textId="77777777" w:rsidR="00000000" w:rsidRDefault="00EB4933">
            <w:pPr>
              <w:pStyle w:val="NormalWeb"/>
              <w:spacing w:before="0" w:beforeAutospacing="0" w:after="0" w:afterAutospacing="0"/>
              <w:jc w:val="center"/>
              <w:rPr>
                <w:sz w:val="20"/>
                <w:szCs w:val="20"/>
              </w:rPr>
            </w:pPr>
            <w:r>
              <w:rPr>
                <w:sz w:val="20"/>
                <w:szCs w:val="20"/>
              </w:rPr>
              <w:t>24</w:t>
            </w:r>
          </w:p>
        </w:tc>
        <w:tc>
          <w:tcPr>
            <w:tcW w:w="50" w:type="pct"/>
            <w:shd w:val="clear" w:color="auto" w:fill="FFFFFF"/>
            <w:noWrap/>
            <w:vAlign w:val="center"/>
            <w:hideMark/>
          </w:tcPr>
          <w:p w14:paraId="5B9E758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0F7E6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72194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E3F9D8B" w14:textId="77777777" w:rsidR="00000000" w:rsidRDefault="00EB4933">
            <w:pPr>
              <w:jc w:val="right"/>
              <w:rPr>
                <w:rFonts w:eastAsia="Times New Roman"/>
                <w:sz w:val="20"/>
                <w:szCs w:val="20"/>
              </w:rPr>
            </w:pPr>
            <w:r>
              <w:rPr>
                <w:rFonts w:eastAsia="Times New Roman"/>
                <w:sz w:val="20"/>
                <w:szCs w:val="20"/>
              </w:rPr>
              <w:t>326</w:t>
            </w:r>
          </w:p>
        </w:tc>
        <w:tc>
          <w:tcPr>
            <w:tcW w:w="50" w:type="pct"/>
            <w:shd w:val="clear" w:color="auto" w:fill="FFFFFF"/>
            <w:noWrap/>
            <w:vAlign w:val="center"/>
            <w:hideMark/>
          </w:tcPr>
          <w:p w14:paraId="298BA98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F447B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6FE18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22B5B0D" w14:textId="77777777" w:rsidR="00000000" w:rsidRDefault="00EB4933">
            <w:pPr>
              <w:jc w:val="right"/>
              <w:rPr>
                <w:rFonts w:eastAsia="Times New Roman"/>
                <w:sz w:val="20"/>
                <w:szCs w:val="20"/>
              </w:rPr>
            </w:pPr>
            <w:r>
              <w:rPr>
                <w:rFonts w:eastAsia="Times New Roman"/>
                <w:sz w:val="20"/>
                <w:szCs w:val="20"/>
              </w:rPr>
              <w:t>326</w:t>
            </w:r>
          </w:p>
        </w:tc>
        <w:tc>
          <w:tcPr>
            <w:tcW w:w="50" w:type="pct"/>
            <w:shd w:val="clear" w:color="auto" w:fill="FFFFFF"/>
            <w:noWrap/>
            <w:vAlign w:val="center"/>
            <w:hideMark/>
          </w:tcPr>
          <w:p w14:paraId="2450A9E3" w14:textId="77777777" w:rsidR="00000000" w:rsidRDefault="00EB4933">
            <w:pPr>
              <w:pStyle w:val="NormalWeb"/>
              <w:spacing w:before="0" w:beforeAutospacing="0" w:after="0" w:afterAutospacing="0"/>
              <w:rPr>
                <w:sz w:val="20"/>
                <w:szCs w:val="20"/>
              </w:rPr>
            </w:pPr>
            <w:r>
              <w:rPr>
                <w:sz w:val="20"/>
                <w:szCs w:val="20"/>
              </w:rPr>
              <w:t> </w:t>
            </w:r>
          </w:p>
        </w:tc>
      </w:tr>
      <w:tr w:rsidR="00000000" w14:paraId="7265C7DC" w14:textId="77777777">
        <w:trPr>
          <w:divId w:val="98525094"/>
          <w:trHeight w:val="225"/>
          <w:tblCellSpacing w:w="15" w:type="dxa"/>
        </w:trPr>
        <w:tc>
          <w:tcPr>
            <w:tcW w:w="0" w:type="auto"/>
            <w:shd w:val="clear" w:color="auto" w:fill="CCEEFF"/>
            <w:hideMark/>
          </w:tcPr>
          <w:p w14:paraId="137E036E" w14:textId="77777777" w:rsidR="00000000" w:rsidRDefault="00EB4933">
            <w:pPr>
              <w:pStyle w:val="NormalWeb"/>
              <w:spacing w:before="0" w:beforeAutospacing="0" w:after="0" w:afterAutospacing="0"/>
              <w:ind w:firstLine="100"/>
              <w:rPr>
                <w:sz w:val="20"/>
                <w:szCs w:val="20"/>
              </w:rPr>
            </w:pPr>
            <w:r>
              <w:rPr>
                <w:sz w:val="20"/>
                <w:szCs w:val="20"/>
              </w:rPr>
              <w:t>Additional paid-in capital</w:t>
            </w:r>
          </w:p>
        </w:tc>
        <w:tc>
          <w:tcPr>
            <w:tcW w:w="50" w:type="pct"/>
            <w:shd w:val="clear" w:color="auto" w:fill="CCEEFF"/>
            <w:noWrap/>
            <w:vAlign w:val="center"/>
            <w:hideMark/>
          </w:tcPr>
          <w:p w14:paraId="64564EF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E20B99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7DB25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2FD2E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BAC83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A9F361A" w14:textId="77777777" w:rsidR="00000000" w:rsidRDefault="00EB4933">
            <w:pPr>
              <w:jc w:val="right"/>
              <w:rPr>
                <w:rFonts w:eastAsia="Times New Roman"/>
                <w:sz w:val="20"/>
                <w:szCs w:val="20"/>
              </w:rPr>
            </w:pPr>
            <w:r>
              <w:rPr>
                <w:rFonts w:eastAsia="Times New Roman"/>
                <w:sz w:val="20"/>
                <w:szCs w:val="20"/>
              </w:rPr>
              <w:t>383,174</w:t>
            </w:r>
          </w:p>
        </w:tc>
        <w:tc>
          <w:tcPr>
            <w:tcW w:w="50" w:type="pct"/>
            <w:shd w:val="clear" w:color="auto" w:fill="CCEEFF"/>
            <w:noWrap/>
            <w:vAlign w:val="center"/>
            <w:hideMark/>
          </w:tcPr>
          <w:p w14:paraId="38EB5AA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01EFB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56360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F631EEE" w14:textId="77777777" w:rsidR="00000000" w:rsidRDefault="00EB4933">
            <w:pPr>
              <w:jc w:val="right"/>
              <w:rPr>
                <w:rFonts w:eastAsia="Times New Roman"/>
                <w:sz w:val="20"/>
                <w:szCs w:val="20"/>
              </w:rPr>
            </w:pPr>
            <w:r>
              <w:rPr>
                <w:rFonts w:eastAsia="Times New Roman"/>
                <w:sz w:val="20"/>
                <w:szCs w:val="20"/>
              </w:rPr>
              <w:t>383,174</w:t>
            </w:r>
          </w:p>
        </w:tc>
        <w:tc>
          <w:tcPr>
            <w:tcW w:w="50" w:type="pct"/>
            <w:shd w:val="clear" w:color="auto" w:fill="CCEEFF"/>
            <w:noWrap/>
            <w:vAlign w:val="center"/>
            <w:hideMark/>
          </w:tcPr>
          <w:p w14:paraId="08A66462" w14:textId="77777777" w:rsidR="00000000" w:rsidRDefault="00EB4933">
            <w:pPr>
              <w:pStyle w:val="NormalWeb"/>
              <w:spacing w:before="0" w:beforeAutospacing="0" w:after="0" w:afterAutospacing="0"/>
              <w:rPr>
                <w:sz w:val="20"/>
                <w:szCs w:val="20"/>
              </w:rPr>
            </w:pPr>
            <w:r>
              <w:rPr>
                <w:sz w:val="20"/>
                <w:szCs w:val="20"/>
              </w:rPr>
              <w:t> </w:t>
            </w:r>
          </w:p>
        </w:tc>
      </w:tr>
      <w:tr w:rsidR="00000000" w14:paraId="69181078" w14:textId="77777777">
        <w:trPr>
          <w:divId w:val="98525094"/>
          <w:trHeight w:val="225"/>
          <w:tblCellSpacing w:w="15" w:type="dxa"/>
        </w:trPr>
        <w:tc>
          <w:tcPr>
            <w:tcW w:w="0" w:type="auto"/>
            <w:shd w:val="clear" w:color="auto" w:fill="FFFFFF"/>
            <w:hideMark/>
          </w:tcPr>
          <w:p w14:paraId="45B12EF8" w14:textId="77777777" w:rsidR="00000000" w:rsidRDefault="00EB4933">
            <w:pPr>
              <w:pStyle w:val="NormalWeb"/>
              <w:spacing w:before="0" w:beforeAutospacing="0" w:after="0" w:afterAutospacing="0"/>
              <w:ind w:firstLine="100"/>
              <w:rPr>
                <w:sz w:val="20"/>
                <w:szCs w:val="20"/>
              </w:rPr>
            </w:pPr>
            <w:r>
              <w:rPr>
                <w:sz w:val="20"/>
                <w:szCs w:val="20"/>
              </w:rPr>
              <w:t>Statutory reserve</w:t>
            </w:r>
          </w:p>
        </w:tc>
        <w:tc>
          <w:tcPr>
            <w:tcW w:w="50" w:type="pct"/>
            <w:shd w:val="clear" w:color="auto" w:fill="FFFFFF"/>
            <w:noWrap/>
            <w:vAlign w:val="center"/>
            <w:hideMark/>
          </w:tcPr>
          <w:p w14:paraId="3963B73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1795C27" w14:textId="77777777" w:rsidR="00000000" w:rsidRDefault="00EB4933">
            <w:pPr>
              <w:pStyle w:val="NormalWeb"/>
              <w:spacing w:before="0" w:beforeAutospacing="0" w:after="0" w:afterAutospacing="0"/>
              <w:jc w:val="center"/>
              <w:rPr>
                <w:sz w:val="20"/>
                <w:szCs w:val="20"/>
              </w:rPr>
            </w:pPr>
            <w:r>
              <w:rPr>
                <w:sz w:val="20"/>
                <w:szCs w:val="20"/>
              </w:rPr>
              <w:t>25</w:t>
            </w:r>
          </w:p>
        </w:tc>
        <w:tc>
          <w:tcPr>
            <w:tcW w:w="50" w:type="pct"/>
            <w:shd w:val="clear" w:color="auto" w:fill="FFFFFF"/>
            <w:noWrap/>
            <w:vAlign w:val="center"/>
            <w:hideMark/>
          </w:tcPr>
          <w:p w14:paraId="67D1187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A44DF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4FFA8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C4B32A3" w14:textId="77777777" w:rsidR="00000000" w:rsidRDefault="00EB4933">
            <w:pPr>
              <w:jc w:val="right"/>
              <w:rPr>
                <w:rFonts w:eastAsia="Times New Roman"/>
                <w:sz w:val="20"/>
                <w:szCs w:val="20"/>
              </w:rPr>
            </w:pPr>
            <w:r>
              <w:rPr>
                <w:rFonts w:eastAsia="Times New Roman"/>
                <w:sz w:val="20"/>
                <w:szCs w:val="20"/>
              </w:rPr>
              <w:t>14,017</w:t>
            </w:r>
          </w:p>
        </w:tc>
        <w:tc>
          <w:tcPr>
            <w:tcW w:w="50" w:type="pct"/>
            <w:shd w:val="clear" w:color="auto" w:fill="FFFFFF"/>
            <w:noWrap/>
            <w:vAlign w:val="center"/>
            <w:hideMark/>
          </w:tcPr>
          <w:p w14:paraId="0BE25B0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CADDC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AB0B0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6D24544" w14:textId="77777777" w:rsidR="00000000" w:rsidRDefault="00EB4933">
            <w:pPr>
              <w:jc w:val="right"/>
              <w:rPr>
                <w:rFonts w:eastAsia="Times New Roman"/>
                <w:sz w:val="20"/>
                <w:szCs w:val="20"/>
              </w:rPr>
            </w:pPr>
            <w:r>
              <w:rPr>
                <w:rFonts w:eastAsia="Times New Roman"/>
                <w:sz w:val="20"/>
                <w:szCs w:val="20"/>
              </w:rPr>
              <w:t>18,706</w:t>
            </w:r>
          </w:p>
        </w:tc>
        <w:tc>
          <w:tcPr>
            <w:tcW w:w="50" w:type="pct"/>
            <w:shd w:val="clear" w:color="auto" w:fill="FFFFFF"/>
            <w:noWrap/>
            <w:vAlign w:val="center"/>
            <w:hideMark/>
          </w:tcPr>
          <w:p w14:paraId="4BB7E6A4" w14:textId="77777777" w:rsidR="00000000" w:rsidRDefault="00EB4933">
            <w:pPr>
              <w:pStyle w:val="NormalWeb"/>
              <w:spacing w:before="0" w:beforeAutospacing="0" w:after="0" w:afterAutospacing="0"/>
              <w:rPr>
                <w:sz w:val="20"/>
                <w:szCs w:val="20"/>
              </w:rPr>
            </w:pPr>
            <w:r>
              <w:rPr>
                <w:sz w:val="20"/>
                <w:szCs w:val="20"/>
              </w:rPr>
              <w:t> </w:t>
            </w:r>
          </w:p>
        </w:tc>
      </w:tr>
      <w:tr w:rsidR="00000000" w14:paraId="747D7355" w14:textId="77777777">
        <w:trPr>
          <w:divId w:val="98525094"/>
          <w:trHeight w:val="225"/>
          <w:tblCellSpacing w:w="15" w:type="dxa"/>
        </w:trPr>
        <w:tc>
          <w:tcPr>
            <w:tcW w:w="0" w:type="auto"/>
            <w:shd w:val="clear" w:color="auto" w:fill="CCEEFF"/>
            <w:hideMark/>
          </w:tcPr>
          <w:p w14:paraId="5B3CC533" w14:textId="77777777" w:rsidR="00000000" w:rsidRDefault="00EB4933">
            <w:pPr>
              <w:pStyle w:val="NormalWeb"/>
              <w:spacing w:before="0" w:beforeAutospacing="0" w:after="0" w:afterAutospacing="0"/>
              <w:ind w:firstLine="100"/>
              <w:rPr>
                <w:sz w:val="20"/>
                <w:szCs w:val="20"/>
              </w:rPr>
            </w:pPr>
            <w:r>
              <w:rPr>
                <w:sz w:val="20"/>
                <w:szCs w:val="20"/>
              </w:rPr>
              <w:t>General risk reserve</w:t>
            </w:r>
          </w:p>
        </w:tc>
        <w:tc>
          <w:tcPr>
            <w:tcW w:w="50" w:type="pct"/>
            <w:shd w:val="clear" w:color="auto" w:fill="CCEEFF"/>
            <w:noWrap/>
            <w:vAlign w:val="center"/>
            <w:hideMark/>
          </w:tcPr>
          <w:p w14:paraId="45662E2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C05C5AA" w14:textId="77777777" w:rsidR="00000000" w:rsidRDefault="00EB4933">
            <w:pPr>
              <w:pStyle w:val="NormalWeb"/>
              <w:spacing w:before="0" w:beforeAutospacing="0" w:after="0" w:afterAutospacing="0"/>
              <w:jc w:val="center"/>
              <w:rPr>
                <w:sz w:val="20"/>
                <w:szCs w:val="20"/>
              </w:rPr>
            </w:pPr>
            <w:r>
              <w:rPr>
                <w:sz w:val="20"/>
                <w:szCs w:val="20"/>
              </w:rPr>
              <w:t>26</w:t>
            </w:r>
          </w:p>
        </w:tc>
        <w:tc>
          <w:tcPr>
            <w:tcW w:w="50" w:type="pct"/>
            <w:shd w:val="clear" w:color="auto" w:fill="CCEEFF"/>
            <w:noWrap/>
            <w:vAlign w:val="center"/>
            <w:hideMark/>
          </w:tcPr>
          <w:p w14:paraId="047D04B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2BBBC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CF711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C32A194" w14:textId="77777777" w:rsidR="00000000" w:rsidRDefault="00EB4933">
            <w:pPr>
              <w:jc w:val="right"/>
              <w:rPr>
                <w:rFonts w:eastAsia="Times New Roman"/>
                <w:sz w:val="20"/>
                <w:szCs w:val="20"/>
              </w:rPr>
            </w:pPr>
            <w:r>
              <w:rPr>
                <w:rFonts w:eastAsia="Times New Roman"/>
                <w:sz w:val="20"/>
                <w:szCs w:val="20"/>
              </w:rPr>
              <w:t>9,885</w:t>
            </w:r>
          </w:p>
        </w:tc>
        <w:tc>
          <w:tcPr>
            <w:tcW w:w="50" w:type="pct"/>
            <w:shd w:val="clear" w:color="auto" w:fill="CCEEFF"/>
            <w:noWrap/>
            <w:vAlign w:val="center"/>
            <w:hideMark/>
          </w:tcPr>
          <w:p w14:paraId="5D6D67E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38118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04AD7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97EECF7" w14:textId="77777777" w:rsidR="00000000" w:rsidRDefault="00EB4933">
            <w:pPr>
              <w:jc w:val="right"/>
              <w:rPr>
                <w:rFonts w:eastAsia="Times New Roman"/>
                <w:sz w:val="20"/>
                <w:szCs w:val="20"/>
              </w:rPr>
            </w:pPr>
            <w:r>
              <w:rPr>
                <w:rFonts w:eastAsia="Times New Roman"/>
                <w:sz w:val="20"/>
                <w:szCs w:val="20"/>
              </w:rPr>
              <w:t>9,180</w:t>
            </w:r>
          </w:p>
        </w:tc>
        <w:tc>
          <w:tcPr>
            <w:tcW w:w="50" w:type="pct"/>
            <w:shd w:val="clear" w:color="auto" w:fill="CCEEFF"/>
            <w:noWrap/>
            <w:vAlign w:val="center"/>
            <w:hideMark/>
          </w:tcPr>
          <w:p w14:paraId="7555B7EA" w14:textId="77777777" w:rsidR="00000000" w:rsidRDefault="00EB4933">
            <w:pPr>
              <w:pStyle w:val="NormalWeb"/>
              <w:spacing w:before="0" w:beforeAutospacing="0" w:after="0" w:afterAutospacing="0"/>
              <w:rPr>
                <w:sz w:val="20"/>
                <w:szCs w:val="20"/>
              </w:rPr>
            </w:pPr>
            <w:r>
              <w:rPr>
                <w:sz w:val="20"/>
                <w:szCs w:val="20"/>
              </w:rPr>
              <w:t> </w:t>
            </w:r>
          </w:p>
        </w:tc>
      </w:tr>
      <w:tr w:rsidR="00000000" w14:paraId="2B655790" w14:textId="77777777">
        <w:trPr>
          <w:divId w:val="98525094"/>
          <w:trHeight w:val="225"/>
          <w:tblCellSpacing w:w="15" w:type="dxa"/>
        </w:trPr>
        <w:tc>
          <w:tcPr>
            <w:tcW w:w="0" w:type="auto"/>
            <w:shd w:val="clear" w:color="auto" w:fill="FFFFFF"/>
            <w:hideMark/>
          </w:tcPr>
          <w:p w14:paraId="0BBE704E" w14:textId="77777777" w:rsidR="00000000" w:rsidRDefault="00EB4933">
            <w:pPr>
              <w:pStyle w:val="NormalWeb"/>
              <w:spacing w:before="0" w:beforeAutospacing="0" w:after="0" w:afterAutospacing="0"/>
              <w:ind w:firstLine="100"/>
              <w:rPr>
                <w:sz w:val="20"/>
                <w:szCs w:val="20"/>
              </w:rPr>
            </w:pPr>
            <w:r>
              <w:rPr>
                <w:sz w:val="20"/>
                <w:szCs w:val="20"/>
              </w:rPr>
              <w:t>Currency translation reserve</w:t>
            </w:r>
          </w:p>
        </w:tc>
        <w:tc>
          <w:tcPr>
            <w:tcW w:w="50" w:type="pct"/>
            <w:shd w:val="clear" w:color="auto" w:fill="FFFFFF"/>
            <w:noWrap/>
            <w:vAlign w:val="center"/>
            <w:hideMark/>
          </w:tcPr>
          <w:p w14:paraId="23E70D8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1FE6F1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F8EC5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90CDB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30606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0EE8251" w14:textId="77777777" w:rsidR="00000000" w:rsidRDefault="00EB4933">
            <w:pPr>
              <w:jc w:val="right"/>
              <w:rPr>
                <w:rFonts w:eastAsia="Times New Roman"/>
                <w:sz w:val="20"/>
                <w:szCs w:val="20"/>
              </w:rPr>
            </w:pPr>
            <w:r>
              <w:rPr>
                <w:rFonts w:eastAsia="Times New Roman"/>
                <w:sz w:val="20"/>
                <w:szCs w:val="20"/>
              </w:rPr>
              <w:t>(493</w:t>
            </w:r>
          </w:p>
        </w:tc>
        <w:tc>
          <w:tcPr>
            <w:tcW w:w="50" w:type="pct"/>
            <w:shd w:val="clear" w:color="auto" w:fill="FFFFFF"/>
            <w:noWrap/>
            <w:vAlign w:val="bottom"/>
            <w:hideMark/>
          </w:tcPr>
          <w:p w14:paraId="190A3ACA"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87E174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50962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69C2976" w14:textId="77777777" w:rsidR="00000000" w:rsidRDefault="00EB4933">
            <w:pPr>
              <w:jc w:val="right"/>
              <w:rPr>
                <w:rFonts w:eastAsia="Times New Roman"/>
                <w:sz w:val="20"/>
                <w:szCs w:val="20"/>
              </w:rPr>
            </w:pPr>
            <w:r>
              <w:rPr>
                <w:rFonts w:eastAsia="Times New Roman"/>
                <w:sz w:val="20"/>
                <w:szCs w:val="20"/>
              </w:rPr>
              <w:t>(169</w:t>
            </w:r>
          </w:p>
        </w:tc>
        <w:tc>
          <w:tcPr>
            <w:tcW w:w="50" w:type="pct"/>
            <w:shd w:val="clear" w:color="auto" w:fill="FFFFFF"/>
            <w:noWrap/>
            <w:vAlign w:val="bottom"/>
            <w:hideMark/>
          </w:tcPr>
          <w:p w14:paraId="4FEF538E" w14:textId="77777777" w:rsidR="00000000" w:rsidRDefault="00EB4933">
            <w:pPr>
              <w:rPr>
                <w:rFonts w:eastAsia="Times New Roman"/>
                <w:sz w:val="20"/>
                <w:szCs w:val="20"/>
              </w:rPr>
            </w:pPr>
            <w:r>
              <w:rPr>
                <w:rFonts w:eastAsia="Times New Roman"/>
                <w:sz w:val="20"/>
                <w:szCs w:val="20"/>
              </w:rPr>
              <w:t>)</w:t>
            </w:r>
          </w:p>
        </w:tc>
      </w:tr>
      <w:tr w:rsidR="00000000" w14:paraId="7F2236DD" w14:textId="77777777">
        <w:trPr>
          <w:divId w:val="98525094"/>
          <w:trHeight w:val="225"/>
          <w:tblCellSpacing w:w="15" w:type="dxa"/>
        </w:trPr>
        <w:tc>
          <w:tcPr>
            <w:tcW w:w="0" w:type="auto"/>
            <w:shd w:val="clear" w:color="auto" w:fill="CCEEFF"/>
            <w:hideMark/>
          </w:tcPr>
          <w:p w14:paraId="69DCF525" w14:textId="77777777" w:rsidR="00000000" w:rsidRDefault="00EB4933">
            <w:pPr>
              <w:pStyle w:val="NormalWeb"/>
              <w:spacing w:before="0" w:beforeAutospacing="0" w:after="0" w:afterAutospacing="0"/>
              <w:ind w:firstLine="100"/>
              <w:rPr>
                <w:sz w:val="20"/>
                <w:szCs w:val="20"/>
              </w:rPr>
            </w:pPr>
            <w:r>
              <w:rPr>
                <w:sz w:val="20"/>
                <w:szCs w:val="20"/>
              </w:rPr>
              <w:t>Accumulated losses</w:t>
            </w:r>
          </w:p>
        </w:tc>
        <w:tc>
          <w:tcPr>
            <w:tcW w:w="50" w:type="pct"/>
            <w:shd w:val="clear" w:color="auto" w:fill="CCEEFF"/>
            <w:noWrap/>
            <w:vAlign w:val="center"/>
            <w:hideMark/>
          </w:tcPr>
          <w:p w14:paraId="5CB5715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7CB16B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323B3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16D90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904A1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07733E4" w14:textId="77777777" w:rsidR="00000000" w:rsidRDefault="00EB4933">
            <w:pPr>
              <w:jc w:val="right"/>
              <w:rPr>
                <w:rFonts w:eastAsia="Times New Roman"/>
                <w:sz w:val="20"/>
                <w:szCs w:val="20"/>
              </w:rPr>
            </w:pPr>
            <w:r>
              <w:rPr>
                <w:rFonts w:eastAsia="Times New Roman"/>
                <w:sz w:val="20"/>
                <w:szCs w:val="20"/>
              </w:rPr>
              <w:t>(113,257</w:t>
            </w:r>
          </w:p>
        </w:tc>
        <w:tc>
          <w:tcPr>
            <w:tcW w:w="50" w:type="pct"/>
            <w:shd w:val="clear" w:color="auto" w:fill="CCEEFF"/>
            <w:noWrap/>
            <w:vAlign w:val="bottom"/>
            <w:hideMark/>
          </w:tcPr>
          <w:p w14:paraId="480E7C02"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EB82BD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7601F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C371391" w14:textId="77777777" w:rsidR="00000000" w:rsidRDefault="00EB4933">
            <w:pPr>
              <w:jc w:val="right"/>
              <w:rPr>
                <w:rFonts w:eastAsia="Times New Roman"/>
                <w:sz w:val="20"/>
                <w:szCs w:val="20"/>
              </w:rPr>
            </w:pPr>
            <w:r>
              <w:rPr>
                <w:rFonts w:eastAsia="Times New Roman"/>
                <w:sz w:val="20"/>
                <w:szCs w:val="20"/>
              </w:rPr>
              <w:t>(70,288</w:t>
            </w:r>
          </w:p>
        </w:tc>
        <w:tc>
          <w:tcPr>
            <w:tcW w:w="50" w:type="pct"/>
            <w:shd w:val="clear" w:color="auto" w:fill="CCEEFF"/>
            <w:noWrap/>
            <w:vAlign w:val="bottom"/>
            <w:hideMark/>
          </w:tcPr>
          <w:p w14:paraId="37F64E2F" w14:textId="77777777" w:rsidR="00000000" w:rsidRDefault="00EB4933">
            <w:pPr>
              <w:rPr>
                <w:rFonts w:eastAsia="Times New Roman"/>
                <w:sz w:val="20"/>
                <w:szCs w:val="20"/>
              </w:rPr>
            </w:pPr>
            <w:r>
              <w:rPr>
                <w:rFonts w:eastAsia="Times New Roman"/>
                <w:sz w:val="20"/>
                <w:szCs w:val="20"/>
              </w:rPr>
              <w:t>)</w:t>
            </w:r>
          </w:p>
        </w:tc>
      </w:tr>
      <w:tr w:rsidR="00000000" w14:paraId="6CF4466C" w14:textId="77777777">
        <w:trPr>
          <w:divId w:val="98525094"/>
          <w:trHeight w:val="225"/>
          <w:tblCellSpacing w:w="15" w:type="dxa"/>
        </w:trPr>
        <w:tc>
          <w:tcPr>
            <w:tcW w:w="0" w:type="auto"/>
            <w:shd w:val="clear" w:color="auto" w:fill="FFFFFF"/>
            <w:hideMark/>
          </w:tcPr>
          <w:p w14:paraId="5E9FBBA9" w14:textId="77777777" w:rsidR="00000000" w:rsidRDefault="00EB4933">
            <w:pPr>
              <w:pStyle w:val="NormalWeb"/>
              <w:spacing w:before="0" w:beforeAutospacing="0" w:after="0" w:afterAutospacing="0"/>
              <w:rPr>
                <w:sz w:val="20"/>
                <w:szCs w:val="20"/>
              </w:rPr>
            </w:pPr>
            <w:r>
              <w:rPr>
                <w:sz w:val="20"/>
                <w:szCs w:val="20"/>
              </w:rPr>
              <w:t>Non-controlling interests in equity</w:t>
            </w:r>
          </w:p>
        </w:tc>
        <w:tc>
          <w:tcPr>
            <w:tcW w:w="50" w:type="pct"/>
            <w:shd w:val="clear" w:color="auto" w:fill="FFFFFF"/>
            <w:noWrap/>
            <w:vAlign w:val="center"/>
            <w:hideMark/>
          </w:tcPr>
          <w:p w14:paraId="30EF3A8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4A4473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4D1FD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CA3AB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33A60C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19EBEC0" w14:textId="77777777" w:rsidR="00000000" w:rsidRDefault="00EB4933">
            <w:pPr>
              <w:jc w:val="right"/>
              <w:rPr>
                <w:rFonts w:eastAsia="Times New Roman"/>
                <w:sz w:val="20"/>
                <w:szCs w:val="20"/>
              </w:rPr>
            </w:pPr>
            <w:r>
              <w:rPr>
                <w:rFonts w:eastAsia="Times New Roman"/>
                <w:sz w:val="20"/>
                <w:szCs w:val="20"/>
              </w:rPr>
              <w:t>73,414</w:t>
            </w:r>
          </w:p>
        </w:tc>
        <w:tc>
          <w:tcPr>
            <w:tcW w:w="50" w:type="pct"/>
            <w:shd w:val="clear" w:color="auto" w:fill="FFFFFF"/>
            <w:noWrap/>
            <w:tcMar>
              <w:top w:w="0" w:type="dxa"/>
              <w:left w:w="0" w:type="dxa"/>
              <w:bottom w:w="15" w:type="dxa"/>
              <w:right w:w="0" w:type="dxa"/>
            </w:tcMar>
            <w:vAlign w:val="center"/>
            <w:hideMark/>
          </w:tcPr>
          <w:p w14:paraId="7208C88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00FE4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F2744D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0894A58" w14:textId="77777777" w:rsidR="00000000" w:rsidRDefault="00EB4933">
            <w:pPr>
              <w:jc w:val="right"/>
              <w:rPr>
                <w:rFonts w:eastAsia="Times New Roman"/>
                <w:sz w:val="20"/>
                <w:szCs w:val="20"/>
              </w:rPr>
            </w:pPr>
            <w:r>
              <w:rPr>
                <w:rFonts w:eastAsia="Times New Roman"/>
                <w:sz w:val="20"/>
                <w:szCs w:val="20"/>
              </w:rPr>
              <w:t>85,233</w:t>
            </w:r>
          </w:p>
        </w:tc>
        <w:tc>
          <w:tcPr>
            <w:tcW w:w="50" w:type="pct"/>
            <w:shd w:val="clear" w:color="auto" w:fill="FFFFFF"/>
            <w:noWrap/>
            <w:tcMar>
              <w:top w:w="0" w:type="dxa"/>
              <w:left w:w="0" w:type="dxa"/>
              <w:bottom w:w="15" w:type="dxa"/>
              <w:right w:w="0" w:type="dxa"/>
            </w:tcMar>
            <w:vAlign w:val="center"/>
            <w:hideMark/>
          </w:tcPr>
          <w:p w14:paraId="4DF5E237" w14:textId="77777777" w:rsidR="00000000" w:rsidRDefault="00EB4933">
            <w:pPr>
              <w:pStyle w:val="NormalWeb"/>
              <w:spacing w:before="0" w:beforeAutospacing="0" w:after="0" w:afterAutospacing="0"/>
              <w:rPr>
                <w:sz w:val="20"/>
                <w:szCs w:val="20"/>
              </w:rPr>
            </w:pPr>
            <w:r>
              <w:rPr>
                <w:sz w:val="20"/>
                <w:szCs w:val="20"/>
              </w:rPr>
              <w:t> </w:t>
            </w:r>
          </w:p>
        </w:tc>
      </w:tr>
      <w:tr w:rsidR="00000000" w14:paraId="1E1E3672" w14:textId="77777777">
        <w:trPr>
          <w:divId w:val="98525094"/>
          <w:trHeight w:val="225"/>
          <w:tblCellSpacing w:w="15" w:type="dxa"/>
        </w:trPr>
        <w:tc>
          <w:tcPr>
            <w:tcW w:w="0" w:type="auto"/>
            <w:shd w:val="clear" w:color="auto" w:fill="CCEEFF"/>
            <w:hideMark/>
          </w:tcPr>
          <w:p w14:paraId="723E9365" w14:textId="77777777" w:rsidR="00000000" w:rsidRDefault="00EB4933">
            <w:pPr>
              <w:pStyle w:val="NormalWeb"/>
              <w:spacing w:before="0" w:beforeAutospacing="0" w:after="0" w:afterAutospacing="0"/>
              <w:rPr>
                <w:sz w:val="20"/>
                <w:szCs w:val="20"/>
              </w:rPr>
            </w:pPr>
            <w:r>
              <w:rPr>
                <w:rStyle w:val="Strong"/>
                <w:sz w:val="20"/>
                <w:szCs w:val="20"/>
              </w:rPr>
              <w:t>Total shareholders’ equity</w:t>
            </w:r>
          </w:p>
        </w:tc>
        <w:tc>
          <w:tcPr>
            <w:tcW w:w="50" w:type="pct"/>
            <w:shd w:val="clear" w:color="auto" w:fill="CCEEFF"/>
            <w:noWrap/>
            <w:vAlign w:val="center"/>
            <w:hideMark/>
          </w:tcPr>
          <w:p w14:paraId="65A974C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0F14C6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0D1D6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2CE5C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37817C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135EDEA" w14:textId="77777777" w:rsidR="00000000" w:rsidRDefault="00EB4933">
            <w:pPr>
              <w:jc w:val="right"/>
              <w:rPr>
                <w:rFonts w:eastAsia="Times New Roman"/>
                <w:sz w:val="20"/>
                <w:szCs w:val="20"/>
              </w:rPr>
            </w:pPr>
            <w:r>
              <w:rPr>
                <w:rFonts w:eastAsia="Times New Roman"/>
                <w:sz w:val="20"/>
                <w:szCs w:val="20"/>
              </w:rPr>
              <w:t>367,066</w:t>
            </w:r>
          </w:p>
        </w:tc>
        <w:tc>
          <w:tcPr>
            <w:tcW w:w="50" w:type="pct"/>
            <w:shd w:val="clear" w:color="auto" w:fill="CCEEFF"/>
            <w:noWrap/>
            <w:tcMar>
              <w:top w:w="0" w:type="dxa"/>
              <w:left w:w="0" w:type="dxa"/>
              <w:bottom w:w="15" w:type="dxa"/>
              <w:right w:w="0" w:type="dxa"/>
            </w:tcMar>
            <w:vAlign w:val="center"/>
            <w:hideMark/>
          </w:tcPr>
          <w:p w14:paraId="2CF4E6B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433FD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0F3DFC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6DCF7F6" w14:textId="77777777" w:rsidR="00000000" w:rsidRDefault="00EB4933">
            <w:pPr>
              <w:jc w:val="right"/>
              <w:rPr>
                <w:rFonts w:eastAsia="Times New Roman"/>
                <w:sz w:val="20"/>
                <w:szCs w:val="20"/>
              </w:rPr>
            </w:pPr>
            <w:r>
              <w:rPr>
                <w:rFonts w:eastAsia="Times New Roman"/>
                <w:sz w:val="20"/>
                <w:szCs w:val="20"/>
              </w:rPr>
              <w:t>426,162</w:t>
            </w:r>
          </w:p>
        </w:tc>
        <w:tc>
          <w:tcPr>
            <w:tcW w:w="50" w:type="pct"/>
            <w:shd w:val="clear" w:color="auto" w:fill="CCEEFF"/>
            <w:noWrap/>
            <w:tcMar>
              <w:top w:w="0" w:type="dxa"/>
              <w:left w:w="0" w:type="dxa"/>
              <w:bottom w:w="15" w:type="dxa"/>
              <w:right w:w="0" w:type="dxa"/>
            </w:tcMar>
            <w:vAlign w:val="center"/>
            <w:hideMark/>
          </w:tcPr>
          <w:p w14:paraId="16217F52" w14:textId="77777777" w:rsidR="00000000" w:rsidRDefault="00EB4933">
            <w:pPr>
              <w:pStyle w:val="NormalWeb"/>
              <w:spacing w:before="0" w:beforeAutospacing="0" w:after="0" w:afterAutospacing="0"/>
              <w:rPr>
                <w:sz w:val="20"/>
                <w:szCs w:val="20"/>
              </w:rPr>
            </w:pPr>
            <w:r>
              <w:rPr>
                <w:sz w:val="20"/>
                <w:szCs w:val="20"/>
              </w:rPr>
              <w:t> </w:t>
            </w:r>
          </w:p>
        </w:tc>
      </w:tr>
      <w:tr w:rsidR="00000000" w14:paraId="1C3A1744" w14:textId="77777777">
        <w:trPr>
          <w:divId w:val="98525094"/>
          <w:trHeight w:val="225"/>
          <w:tblCellSpacing w:w="15" w:type="dxa"/>
        </w:trPr>
        <w:tc>
          <w:tcPr>
            <w:tcW w:w="0" w:type="auto"/>
            <w:shd w:val="clear" w:color="auto" w:fill="FFFFFF"/>
            <w:vAlign w:val="center"/>
            <w:hideMark/>
          </w:tcPr>
          <w:p w14:paraId="081B7C1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7485E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E41B8F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61077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67204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4D9C9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E7DC03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44235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0CE2A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60DC6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9F4B92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6F130A" w14:textId="77777777" w:rsidR="00000000" w:rsidRDefault="00EB4933">
            <w:pPr>
              <w:pStyle w:val="NormalWeb"/>
              <w:spacing w:before="0" w:beforeAutospacing="0" w:after="0" w:afterAutospacing="0"/>
              <w:rPr>
                <w:sz w:val="20"/>
                <w:szCs w:val="20"/>
              </w:rPr>
            </w:pPr>
            <w:r>
              <w:rPr>
                <w:sz w:val="20"/>
                <w:szCs w:val="20"/>
              </w:rPr>
              <w:t> </w:t>
            </w:r>
          </w:p>
        </w:tc>
      </w:tr>
      <w:tr w:rsidR="00000000" w14:paraId="4F17BFE7" w14:textId="77777777">
        <w:trPr>
          <w:divId w:val="98525094"/>
          <w:trHeight w:val="225"/>
          <w:tblCellSpacing w:w="15" w:type="dxa"/>
        </w:trPr>
        <w:tc>
          <w:tcPr>
            <w:tcW w:w="0" w:type="auto"/>
            <w:shd w:val="clear" w:color="auto" w:fill="CCEEFF"/>
            <w:hideMark/>
          </w:tcPr>
          <w:p w14:paraId="7B9B3AC1" w14:textId="77777777" w:rsidR="00000000" w:rsidRDefault="00EB4933">
            <w:pPr>
              <w:pStyle w:val="NormalWeb"/>
              <w:spacing w:before="0" w:beforeAutospacing="0" w:after="0" w:afterAutospacing="0"/>
              <w:rPr>
                <w:sz w:val="20"/>
                <w:szCs w:val="20"/>
              </w:rPr>
            </w:pPr>
            <w:r>
              <w:rPr>
                <w:rStyle w:val="Strong"/>
                <w:sz w:val="20"/>
                <w:szCs w:val="20"/>
              </w:rPr>
              <w:t>Total equity and liabilities</w:t>
            </w:r>
          </w:p>
        </w:tc>
        <w:tc>
          <w:tcPr>
            <w:tcW w:w="50" w:type="pct"/>
            <w:shd w:val="clear" w:color="auto" w:fill="CCEEFF"/>
            <w:noWrap/>
            <w:vAlign w:val="center"/>
            <w:hideMark/>
          </w:tcPr>
          <w:p w14:paraId="0D2A010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F75B68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E7CB6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732C6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17A1F5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05103900" w14:textId="77777777" w:rsidR="00000000" w:rsidRDefault="00EB4933">
            <w:pPr>
              <w:jc w:val="right"/>
              <w:rPr>
                <w:rFonts w:eastAsia="Times New Roman"/>
                <w:sz w:val="20"/>
                <w:szCs w:val="20"/>
              </w:rPr>
            </w:pPr>
            <w:r>
              <w:rPr>
                <w:rFonts w:eastAsia="Times New Roman"/>
                <w:sz w:val="20"/>
                <w:szCs w:val="20"/>
              </w:rPr>
              <w:t>641,770</w:t>
            </w:r>
          </w:p>
        </w:tc>
        <w:tc>
          <w:tcPr>
            <w:tcW w:w="50" w:type="pct"/>
            <w:shd w:val="clear" w:color="auto" w:fill="CCEEFF"/>
            <w:noWrap/>
            <w:tcMar>
              <w:top w:w="0" w:type="dxa"/>
              <w:left w:w="0" w:type="dxa"/>
              <w:bottom w:w="45" w:type="dxa"/>
              <w:right w:w="0" w:type="dxa"/>
            </w:tcMar>
            <w:vAlign w:val="center"/>
            <w:hideMark/>
          </w:tcPr>
          <w:p w14:paraId="5A676EE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1716D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9D5394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5402876C" w14:textId="77777777" w:rsidR="00000000" w:rsidRDefault="00EB4933">
            <w:pPr>
              <w:jc w:val="right"/>
              <w:rPr>
                <w:rFonts w:eastAsia="Times New Roman"/>
                <w:sz w:val="20"/>
                <w:szCs w:val="20"/>
              </w:rPr>
            </w:pPr>
            <w:r>
              <w:rPr>
                <w:rFonts w:eastAsia="Times New Roman"/>
                <w:sz w:val="20"/>
                <w:szCs w:val="20"/>
              </w:rPr>
              <w:t>663,748</w:t>
            </w:r>
          </w:p>
        </w:tc>
        <w:tc>
          <w:tcPr>
            <w:tcW w:w="50" w:type="pct"/>
            <w:shd w:val="clear" w:color="auto" w:fill="CCEEFF"/>
            <w:noWrap/>
            <w:tcMar>
              <w:top w:w="0" w:type="dxa"/>
              <w:left w:w="0" w:type="dxa"/>
              <w:bottom w:w="45" w:type="dxa"/>
              <w:right w:w="0" w:type="dxa"/>
            </w:tcMar>
            <w:vAlign w:val="center"/>
            <w:hideMark/>
          </w:tcPr>
          <w:p w14:paraId="00120A0A" w14:textId="77777777" w:rsidR="00000000" w:rsidRDefault="00EB4933">
            <w:pPr>
              <w:pStyle w:val="NormalWeb"/>
              <w:spacing w:before="0" w:beforeAutospacing="0" w:after="0" w:afterAutospacing="0"/>
              <w:rPr>
                <w:sz w:val="20"/>
                <w:szCs w:val="20"/>
              </w:rPr>
            </w:pPr>
            <w:r>
              <w:rPr>
                <w:sz w:val="20"/>
                <w:szCs w:val="20"/>
              </w:rPr>
              <w:t> </w:t>
            </w:r>
          </w:p>
        </w:tc>
      </w:tr>
    </w:tbl>
    <w:p w14:paraId="5D29E97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BED8A70" w14:textId="77777777" w:rsidR="00000000" w:rsidRDefault="00EB4933">
      <w:pPr>
        <w:pStyle w:val="NormalWeb"/>
        <w:spacing w:before="0" w:beforeAutospacing="0" w:after="0" w:afterAutospacing="0"/>
        <w:jc w:val="center"/>
        <w:divId w:val="98525094"/>
        <w:rPr>
          <w:sz w:val="20"/>
          <w:szCs w:val="20"/>
        </w:rPr>
      </w:pPr>
      <w:r>
        <w:rPr>
          <w:sz w:val="20"/>
          <w:szCs w:val="20"/>
        </w:rPr>
        <w:t>The Annexed notes form an integral part of and should be read in conjunction with the consolidated financial statements.</w:t>
      </w:r>
    </w:p>
    <w:p w14:paraId="52E4C43A" w14:textId="77777777" w:rsidR="00000000" w:rsidRDefault="00EB4933">
      <w:pPr>
        <w:pStyle w:val="NormalWeb"/>
        <w:spacing w:before="0" w:beforeAutospacing="0" w:after="0" w:afterAutospacing="0"/>
        <w:jc w:val="center"/>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B29DE4E" w14:textId="77777777">
        <w:trPr>
          <w:divId w:val="98525094"/>
          <w:trHeight w:val="225"/>
          <w:tblCellSpacing w:w="15" w:type="dxa"/>
        </w:trPr>
        <w:tc>
          <w:tcPr>
            <w:tcW w:w="0" w:type="auto"/>
            <w:vAlign w:val="center"/>
            <w:hideMark/>
          </w:tcPr>
          <w:p w14:paraId="2D48C13C" w14:textId="77777777" w:rsidR="00000000" w:rsidRDefault="00EB4933">
            <w:pPr>
              <w:rPr>
                <w:rFonts w:eastAsia="Times New Roman"/>
                <w:sz w:val="20"/>
                <w:szCs w:val="20"/>
              </w:rPr>
            </w:pPr>
            <w:r>
              <w:rPr>
                <w:rFonts w:eastAsia="Times New Roman"/>
                <w:sz w:val="20"/>
                <w:szCs w:val="20"/>
              </w:rPr>
              <w:t> </w:t>
            </w:r>
          </w:p>
        </w:tc>
      </w:tr>
      <w:tr w:rsidR="00000000" w14:paraId="3A07B470" w14:textId="77777777">
        <w:trPr>
          <w:divId w:val="98525094"/>
          <w:trHeight w:val="225"/>
          <w:tblCellSpacing w:w="15" w:type="dxa"/>
        </w:trPr>
        <w:tc>
          <w:tcPr>
            <w:tcW w:w="0" w:type="auto"/>
            <w:tcBorders>
              <w:bottom w:val="single" w:sz="6" w:space="0" w:color="000000"/>
            </w:tcBorders>
            <w:vAlign w:val="center"/>
            <w:hideMark/>
          </w:tcPr>
          <w:p w14:paraId="7042496C" w14:textId="77777777" w:rsidR="00000000" w:rsidRDefault="00EB4933">
            <w:pPr>
              <w:jc w:val="center"/>
              <w:rPr>
                <w:rFonts w:eastAsia="Times New Roman"/>
                <w:sz w:val="20"/>
                <w:szCs w:val="20"/>
              </w:rPr>
            </w:pPr>
            <w:r>
              <w:rPr>
                <w:rFonts w:eastAsia="Times New Roman"/>
                <w:sz w:val="20"/>
                <w:szCs w:val="20"/>
              </w:rPr>
              <w:t>F-6</w:t>
            </w:r>
          </w:p>
        </w:tc>
      </w:tr>
      <w:tr w:rsidR="00000000" w14:paraId="65AAC8AE" w14:textId="77777777">
        <w:trPr>
          <w:divId w:val="98525094"/>
          <w:trHeight w:val="225"/>
          <w:tblCellSpacing w:w="15" w:type="dxa"/>
        </w:trPr>
        <w:tc>
          <w:tcPr>
            <w:tcW w:w="0" w:type="auto"/>
            <w:vAlign w:val="center"/>
            <w:hideMark/>
          </w:tcPr>
          <w:p w14:paraId="54A1FE6F" w14:textId="77777777" w:rsidR="00000000" w:rsidRDefault="00EB4933">
            <w:pPr>
              <w:rPr>
                <w:rFonts w:eastAsia="Times New Roman"/>
                <w:sz w:val="20"/>
                <w:szCs w:val="20"/>
              </w:rPr>
            </w:pPr>
          </w:p>
        </w:tc>
      </w:tr>
      <w:tr w:rsidR="00000000" w14:paraId="6383FE56" w14:textId="77777777">
        <w:trPr>
          <w:divId w:val="98525094"/>
          <w:trHeight w:val="225"/>
          <w:tblCellSpacing w:w="15" w:type="dxa"/>
        </w:trPr>
        <w:tc>
          <w:tcPr>
            <w:tcW w:w="0" w:type="auto"/>
            <w:vAlign w:val="center"/>
            <w:hideMark/>
          </w:tcPr>
          <w:p w14:paraId="63E1ABAD" w14:textId="77777777" w:rsidR="00000000" w:rsidRDefault="00EB4933">
            <w:pPr>
              <w:rPr>
                <w:rFonts w:eastAsia="Times New Roman"/>
                <w:sz w:val="20"/>
                <w:szCs w:val="20"/>
              </w:rPr>
            </w:pPr>
            <w:hyperlink r:id="rId223" w:anchor="finindex" w:history="1">
              <w:r>
                <w:rPr>
                  <w:rStyle w:val="Hyperlink"/>
                  <w:rFonts w:eastAsia="Times New Roman"/>
                  <w:i/>
                  <w:iCs/>
                  <w:sz w:val="20"/>
                  <w:szCs w:val="20"/>
                </w:rPr>
                <w:t>Table of Contents</w:t>
              </w:r>
            </w:hyperlink>
          </w:p>
        </w:tc>
      </w:tr>
    </w:tbl>
    <w:p w14:paraId="59C1180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FC4EA16" w14:textId="77777777" w:rsidR="00000000" w:rsidRDefault="00EB4933">
      <w:pPr>
        <w:pStyle w:val="NormalWeb"/>
        <w:spacing w:before="0" w:beforeAutospacing="0" w:after="0" w:afterAutospacing="0"/>
        <w:jc w:val="center"/>
        <w:divId w:val="98525094"/>
        <w:rPr>
          <w:sz w:val="20"/>
          <w:szCs w:val="20"/>
        </w:rPr>
      </w:pPr>
      <w:bookmarkStart w:id="38" w:name="eq"/>
      <w:r>
        <w:rPr>
          <w:rStyle w:val="Strong"/>
          <w:sz w:val="20"/>
          <w:szCs w:val="20"/>
        </w:rPr>
        <w:t>DUNXIN FINANCIAL HOLDINGS LIMITED</w:t>
      </w:r>
      <w:bookmarkEnd w:id="38"/>
    </w:p>
    <w:p w14:paraId="20554AC0"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CONSOLIDATED STATEMENTS OF</w:t>
      </w:r>
      <w:r>
        <w:rPr>
          <w:rStyle w:val="Strong"/>
          <w:sz w:val="20"/>
          <w:szCs w:val="20"/>
        </w:rPr>
        <w:t xml:space="preserve"> CHANGES IN EQUITY</w:t>
      </w:r>
    </w:p>
    <w:p w14:paraId="03216BCA"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(Expressed in Thousands of Chinese Renminbi Yuan)</w:t>
      </w:r>
    </w:p>
    <w:p w14:paraId="3430D52A"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For the Years Ended December 31, 2017, 2018 and 2019</w:t>
      </w:r>
    </w:p>
    <w:p w14:paraId="506E6940" w14:textId="77777777" w:rsidR="00000000" w:rsidRDefault="00EB4933">
      <w:pPr>
        <w:pStyle w:val="NormalWeb"/>
        <w:spacing w:before="0" w:beforeAutospacing="0" w:after="0" w:afterAutospacing="0"/>
        <w:jc w:val="center"/>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1256"/>
        <w:gridCol w:w="80"/>
        <w:gridCol w:w="109"/>
        <w:gridCol w:w="499"/>
        <w:gridCol w:w="80"/>
        <w:gridCol w:w="80"/>
        <w:gridCol w:w="156"/>
        <w:gridCol w:w="786"/>
        <w:gridCol w:w="97"/>
        <w:gridCol w:w="80"/>
        <w:gridCol w:w="142"/>
        <w:gridCol w:w="700"/>
        <w:gridCol w:w="80"/>
        <w:gridCol w:w="80"/>
        <w:gridCol w:w="125"/>
        <w:gridCol w:w="594"/>
        <w:gridCol w:w="97"/>
        <w:gridCol w:w="80"/>
        <w:gridCol w:w="160"/>
        <w:gridCol w:w="804"/>
        <w:gridCol w:w="97"/>
        <w:gridCol w:w="80"/>
        <w:gridCol w:w="182"/>
        <w:gridCol w:w="937"/>
        <w:gridCol w:w="97"/>
        <w:gridCol w:w="80"/>
        <w:gridCol w:w="80"/>
        <w:gridCol w:w="747"/>
        <w:gridCol w:w="97"/>
        <w:gridCol w:w="80"/>
        <w:gridCol w:w="160"/>
        <w:gridCol w:w="804"/>
        <w:gridCol w:w="97"/>
        <w:gridCol w:w="80"/>
        <w:gridCol w:w="80"/>
        <w:gridCol w:w="747"/>
        <w:gridCol w:w="112"/>
      </w:tblGrid>
      <w:tr w:rsidR="00000000" w14:paraId="457A41C8" w14:textId="77777777">
        <w:trPr>
          <w:divId w:val="98525094"/>
          <w:trHeight w:val="225"/>
          <w:tblCellSpacing w:w="15" w:type="dxa"/>
        </w:trPr>
        <w:tc>
          <w:tcPr>
            <w:tcW w:w="0" w:type="auto"/>
            <w:vAlign w:val="center"/>
            <w:hideMark/>
          </w:tcPr>
          <w:p w14:paraId="36C8A78C"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AD083E5"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3C60C075" w14:textId="77777777" w:rsidR="00000000" w:rsidRDefault="00EB4933">
            <w:pPr>
              <w:pStyle w:val="NormalWeb"/>
              <w:spacing w:before="0" w:beforeAutospacing="0" w:after="0" w:afterAutospacing="0"/>
              <w:jc w:val="center"/>
              <w:rPr>
                <w:sz w:val="20"/>
                <w:szCs w:val="20"/>
              </w:rPr>
            </w:pPr>
            <w:r>
              <w:rPr>
                <w:rStyle w:val="Strong"/>
                <w:sz w:val="20"/>
                <w:szCs w:val="20"/>
              </w:rPr>
              <w:t xml:space="preserve">Share </w:t>
            </w:r>
          </w:p>
          <w:p w14:paraId="66C4214B" w14:textId="77777777" w:rsidR="00000000" w:rsidRDefault="00EB4933">
            <w:pPr>
              <w:pStyle w:val="NormalWeb"/>
              <w:spacing w:before="0" w:beforeAutospacing="0" w:after="0" w:afterAutospacing="0"/>
              <w:jc w:val="center"/>
              <w:rPr>
                <w:sz w:val="20"/>
                <w:szCs w:val="20"/>
              </w:rPr>
            </w:pPr>
            <w:r>
              <w:rPr>
                <w:rStyle w:val="Strong"/>
                <w:sz w:val="20"/>
                <w:szCs w:val="20"/>
              </w:rPr>
              <w:t>capital</w:t>
            </w:r>
          </w:p>
        </w:tc>
        <w:tc>
          <w:tcPr>
            <w:tcW w:w="0" w:type="auto"/>
            <w:noWrap/>
            <w:tcMar>
              <w:top w:w="0" w:type="dxa"/>
              <w:left w:w="0" w:type="dxa"/>
              <w:bottom w:w="15" w:type="dxa"/>
              <w:right w:w="0" w:type="dxa"/>
            </w:tcMar>
            <w:vAlign w:val="center"/>
            <w:hideMark/>
          </w:tcPr>
          <w:p w14:paraId="0D3E1D74"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2FCB180"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5332447B" w14:textId="77777777" w:rsidR="00000000" w:rsidRDefault="00EB4933">
            <w:pPr>
              <w:pStyle w:val="NormalWeb"/>
              <w:spacing w:before="0" w:beforeAutospacing="0" w:after="0" w:afterAutospacing="0"/>
              <w:jc w:val="center"/>
              <w:rPr>
                <w:sz w:val="20"/>
                <w:szCs w:val="20"/>
              </w:rPr>
            </w:pPr>
            <w:r>
              <w:rPr>
                <w:rStyle w:val="Strong"/>
                <w:sz w:val="20"/>
                <w:szCs w:val="20"/>
              </w:rPr>
              <w:t>Additional</w:t>
            </w:r>
          </w:p>
          <w:p w14:paraId="4A79F960" w14:textId="77777777" w:rsidR="00000000" w:rsidRDefault="00EB4933">
            <w:pPr>
              <w:pStyle w:val="NormalWeb"/>
              <w:spacing w:before="0" w:beforeAutospacing="0" w:after="0" w:afterAutospacing="0"/>
              <w:jc w:val="center"/>
              <w:rPr>
                <w:sz w:val="20"/>
                <w:szCs w:val="20"/>
              </w:rPr>
            </w:pPr>
            <w:r>
              <w:rPr>
                <w:rStyle w:val="Strong"/>
                <w:sz w:val="20"/>
                <w:szCs w:val="20"/>
              </w:rPr>
              <w:t>paid-in capital</w:t>
            </w:r>
          </w:p>
        </w:tc>
        <w:tc>
          <w:tcPr>
            <w:tcW w:w="0" w:type="auto"/>
            <w:noWrap/>
            <w:tcMar>
              <w:top w:w="0" w:type="dxa"/>
              <w:left w:w="0" w:type="dxa"/>
              <w:bottom w:w="15" w:type="dxa"/>
              <w:right w:w="0" w:type="dxa"/>
            </w:tcMar>
            <w:vAlign w:val="center"/>
            <w:hideMark/>
          </w:tcPr>
          <w:p w14:paraId="4460B7C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D7760AD"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77C4B1B3" w14:textId="77777777" w:rsidR="00000000" w:rsidRDefault="00EB4933">
            <w:pPr>
              <w:pStyle w:val="NormalWeb"/>
              <w:spacing w:before="0" w:beforeAutospacing="0" w:after="0" w:afterAutospacing="0"/>
              <w:jc w:val="center"/>
              <w:rPr>
                <w:sz w:val="20"/>
                <w:szCs w:val="20"/>
              </w:rPr>
            </w:pPr>
            <w:r>
              <w:rPr>
                <w:rStyle w:val="Strong"/>
                <w:sz w:val="20"/>
                <w:szCs w:val="20"/>
              </w:rPr>
              <w:t>Statutory</w:t>
            </w:r>
          </w:p>
          <w:p w14:paraId="4FE20C99" w14:textId="77777777" w:rsidR="00000000" w:rsidRDefault="00EB4933">
            <w:pPr>
              <w:pStyle w:val="NormalWeb"/>
              <w:spacing w:before="0" w:beforeAutospacing="0" w:after="0" w:afterAutospacing="0"/>
              <w:jc w:val="center"/>
              <w:rPr>
                <w:sz w:val="20"/>
                <w:szCs w:val="20"/>
              </w:rPr>
            </w:pPr>
            <w:r>
              <w:rPr>
                <w:rStyle w:val="Strong"/>
                <w:sz w:val="20"/>
                <w:szCs w:val="20"/>
              </w:rPr>
              <w:t>reserve</w:t>
            </w:r>
          </w:p>
        </w:tc>
        <w:tc>
          <w:tcPr>
            <w:tcW w:w="0" w:type="auto"/>
            <w:noWrap/>
            <w:tcMar>
              <w:top w:w="0" w:type="dxa"/>
              <w:left w:w="0" w:type="dxa"/>
              <w:bottom w:w="15" w:type="dxa"/>
              <w:right w:w="0" w:type="dxa"/>
            </w:tcMar>
            <w:vAlign w:val="center"/>
            <w:hideMark/>
          </w:tcPr>
          <w:p w14:paraId="2E0A2B11"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722EAB7"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71934984" w14:textId="77777777" w:rsidR="00000000" w:rsidRDefault="00EB4933">
            <w:pPr>
              <w:pStyle w:val="NormalWeb"/>
              <w:spacing w:before="0" w:beforeAutospacing="0" w:after="0" w:afterAutospacing="0"/>
              <w:jc w:val="center"/>
              <w:rPr>
                <w:sz w:val="20"/>
                <w:szCs w:val="20"/>
              </w:rPr>
            </w:pPr>
            <w:r>
              <w:rPr>
                <w:rStyle w:val="Strong"/>
                <w:sz w:val="20"/>
                <w:szCs w:val="20"/>
              </w:rPr>
              <w:t>General</w:t>
            </w:r>
          </w:p>
          <w:p w14:paraId="3A784164" w14:textId="77777777" w:rsidR="00000000" w:rsidRDefault="00EB4933">
            <w:pPr>
              <w:pStyle w:val="NormalWeb"/>
              <w:spacing w:before="0" w:beforeAutospacing="0" w:after="0" w:afterAutospacing="0"/>
              <w:jc w:val="center"/>
              <w:rPr>
                <w:sz w:val="20"/>
                <w:szCs w:val="20"/>
              </w:rPr>
            </w:pPr>
            <w:r>
              <w:rPr>
                <w:rStyle w:val="Strong"/>
                <w:sz w:val="20"/>
                <w:szCs w:val="20"/>
              </w:rPr>
              <w:t>risk</w:t>
            </w:r>
          </w:p>
          <w:p w14:paraId="32717DA9" w14:textId="77777777" w:rsidR="00000000" w:rsidRDefault="00EB4933">
            <w:pPr>
              <w:pStyle w:val="NormalWeb"/>
              <w:spacing w:before="0" w:beforeAutospacing="0" w:after="0" w:afterAutospacing="0"/>
              <w:jc w:val="center"/>
              <w:rPr>
                <w:sz w:val="20"/>
                <w:szCs w:val="20"/>
              </w:rPr>
            </w:pPr>
            <w:r>
              <w:rPr>
                <w:rStyle w:val="Strong"/>
                <w:sz w:val="20"/>
                <w:szCs w:val="20"/>
              </w:rPr>
              <w:t>reserve</w:t>
            </w:r>
          </w:p>
        </w:tc>
        <w:tc>
          <w:tcPr>
            <w:tcW w:w="0" w:type="auto"/>
            <w:noWrap/>
            <w:tcMar>
              <w:top w:w="0" w:type="dxa"/>
              <w:left w:w="0" w:type="dxa"/>
              <w:bottom w:w="15" w:type="dxa"/>
              <w:right w:w="0" w:type="dxa"/>
            </w:tcMar>
            <w:vAlign w:val="center"/>
            <w:hideMark/>
          </w:tcPr>
          <w:p w14:paraId="46EE7830"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585A154"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328AEFD4" w14:textId="77777777" w:rsidR="00000000" w:rsidRDefault="00EB4933">
            <w:pPr>
              <w:pStyle w:val="NormalWeb"/>
              <w:spacing w:before="0" w:beforeAutospacing="0" w:after="0" w:afterAutospacing="0"/>
              <w:jc w:val="center"/>
              <w:rPr>
                <w:sz w:val="20"/>
                <w:szCs w:val="20"/>
              </w:rPr>
            </w:pPr>
            <w:r>
              <w:rPr>
                <w:rStyle w:val="Strong"/>
                <w:sz w:val="20"/>
                <w:szCs w:val="20"/>
              </w:rPr>
              <w:t>Currency</w:t>
            </w:r>
            <w:r>
              <w:rPr>
                <w:b/>
                <w:bCs/>
                <w:sz w:val="20"/>
                <w:szCs w:val="20"/>
              </w:rPr>
              <w:br/>
            </w:r>
            <w:r>
              <w:rPr>
                <w:rStyle w:val="Strong"/>
                <w:sz w:val="20"/>
                <w:szCs w:val="20"/>
              </w:rPr>
              <w:t>translation</w:t>
            </w:r>
            <w:r>
              <w:rPr>
                <w:b/>
                <w:bCs/>
                <w:sz w:val="20"/>
                <w:szCs w:val="20"/>
              </w:rPr>
              <w:br/>
            </w:r>
            <w:r>
              <w:rPr>
                <w:rStyle w:val="Strong"/>
                <w:sz w:val="20"/>
                <w:szCs w:val="20"/>
              </w:rPr>
              <w:t>reserve</w:t>
            </w:r>
          </w:p>
        </w:tc>
        <w:tc>
          <w:tcPr>
            <w:tcW w:w="0" w:type="auto"/>
            <w:noWrap/>
            <w:tcMar>
              <w:top w:w="0" w:type="dxa"/>
              <w:left w:w="0" w:type="dxa"/>
              <w:bottom w:w="15" w:type="dxa"/>
              <w:right w:w="0" w:type="dxa"/>
            </w:tcMar>
            <w:vAlign w:val="center"/>
            <w:hideMark/>
          </w:tcPr>
          <w:p w14:paraId="171F6977"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B1DBEB7"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2F2A4D12" w14:textId="77777777" w:rsidR="00000000" w:rsidRDefault="00EB4933">
            <w:pPr>
              <w:pStyle w:val="NormalWeb"/>
              <w:spacing w:before="0" w:beforeAutospacing="0" w:after="0" w:afterAutospacing="0"/>
              <w:jc w:val="center"/>
              <w:rPr>
                <w:sz w:val="20"/>
                <w:szCs w:val="20"/>
              </w:rPr>
            </w:pPr>
            <w:r>
              <w:rPr>
                <w:rStyle w:val="Strong"/>
                <w:sz w:val="20"/>
                <w:szCs w:val="20"/>
              </w:rPr>
              <w:t>Retained</w:t>
            </w:r>
          </w:p>
          <w:p w14:paraId="04DB762C" w14:textId="77777777" w:rsidR="00000000" w:rsidRDefault="00EB4933">
            <w:pPr>
              <w:pStyle w:val="NormalWeb"/>
              <w:spacing w:before="0" w:beforeAutospacing="0" w:after="0" w:afterAutospacing="0"/>
              <w:jc w:val="center"/>
              <w:rPr>
                <w:sz w:val="20"/>
                <w:szCs w:val="20"/>
              </w:rPr>
            </w:pPr>
            <w:r>
              <w:rPr>
                <w:rStyle w:val="Strong"/>
                <w:sz w:val="20"/>
                <w:szCs w:val="20"/>
              </w:rPr>
              <w:t>earnings/ accumulated loss</w:t>
            </w:r>
          </w:p>
        </w:tc>
        <w:tc>
          <w:tcPr>
            <w:tcW w:w="0" w:type="auto"/>
            <w:noWrap/>
            <w:tcMar>
              <w:top w:w="0" w:type="dxa"/>
              <w:left w:w="0" w:type="dxa"/>
              <w:bottom w:w="15" w:type="dxa"/>
              <w:right w:w="0" w:type="dxa"/>
            </w:tcMar>
            <w:vAlign w:val="center"/>
            <w:hideMark/>
          </w:tcPr>
          <w:p w14:paraId="7251262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E31EB3B"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4C1A057C" w14:textId="77777777" w:rsidR="00000000" w:rsidRDefault="00EB4933">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1D5131BA"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EED7194"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062B1FC6" w14:textId="77777777" w:rsidR="00000000" w:rsidRDefault="00EB4933">
            <w:pPr>
              <w:pStyle w:val="NormalWeb"/>
              <w:spacing w:before="0" w:beforeAutospacing="0" w:after="0" w:afterAutospacing="0"/>
              <w:jc w:val="center"/>
              <w:rPr>
                <w:sz w:val="20"/>
                <w:szCs w:val="20"/>
              </w:rPr>
            </w:pPr>
            <w:r>
              <w:rPr>
                <w:rStyle w:val="Strong"/>
                <w:sz w:val="20"/>
                <w:szCs w:val="20"/>
              </w:rPr>
              <w:t>Non-</w:t>
            </w:r>
          </w:p>
          <w:p w14:paraId="3F6E9CB6" w14:textId="77777777" w:rsidR="00000000" w:rsidRDefault="00EB4933">
            <w:pPr>
              <w:pStyle w:val="NormalWeb"/>
              <w:spacing w:before="0" w:beforeAutospacing="0" w:after="0" w:afterAutospacing="0"/>
              <w:jc w:val="center"/>
              <w:rPr>
                <w:sz w:val="20"/>
                <w:szCs w:val="20"/>
              </w:rPr>
            </w:pPr>
            <w:r>
              <w:rPr>
                <w:rStyle w:val="Strong"/>
                <w:sz w:val="20"/>
                <w:szCs w:val="20"/>
              </w:rPr>
              <w:t>controlling</w:t>
            </w:r>
          </w:p>
          <w:p w14:paraId="117ECB49" w14:textId="77777777" w:rsidR="00000000" w:rsidRDefault="00EB4933">
            <w:pPr>
              <w:pStyle w:val="NormalWeb"/>
              <w:spacing w:before="0" w:beforeAutospacing="0" w:after="0" w:afterAutospacing="0"/>
              <w:jc w:val="center"/>
              <w:rPr>
                <w:sz w:val="20"/>
                <w:szCs w:val="20"/>
              </w:rPr>
            </w:pPr>
            <w:r>
              <w:rPr>
                <w:rStyle w:val="Strong"/>
                <w:sz w:val="20"/>
                <w:szCs w:val="20"/>
              </w:rPr>
              <w:t>interests</w:t>
            </w:r>
          </w:p>
        </w:tc>
        <w:tc>
          <w:tcPr>
            <w:tcW w:w="0" w:type="auto"/>
            <w:noWrap/>
            <w:tcMar>
              <w:top w:w="0" w:type="dxa"/>
              <w:left w:w="0" w:type="dxa"/>
              <w:bottom w:w="15" w:type="dxa"/>
              <w:right w:w="0" w:type="dxa"/>
            </w:tcMar>
            <w:vAlign w:val="center"/>
            <w:hideMark/>
          </w:tcPr>
          <w:p w14:paraId="484968D7"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347D839"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363ECD90" w14:textId="77777777" w:rsidR="00000000" w:rsidRDefault="00EB4933">
            <w:pPr>
              <w:pStyle w:val="NormalWeb"/>
              <w:spacing w:before="0" w:beforeAutospacing="0" w:after="0" w:afterAutospacing="0"/>
              <w:jc w:val="center"/>
              <w:rPr>
                <w:sz w:val="20"/>
                <w:szCs w:val="20"/>
              </w:rPr>
            </w:pPr>
            <w:r>
              <w:rPr>
                <w:rStyle w:val="Strong"/>
                <w:sz w:val="20"/>
                <w:szCs w:val="20"/>
              </w:rPr>
              <w:t>Total</w:t>
            </w:r>
          </w:p>
          <w:p w14:paraId="2260D266" w14:textId="77777777" w:rsidR="00000000" w:rsidRDefault="00EB4933">
            <w:pPr>
              <w:pStyle w:val="NormalWeb"/>
              <w:spacing w:before="0" w:beforeAutospacing="0" w:after="0" w:afterAutospacing="0"/>
              <w:jc w:val="center"/>
              <w:rPr>
                <w:sz w:val="20"/>
                <w:szCs w:val="20"/>
              </w:rPr>
            </w:pPr>
            <w:r>
              <w:rPr>
                <w:rStyle w:val="Strong"/>
                <w:sz w:val="20"/>
                <w:szCs w:val="20"/>
              </w:rPr>
              <w:t>Equity</w:t>
            </w:r>
          </w:p>
        </w:tc>
        <w:tc>
          <w:tcPr>
            <w:tcW w:w="0" w:type="auto"/>
            <w:noWrap/>
            <w:tcMar>
              <w:top w:w="0" w:type="dxa"/>
              <w:left w:w="0" w:type="dxa"/>
              <w:bottom w:w="15" w:type="dxa"/>
              <w:right w:w="0" w:type="dxa"/>
            </w:tcMar>
            <w:vAlign w:val="center"/>
            <w:hideMark/>
          </w:tcPr>
          <w:p w14:paraId="777458A9" w14:textId="77777777" w:rsidR="00000000" w:rsidRDefault="00EB4933">
            <w:pPr>
              <w:pStyle w:val="NormalWeb"/>
              <w:spacing w:before="0" w:beforeAutospacing="0" w:after="0" w:afterAutospacing="0"/>
              <w:rPr>
                <w:sz w:val="20"/>
                <w:szCs w:val="20"/>
              </w:rPr>
            </w:pPr>
            <w:r>
              <w:rPr>
                <w:sz w:val="20"/>
                <w:szCs w:val="20"/>
              </w:rPr>
              <w:t> </w:t>
            </w:r>
          </w:p>
        </w:tc>
      </w:tr>
      <w:tr w:rsidR="00000000" w14:paraId="438E2032" w14:textId="77777777">
        <w:trPr>
          <w:divId w:val="98525094"/>
          <w:trHeight w:val="225"/>
          <w:tblCellSpacing w:w="15" w:type="dxa"/>
        </w:trPr>
        <w:tc>
          <w:tcPr>
            <w:tcW w:w="0" w:type="auto"/>
            <w:vAlign w:val="center"/>
            <w:hideMark/>
          </w:tcPr>
          <w:p w14:paraId="7E3A6F31"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2C8AD54"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center"/>
            <w:hideMark/>
          </w:tcPr>
          <w:p w14:paraId="07AE332E"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0EE2003"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A4EE4B1"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center"/>
            <w:hideMark/>
          </w:tcPr>
          <w:p w14:paraId="0FA8065D"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C08C9C5"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83155F2"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center"/>
            <w:hideMark/>
          </w:tcPr>
          <w:p w14:paraId="57BAF469"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A3F55A2"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AC4FA80"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center"/>
            <w:hideMark/>
          </w:tcPr>
          <w:p w14:paraId="61CAC163"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A69D858"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99D7898"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center"/>
            <w:hideMark/>
          </w:tcPr>
          <w:p w14:paraId="792823C6"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3F16ADA"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F9CF3DB"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center"/>
            <w:hideMark/>
          </w:tcPr>
          <w:p w14:paraId="3343D70D"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C9DD3EE"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DD832DE"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center"/>
            <w:hideMark/>
          </w:tcPr>
          <w:p w14:paraId="4A244D95"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DC12C49"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6CCE096"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center"/>
            <w:hideMark/>
          </w:tcPr>
          <w:p w14:paraId="1CD09BE8"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9F9DCB7"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1950C41"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center"/>
            <w:hideMark/>
          </w:tcPr>
          <w:p w14:paraId="5E040728"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B9378CC" w14:textId="77777777" w:rsidR="00000000" w:rsidRDefault="00EB4933">
            <w:pPr>
              <w:pStyle w:val="NormalWeb"/>
              <w:spacing w:before="0" w:beforeAutospacing="0" w:after="0" w:afterAutospacing="0"/>
              <w:rPr>
                <w:sz w:val="20"/>
                <w:szCs w:val="20"/>
              </w:rPr>
            </w:pPr>
            <w:r>
              <w:rPr>
                <w:sz w:val="20"/>
                <w:szCs w:val="20"/>
              </w:rPr>
              <w:t> </w:t>
            </w:r>
          </w:p>
        </w:tc>
      </w:tr>
      <w:tr w:rsidR="00EB4933" w14:paraId="049CDEF0" w14:textId="77777777">
        <w:trPr>
          <w:divId w:val="98525094"/>
          <w:trHeight w:val="225"/>
          <w:tblCellSpacing w:w="15" w:type="dxa"/>
        </w:trPr>
        <w:tc>
          <w:tcPr>
            <w:tcW w:w="0" w:type="auto"/>
            <w:shd w:val="clear" w:color="auto" w:fill="CCEEFF"/>
            <w:hideMark/>
          </w:tcPr>
          <w:p w14:paraId="3E760232" w14:textId="77777777" w:rsidR="00000000" w:rsidRDefault="00EB4933">
            <w:pPr>
              <w:pStyle w:val="NormalWeb"/>
              <w:spacing w:before="0" w:beforeAutospacing="0" w:after="0" w:afterAutospacing="0"/>
              <w:rPr>
                <w:sz w:val="20"/>
                <w:szCs w:val="20"/>
              </w:rPr>
            </w:pPr>
            <w:r>
              <w:rPr>
                <w:sz w:val="20"/>
                <w:szCs w:val="20"/>
              </w:rPr>
              <w:t>Balance at January 1, 2017</w:t>
            </w:r>
          </w:p>
        </w:tc>
        <w:tc>
          <w:tcPr>
            <w:tcW w:w="50" w:type="pct"/>
            <w:shd w:val="clear" w:color="auto" w:fill="CCEEFF"/>
            <w:noWrap/>
            <w:vAlign w:val="center"/>
            <w:hideMark/>
          </w:tcPr>
          <w:p w14:paraId="503EFE7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B443CB"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D997732" w14:textId="77777777" w:rsidR="00000000" w:rsidRDefault="00EB4933">
            <w:pPr>
              <w:jc w:val="right"/>
              <w:rPr>
                <w:rFonts w:eastAsia="Times New Roman"/>
                <w:sz w:val="20"/>
                <w:szCs w:val="20"/>
              </w:rPr>
            </w:pPr>
            <w:r>
              <w:rPr>
                <w:rFonts w:eastAsia="Times New Roman"/>
                <w:sz w:val="20"/>
                <w:szCs w:val="20"/>
              </w:rPr>
              <w:t>77</w:t>
            </w:r>
          </w:p>
        </w:tc>
        <w:tc>
          <w:tcPr>
            <w:tcW w:w="50" w:type="pct"/>
            <w:shd w:val="clear" w:color="auto" w:fill="CCEEFF"/>
            <w:noWrap/>
            <w:vAlign w:val="center"/>
            <w:hideMark/>
          </w:tcPr>
          <w:p w14:paraId="337E98B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B4D54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670539"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9401BEB" w14:textId="77777777" w:rsidR="00000000" w:rsidRDefault="00EB4933">
            <w:pPr>
              <w:jc w:val="right"/>
              <w:rPr>
                <w:rFonts w:eastAsia="Times New Roman"/>
                <w:sz w:val="20"/>
                <w:szCs w:val="20"/>
              </w:rPr>
            </w:pPr>
            <w:r>
              <w:rPr>
                <w:rFonts w:eastAsia="Times New Roman"/>
                <w:sz w:val="20"/>
                <w:szCs w:val="20"/>
              </w:rPr>
              <w:t>395,924</w:t>
            </w:r>
          </w:p>
        </w:tc>
        <w:tc>
          <w:tcPr>
            <w:tcW w:w="50" w:type="pct"/>
            <w:shd w:val="clear" w:color="auto" w:fill="CCEEFF"/>
            <w:noWrap/>
            <w:vAlign w:val="center"/>
            <w:hideMark/>
          </w:tcPr>
          <w:p w14:paraId="0B7BF9C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297D3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B481FE"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FEBA1CD" w14:textId="77777777" w:rsidR="00000000" w:rsidRDefault="00EB4933">
            <w:pPr>
              <w:jc w:val="right"/>
              <w:rPr>
                <w:rFonts w:eastAsia="Times New Roman"/>
                <w:sz w:val="20"/>
                <w:szCs w:val="20"/>
              </w:rPr>
            </w:pPr>
            <w:r>
              <w:rPr>
                <w:rFonts w:eastAsia="Times New Roman"/>
                <w:sz w:val="20"/>
                <w:szCs w:val="20"/>
              </w:rPr>
              <w:t>7,751</w:t>
            </w:r>
          </w:p>
        </w:tc>
        <w:tc>
          <w:tcPr>
            <w:tcW w:w="50" w:type="pct"/>
            <w:shd w:val="clear" w:color="auto" w:fill="CCEEFF"/>
            <w:noWrap/>
            <w:vAlign w:val="center"/>
            <w:hideMark/>
          </w:tcPr>
          <w:p w14:paraId="5DAAF59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9D4E1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C9C230"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22B929E" w14:textId="77777777" w:rsidR="00000000" w:rsidRDefault="00EB4933">
            <w:pPr>
              <w:jc w:val="right"/>
              <w:rPr>
                <w:rFonts w:eastAsia="Times New Roman"/>
                <w:sz w:val="20"/>
                <w:szCs w:val="20"/>
              </w:rPr>
            </w:pPr>
            <w:r>
              <w:rPr>
                <w:rFonts w:eastAsia="Times New Roman"/>
                <w:sz w:val="20"/>
                <w:szCs w:val="20"/>
              </w:rPr>
              <w:t>5,891</w:t>
            </w:r>
          </w:p>
        </w:tc>
        <w:tc>
          <w:tcPr>
            <w:tcW w:w="50" w:type="pct"/>
            <w:shd w:val="clear" w:color="auto" w:fill="CCEEFF"/>
            <w:noWrap/>
            <w:vAlign w:val="center"/>
            <w:hideMark/>
          </w:tcPr>
          <w:p w14:paraId="1CA4867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C6B57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2C0E83"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D359CAB"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CC8273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95FDD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38013E"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D945CB9" w14:textId="77777777" w:rsidR="00000000" w:rsidRDefault="00EB4933">
            <w:pPr>
              <w:jc w:val="right"/>
              <w:rPr>
                <w:rFonts w:eastAsia="Times New Roman"/>
                <w:sz w:val="20"/>
                <w:szCs w:val="20"/>
              </w:rPr>
            </w:pPr>
            <w:r>
              <w:rPr>
                <w:rFonts w:eastAsia="Times New Roman"/>
                <w:sz w:val="20"/>
                <w:szCs w:val="20"/>
              </w:rPr>
              <w:t>54,105</w:t>
            </w:r>
          </w:p>
        </w:tc>
        <w:tc>
          <w:tcPr>
            <w:tcW w:w="50" w:type="pct"/>
            <w:shd w:val="clear" w:color="auto" w:fill="CCEEFF"/>
            <w:noWrap/>
            <w:vAlign w:val="center"/>
            <w:hideMark/>
          </w:tcPr>
          <w:p w14:paraId="2FB5FDB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D2835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063743"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F82F342" w14:textId="77777777" w:rsidR="00000000" w:rsidRDefault="00EB4933">
            <w:pPr>
              <w:jc w:val="right"/>
              <w:rPr>
                <w:rFonts w:eastAsia="Times New Roman"/>
                <w:sz w:val="20"/>
                <w:szCs w:val="20"/>
              </w:rPr>
            </w:pPr>
            <w:r>
              <w:rPr>
                <w:rFonts w:eastAsia="Times New Roman"/>
                <w:sz w:val="20"/>
                <w:szCs w:val="20"/>
              </w:rPr>
              <w:t>463,748</w:t>
            </w:r>
          </w:p>
        </w:tc>
        <w:tc>
          <w:tcPr>
            <w:tcW w:w="50" w:type="pct"/>
            <w:shd w:val="clear" w:color="auto" w:fill="CCEEFF"/>
            <w:noWrap/>
            <w:vAlign w:val="center"/>
            <w:hideMark/>
          </w:tcPr>
          <w:p w14:paraId="5DBB16C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6678A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2EC79B"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0AC3664" w14:textId="77777777" w:rsidR="00000000" w:rsidRDefault="00EB4933">
            <w:pPr>
              <w:jc w:val="right"/>
              <w:rPr>
                <w:rFonts w:eastAsia="Times New Roman"/>
                <w:sz w:val="20"/>
                <w:szCs w:val="20"/>
              </w:rPr>
            </w:pPr>
            <w:r>
              <w:rPr>
                <w:rFonts w:eastAsia="Times New Roman"/>
                <w:sz w:val="20"/>
                <w:szCs w:val="20"/>
              </w:rPr>
              <w:t>115,937</w:t>
            </w:r>
          </w:p>
        </w:tc>
        <w:tc>
          <w:tcPr>
            <w:tcW w:w="50" w:type="pct"/>
            <w:shd w:val="clear" w:color="auto" w:fill="CCEEFF"/>
            <w:noWrap/>
            <w:vAlign w:val="center"/>
            <w:hideMark/>
          </w:tcPr>
          <w:p w14:paraId="39AF4CD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234B3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08590B"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94C9DFE" w14:textId="77777777" w:rsidR="00000000" w:rsidRDefault="00EB4933">
            <w:pPr>
              <w:jc w:val="right"/>
              <w:rPr>
                <w:rFonts w:eastAsia="Times New Roman"/>
                <w:sz w:val="20"/>
                <w:szCs w:val="20"/>
              </w:rPr>
            </w:pPr>
            <w:r>
              <w:rPr>
                <w:rFonts w:eastAsia="Times New Roman"/>
                <w:sz w:val="20"/>
                <w:szCs w:val="20"/>
              </w:rPr>
              <w:t>579,685</w:t>
            </w:r>
          </w:p>
        </w:tc>
        <w:tc>
          <w:tcPr>
            <w:tcW w:w="50" w:type="pct"/>
            <w:shd w:val="clear" w:color="auto" w:fill="CCEEFF"/>
            <w:noWrap/>
            <w:vAlign w:val="center"/>
            <w:hideMark/>
          </w:tcPr>
          <w:p w14:paraId="5B55C614" w14:textId="77777777" w:rsidR="00000000" w:rsidRDefault="00EB4933">
            <w:pPr>
              <w:pStyle w:val="NormalWeb"/>
              <w:spacing w:before="0" w:beforeAutospacing="0" w:after="0" w:afterAutospacing="0"/>
              <w:rPr>
                <w:sz w:val="20"/>
                <w:szCs w:val="20"/>
              </w:rPr>
            </w:pPr>
            <w:r>
              <w:rPr>
                <w:sz w:val="20"/>
                <w:szCs w:val="20"/>
              </w:rPr>
              <w:t> </w:t>
            </w:r>
          </w:p>
        </w:tc>
      </w:tr>
      <w:tr w:rsidR="00EB4933" w14:paraId="5580781C" w14:textId="77777777">
        <w:trPr>
          <w:divId w:val="98525094"/>
          <w:trHeight w:val="225"/>
          <w:tblCellSpacing w:w="15" w:type="dxa"/>
        </w:trPr>
        <w:tc>
          <w:tcPr>
            <w:tcW w:w="0" w:type="auto"/>
            <w:shd w:val="clear" w:color="auto" w:fill="FFFFFF"/>
            <w:hideMark/>
          </w:tcPr>
          <w:p w14:paraId="11213F5C" w14:textId="77777777" w:rsidR="00000000" w:rsidRDefault="00EB4933">
            <w:pPr>
              <w:pStyle w:val="NormalWeb"/>
              <w:spacing w:before="0" w:beforeAutospacing="0" w:after="0" w:afterAutospacing="0"/>
              <w:rPr>
                <w:sz w:val="20"/>
                <w:szCs w:val="20"/>
              </w:rPr>
            </w:pPr>
            <w:r>
              <w:rPr>
                <w:sz w:val="20"/>
                <w:szCs w:val="20"/>
              </w:rPr>
              <w:t>Issuance of shares pursuant to reverse acquisition</w:t>
            </w:r>
          </w:p>
        </w:tc>
        <w:tc>
          <w:tcPr>
            <w:tcW w:w="50" w:type="pct"/>
            <w:shd w:val="clear" w:color="auto" w:fill="FFFFFF"/>
            <w:noWrap/>
            <w:vAlign w:val="center"/>
            <w:hideMark/>
          </w:tcPr>
          <w:p w14:paraId="4388594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D6D79B"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D1A4015" w14:textId="77777777" w:rsidR="00000000" w:rsidRDefault="00EB4933">
            <w:pPr>
              <w:jc w:val="right"/>
              <w:rPr>
                <w:rFonts w:eastAsia="Times New Roman"/>
                <w:sz w:val="20"/>
                <w:szCs w:val="20"/>
              </w:rPr>
            </w:pPr>
            <w:r>
              <w:rPr>
                <w:rFonts w:eastAsia="Times New Roman"/>
                <w:sz w:val="20"/>
                <w:szCs w:val="20"/>
              </w:rPr>
              <w:t>248</w:t>
            </w:r>
          </w:p>
        </w:tc>
        <w:tc>
          <w:tcPr>
            <w:tcW w:w="50" w:type="pct"/>
            <w:shd w:val="clear" w:color="auto" w:fill="FFFFFF"/>
            <w:noWrap/>
            <w:vAlign w:val="center"/>
            <w:hideMark/>
          </w:tcPr>
          <w:p w14:paraId="6319393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B61B0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36A52B"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D6B381D" w14:textId="77777777" w:rsidR="00000000" w:rsidRDefault="00EB4933">
            <w:pPr>
              <w:jc w:val="right"/>
              <w:rPr>
                <w:rFonts w:eastAsia="Times New Roman"/>
                <w:sz w:val="20"/>
                <w:szCs w:val="20"/>
              </w:rPr>
            </w:pPr>
            <w:r>
              <w:rPr>
                <w:rFonts w:eastAsia="Times New Roman"/>
                <w:sz w:val="20"/>
                <w:szCs w:val="20"/>
              </w:rPr>
              <w:t>(222</w:t>
            </w:r>
          </w:p>
        </w:tc>
        <w:tc>
          <w:tcPr>
            <w:tcW w:w="50" w:type="pct"/>
            <w:shd w:val="clear" w:color="auto" w:fill="FFFFFF"/>
            <w:noWrap/>
            <w:vAlign w:val="bottom"/>
            <w:hideMark/>
          </w:tcPr>
          <w:p w14:paraId="75549409"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8C025D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796E39"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3863980"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F58D79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52970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7836EA"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BDF8D58"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A3E36B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C705B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323C01"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F34D0FF"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842B04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71BEB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ADE599"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14DC8C5"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01BF6A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D2516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89324F"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05BD764" w14:textId="77777777" w:rsidR="00000000" w:rsidRDefault="00EB4933">
            <w:pPr>
              <w:jc w:val="right"/>
              <w:rPr>
                <w:rFonts w:eastAsia="Times New Roman"/>
                <w:sz w:val="20"/>
                <w:szCs w:val="20"/>
              </w:rPr>
            </w:pPr>
            <w:r>
              <w:rPr>
                <w:rFonts w:eastAsia="Times New Roman"/>
                <w:sz w:val="20"/>
                <w:szCs w:val="20"/>
              </w:rPr>
              <w:t>26</w:t>
            </w:r>
          </w:p>
        </w:tc>
        <w:tc>
          <w:tcPr>
            <w:tcW w:w="50" w:type="pct"/>
            <w:shd w:val="clear" w:color="auto" w:fill="FFFFFF"/>
            <w:noWrap/>
            <w:vAlign w:val="center"/>
            <w:hideMark/>
          </w:tcPr>
          <w:p w14:paraId="4E62F73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B3A5D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ED27C8"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01BE9DE" w14:textId="77777777" w:rsidR="00000000" w:rsidRDefault="00EB4933">
            <w:pPr>
              <w:jc w:val="right"/>
              <w:rPr>
                <w:rFonts w:eastAsia="Times New Roman"/>
                <w:sz w:val="20"/>
                <w:szCs w:val="20"/>
              </w:rPr>
            </w:pPr>
            <w:r>
              <w:rPr>
                <w:rFonts w:eastAsia="Times New Roman"/>
                <w:sz w:val="20"/>
                <w:szCs w:val="20"/>
              </w:rPr>
              <w:t>7</w:t>
            </w:r>
          </w:p>
        </w:tc>
        <w:tc>
          <w:tcPr>
            <w:tcW w:w="50" w:type="pct"/>
            <w:shd w:val="clear" w:color="auto" w:fill="FFFFFF"/>
            <w:noWrap/>
            <w:vAlign w:val="center"/>
            <w:hideMark/>
          </w:tcPr>
          <w:p w14:paraId="49E7A4B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A5F93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576058"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B17D8E1" w14:textId="77777777" w:rsidR="00000000" w:rsidRDefault="00EB4933">
            <w:pPr>
              <w:jc w:val="right"/>
              <w:rPr>
                <w:rFonts w:eastAsia="Times New Roman"/>
                <w:sz w:val="20"/>
                <w:szCs w:val="20"/>
              </w:rPr>
            </w:pPr>
            <w:r>
              <w:rPr>
                <w:rFonts w:eastAsia="Times New Roman"/>
                <w:sz w:val="20"/>
                <w:szCs w:val="20"/>
              </w:rPr>
              <w:t>33</w:t>
            </w:r>
          </w:p>
        </w:tc>
        <w:tc>
          <w:tcPr>
            <w:tcW w:w="50" w:type="pct"/>
            <w:shd w:val="clear" w:color="auto" w:fill="FFFFFF"/>
            <w:noWrap/>
            <w:vAlign w:val="center"/>
            <w:hideMark/>
          </w:tcPr>
          <w:p w14:paraId="2CE7D91A" w14:textId="77777777" w:rsidR="00000000" w:rsidRDefault="00EB4933">
            <w:pPr>
              <w:pStyle w:val="NormalWeb"/>
              <w:spacing w:before="0" w:beforeAutospacing="0" w:after="0" w:afterAutospacing="0"/>
              <w:rPr>
                <w:sz w:val="20"/>
                <w:szCs w:val="20"/>
              </w:rPr>
            </w:pPr>
            <w:r>
              <w:rPr>
                <w:sz w:val="20"/>
                <w:szCs w:val="20"/>
              </w:rPr>
              <w:t> </w:t>
            </w:r>
          </w:p>
        </w:tc>
      </w:tr>
      <w:tr w:rsidR="00EB4933" w14:paraId="3CA38FFB" w14:textId="77777777">
        <w:trPr>
          <w:divId w:val="98525094"/>
          <w:trHeight w:val="225"/>
          <w:tblCellSpacing w:w="15" w:type="dxa"/>
        </w:trPr>
        <w:tc>
          <w:tcPr>
            <w:tcW w:w="0" w:type="auto"/>
            <w:shd w:val="clear" w:color="auto" w:fill="CCEEFF"/>
            <w:hideMark/>
          </w:tcPr>
          <w:p w14:paraId="3C8CB6D2" w14:textId="77777777" w:rsidR="00000000" w:rsidRDefault="00EB4933">
            <w:pPr>
              <w:pStyle w:val="NormalWeb"/>
              <w:spacing w:before="0" w:beforeAutospacing="0" w:after="0" w:afterAutospacing="0"/>
              <w:rPr>
                <w:sz w:val="20"/>
                <w:szCs w:val="20"/>
              </w:rPr>
            </w:pPr>
            <w:r>
              <w:rPr>
                <w:sz w:val="20"/>
                <w:szCs w:val="20"/>
              </w:rPr>
              <w:lastRenderedPageBreak/>
              <w:t>Share issuance expense</w:t>
            </w:r>
          </w:p>
        </w:tc>
        <w:tc>
          <w:tcPr>
            <w:tcW w:w="50" w:type="pct"/>
            <w:shd w:val="clear" w:color="auto" w:fill="CCEEFF"/>
            <w:noWrap/>
            <w:vAlign w:val="center"/>
            <w:hideMark/>
          </w:tcPr>
          <w:p w14:paraId="7D4E584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9E5CC9"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35A6A8D"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EB693C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4F997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BEA320"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984CE14" w14:textId="77777777" w:rsidR="00000000" w:rsidRDefault="00EB4933">
            <w:pPr>
              <w:jc w:val="right"/>
              <w:rPr>
                <w:rFonts w:eastAsia="Times New Roman"/>
                <w:sz w:val="20"/>
                <w:szCs w:val="20"/>
              </w:rPr>
            </w:pPr>
            <w:r>
              <w:rPr>
                <w:rFonts w:eastAsia="Times New Roman"/>
                <w:sz w:val="20"/>
                <w:szCs w:val="20"/>
              </w:rPr>
              <w:t>(12,528</w:t>
            </w:r>
          </w:p>
        </w:tc>
        <w:tc>
          <w:tcPr>
            <w:tcW w:w="50" w:type="pct"/>
            <w:shd w:val="clear" w:color="auto" w:fill="CCEEFF"/>
            <w:noWrap/>
            <w:vAlign w:val="bottom"/>
            <w:hideMark/>
          </w:tcPr>
          <w:p w14:paraId="66E2ABBB"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0E3164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DB5AFE"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43EA600"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273452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B30225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A30AAC"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9DD4DDD"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A00E7E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CD9A3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A19E73"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C486849"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0D58F6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EC8A2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7C4172"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5E79F5C"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1D96A4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D0230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DCA493"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6A27DEF" w14:textId="77777777" w:rsidR="00000000" w:rsidRDefault="00EB4933">
            <w:pPr>
              <w:jc w:val="right"/>
              <w:rPr>
                <w:rFonts w:eastAsia="Times New Roman"/>
                <w:sz w:val="20"/>
                <w:szCs w:val="20"/>
              </w:rPr>
            </w:pPr>
            <w:r>
              <w:rPr>
                <w:rFonts w:eastAsia="Times New Roman"/>
                <w:sz w:val="20"/>
                <w:szCs w:val="20"/>
              </w:rPr>
              <w:t>(12,528</w:t>
            </w:r>
          </w:p>
        </w:tc>
        <w:tc>
          <w:tcPr>
            <w:tcW w:w="50" w:type="pct"/>
            <w:shd w:val="clear" w:color="auto" w:fill="CCEEFF"/>
            <w:noWrap/>
            <w:vAlign w:val="bottom"/>
            <w:hideMark/>
          </w:tcPr>
          <w:p w14:paraId="62C60E31"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31B5BD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A04D55"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FC38F1E" w14:textId="77777777" w:rsidR="00000000" w:rsidRDefault="00EB4933">
            <w:pPr>
              <w:jc w:val="right"/>
              <w:rPr>
                <w:rFonts w:eastAsia="Times New Roman"/>
                <w:sz w:val="20"/>
                <w:szCs w:val="20"/>
              </w:rPr>
            </w:pPr>
            <w:r>
              <w:rPr>
                <w:rFonts w:eastAsia="Times New Roman"/>
                <w:sz w:val="20"/>
                <w:szCs w:val="20"/>
              </w:rPr>
              <w:t>(3,132</w:t>
            </w:r>
          </w:p>
        </w:tc>
        <w:tc>
          <w:tcPr>
            <w:tcW w:w="50" w:type="pct"/>
            <w:shd w:val="clear" w:color="auto" w:fill="CCEEFF"/>
            <w:noWrap/>
            <w:vAlign w:val="bottom"/>
            <w:hideMark/>
          </w:tcPr>
          <w:p w14:paraId="4C56588D"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78FED3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8C4892"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BC8F0F7" w14:textId="77777777" w:rsidR="00000000" w:rsidRDefault="00EB4933">
            <w:pPr>
              <w:jc w:val="right"/>
              <w:rPr>
                <w:rFonts w:eastAsia="Times New Roman"/>
                <w:sz w:val="20"/>
                <w:szCs w:val="20"/>
              </w:rPr>
            </w:pPr>
            <w:r>
              <w:rPr>
                <w:rFonts w:eastAsia="Times New Roman"/>
                <w:sz w:val="20"/>
                <w:szCs w:val="20"/>
              </w:rPr>
              <w:t>(15,660</w:t>
            </w:r>
          </w:p>
        </w:tc>
        <w:tc>
          <w:tcPr>
            <w:tcW w:w="50" w:type="pct"/>
            <w:shd w:val="clear" w:color="auto" w:fill="CCEEFF"/>
            <w:noWrap/>
            <w:vAlign w:val="bottom"/>
            <w:hideMark/>
          </w:tcPr>
          <w:p w14:paraId="26D10B19" w14:textId="77777777" w:rsidR="00000000" w:rsidRDefault="00EB4933">
            <w:pPr>
              <w:rPr>
                <w:rFonts w:eastAsia="Times New Roman"/>
                <w:sz w:val="20"/>
                <w:szCs w:val="20"/>
              </w:rPr>
            </w:pPr>
            <w:r>
              <w:rPr>
                <w:rFonts w:eastAsia="Times New Roman"/>
                <w:sz w:val="20"/>
                <w:szCs w:val="20"/>
              </w:rPr>
              <w:t>)</w:t>
            </w:r>
          </w:p>
        </w:tc>
      </w:tr>
      <w:tr w:rsidR="00EB4933" w14:paraId="1952F13E" w14:textId="77777777">
        <w:trPr>
          <w:divId w:val="98525094"/>
          <w:trHeight w:val="225"/>
          <w:tblCellSpacing w:w="15" w:type="dxa"/>
        </w:trPr>
        <w:tc>
          <w:tcPr>
            <w:tcW w:w="0" w:type="auto"/>
            <w:shd w:val="clear" w:color="auto" w:fill="FFFFFF"/>
            <w:hideMark/>
          </w:tcPr>
          <w:p w14:paraId="69D7581D" w14:textId="77777777" w:rsidR="00000000" w:rsidRDefault="00EB4933">
            <w:pPr>
              <w:pStyle w:val="NormalWeb"/>
              <w:spacing w:before="0" w:beforeAutospacing="0" w:after="0" w:afterAutospacing="0"/>
              <w:rPr>
                <w:sz w:val="20"/>
                <w:szCs w:val="20"/>
              </w:rPr>
            </w:pPr>
            <w:r>
              <w:rPr>
                <w:sz w:val="20"/>
                <w:szCs w:val="20"/>
              </w:rPr>
              <w:t>Appropriation to reserves</w:t>
            </w:r>
          </w:p>
        </w:tc>
        <w:tc>
          <w:tcPr>
            <w:tcW w:w="50" w:type="pct"/>
            <w:shd w:val="clear" w:color="auto" w:fill="FFFFFF"/>
            <w:noWrap/>
            <w:vAlign w:val="center"/>
            <w:hideMark/>
          </w:tcPr>
          <w:p w14:paraId="055C38C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FA5DB7"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8EA1D42"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871366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410DE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BFDDEA"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7B14946"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754F89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D1A3D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87CAB8"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E78DD98" w14:textId="77777777" w:rsidR="00000000" w:rsidRDefault="00EB4933">
            <w:pPr>
              <w:jc w:val="right"/>
              <w:rPr>
                <w:rFonts w:eastAsia="Times New Roman"/>
                <w:sz w:val="20"/>
                <w:szCs w:val="20"/>
              </w:rPr>
            </w:pPr>
            <w:r>
              <w:rPr>
                <w:rFonts w:eastAsia="Times New Roman"/>
                <w:sz w:val="20"/>
                <w:szCs w:val="20"/>
              </w:rPr>
              <w:t>5,614</w:t>
            </w:r>
          </w:p>
        </w:tc>
        <w:tc>
          <w:tcPr>
            <w:tcW w:w="50" w:type="pct"/>
            <w:shd w:val="clear" w:color="auto" w:fill="FFFFFF"/>
            <w:noWrap/>
            <w:vAlign w:val="center"/>
            <w:hideMark/>
          </w:tcPr>
          <w:p w14:paraId="3DD9E78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93578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91555F"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884DF12" w14:textId="77777777" w:rsidR="00000000" w:rsidRDefault="00EB4933">
            <w:pPr>
              <w:jc w:val="right"/>
              <w:rPr>
                <w:rFonts w:eastAsia="Times New Roman"/>
                <w:sz w:val="20"/>
                <w:szCs w:val="20"/>
              </w:rPr>
            </w:pPr>
            <w:r>
              <w:rPr>
                <w:rFonts w:eastAsia="Times New Roman"/>
                <w:sz w:val="20"/>
                <w:szCs w:val="20"/>
              </w:rPr>
              <w:t>3,926</w:t>
            </w:r>
          </w:p>
        </w:tc>
        <w:tc>
          <w:tcPr>
            <w:tcW w:w="50" w:type="pct"/>
            <w:shd w:val="clear" w:color="auto" w:fill="FFFFFF"/>
            <w:noWrap/>
            <w:vAlign w:val="center"/>
            <w:hideMark/>
          </w:tcPr>
          <w:p w14:paraId="1C6EB34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E0301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A29E66"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5A3B568"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472FE1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8BAC9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695268"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28B3E1D" w14:textId="77777777" w:rsidR="00000000" w:rsidRDefault="00EB4933">
            <w:pPr>
              <w:jc w:val="right"/>
              <w:rPr>
                <w:rFonts w:eastAsia="Times New Roman"/>
                <w:sz w:val="20"/>
                <w:szCs w:val="20"/>
              </w:rPr>
            </w:pPr>
            <w:r>
              <w:rPr>
                <w:rFonts w:eastAsia="Times New Roman"/>
                <w:sz w:val="20"/>
                <w:szCs w:val="20"/>
              </w:rPr>
              <w:t>(9,540</w:t>
            </w:r>
          </w:p>
        </w:tc>
        <w:tc>
          <w:tcPr>
            <w:tcW w:w="50" w:type="pct"/>
            <w:shd w:val="clear" w:color="auto" w:fill="FFFFFF"/>
            <w:noWrap/>
            <w:vAlign w:val="bottom"/>
            <w:hideMark/>
          </w:tcPr>
          <w:p w14:paraId="62DAD2AC"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FD0FF4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DF1F9E"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DCCA093"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E391FB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8364B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BB65CC"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F3D081E"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36D4BE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05B11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668C0D"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517B561"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995F7DF" w14:textId="77777777" w:rsidR="00000000" w:rsidRDefault="00EB4933">
            <w:pPr>
              <w:pStyle w:val="NormalWeb"/>
              <w:spacing w:before="0" w:beforeAutospacing="0" w:after="0" w:afterAutospacing="0"/>
              <w:rPr>
                <w:sz w:val="20"/>
                <w:szCs w:val="20"/>
              </w:rPr>
            </w:pPr>
            <w:r>
              <w:rPr>
                <w:sz w:val="20"/>
                <w:szCs w:val="20"/>
              </w:rPr>
              <w:t> </w:t>
            </w:r>
          </w:p>
        </w:tc>
      </w:tr>
      <w:tr w:rsidR="00EB4933" w14:paraId="2A77D917" w14:textId="77777777">
        <w:trPr>
          <w:divId w:val="98525094"/>
          <w:trHeight w:val="225"/>
          <w:tblCellSpacing w:w="15" w:type="dxa"/>
        </w:trPr>
        <w:tc>
          <w:tcPr>
            <w:tcW w:w="0" w:type="auto"/>
            <w:shd w:val="clear" w:color="auto" w:fill="CCEEFF"/>
            <w:hideMark/>
          </w:tcPr>
          <w:p w14:paraId="1DFD9917" w14:textId="77777777" w:rsidR="00000000" w:rsidRDefault="00EB4933">
            <w:pPr>
              <w:pStyle w:val="NormalWeb"/>
              <w:spacing w:before="0" w:beforeAutospacing="0" w:after="0" w:afterAutospacing="0"/>
              <w:rPr>
                <w:sz w:val="20"/>
                <w:szCs w:val="20"/>
              </w:rPr>
            </w:pPr>
            <w:r>
              <w:rPr>
                <w:sz w:val="20"/>
                <w:szCs w:val="20"/>
              </w:rPr>
              <w:t>Net profit for the year</w:t>
            </w:r>
          </w:p>
        </w:tc>
        <w:tc>
          <w:tcPr>
            <w:tcW w:w="50" w:type="pct"/>
            <w:shd w:val="clear" w:color="auto" w:fill="CCEEFF"/>
            <w:noWrap/>
            <w:vAlign w:val="center"/>
            <w:hideMark/>
          </w:tcPr>
          <w:p w14:paraId="24E6B85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23B7352"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7DC3D8B7"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5D5DF31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42C67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4C59828"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1B6AFBFE"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7252015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0B083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5468E60"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2ED0F0C3"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20B1344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2FF7B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03EF27C"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19E95212"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26FE39E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004A0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025CD95"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254CA673"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089A41A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D650A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8E10975"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4C34B1D5" w14:textId="77777777" w:rsidR="00000000" w:rsidRDefault="00EB4933">
            <w:pPr>
              <w:jc w:val="right"/>
              <w:rPr>
                <w:rFonts w:eastAsia="Times New Roman"/>
                <w:sz w:val="20"/>
                <w:szCs w:val="20"/>
              </w:rPr>
            </w:pPr>
            <w:r>
              <w:rPr>
                <w:rFonts w:eastAsia="Times New Roman"/>
                <w:sz w:val="20"/>
                <w:szCs w:val="20"/>
              </w:rPr>
              <w:t>23,061</w:t>
            </w:r>
          </w:p>
        </w:tc>
        <w:tc>
          <w:tcPr>
            <w:tcW w:w="50" w:type="pct"/>
            <w:shd w:val="clear" w:color="auto" w:fill="CCEEFF"/>
            <w:noWrap/>
            <w:tcMar>
              <w:top w:w="0" w:type="dxa"/>
              <w:left w:w="0" w:type="dxa"/>
              <w:bottom w:w="15" w:type="dxa"/>
              <w:right w:w="0" w:type="dxa"/>
            </w:tcMar>
            <w:vAlign w:val="center"/>
            <w:hideMark/>
          </w:tcPr>
          <w:p w14:paraId="1C971A8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E1D1A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1351CB5"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7D9B1D33" w14:textId="77777777" w:rsidR="00000000" w:rsidRDefault="00EB4933">
            <w:pPr>
              <w:jc w:val="right"/>
              <w:rPr>
                <w:rFonts w:eastAsia="Times New Roman"/>
                <w:sz w:val="20"/>
                <w:szCs w:val="20"/>
              </w:rPr>
            </w:pPr>
            <w:r>
              <w:rPr>
                <w:rFonts w:eastAsia="Times New Roman"/>
                <w:sz w:val="20"/>
                <w:szCs w:val="20"/>
              </w:rPr>
              <w:t>23,061</w:t>
            </w:r>
          </w:p>
        </w:tc>
        <w:tc>
          <w:tcPr>
            <w:tcW w:w="50" w:type="pct"/>
            <w:shd w:val="clear" w:color="auto" w:fill="CCEEFF"/>
            <w:noWrap/>
            <w:tcMar>
              <w:top w:w="0" w:type="dxa"/>
              <w:left w:w="0" w:type="dxa"/>
              <w:bottom w:w="15" w:type="dxa"/>
              <w:right w:w="0" w:type="dxa"/>
            </w:tcMar>
            <w:vAlign w:val="center"/>
            <w:hideMark/>
          </w:tcPr>
          <w:p w14:paraId="42BC186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FFF59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A7E609A"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4D4CC23F" w14:textId="77777777" w:rsidR="00000000" w:rsidRDefault="00EB4933">
            <w:pPr>
              <w:jc w:val="right"/>
              <w:rPr>
                <w:rFonts w:eastAsia="Times New Roman"/>
                <w:sz w:val="20"/>
                <w:szCs w:val="20"/>
              </w:rPr>
            </w:pPr>
            <w:r>
              <w:rPr>
                <w:rFonts w:eastAsia="Times New Roman"/>
                <w:sz w:val="20"/>
                <w:szCs w:val="20"/>
              </w:rPr>
              <w:t>5,765</w:t>
            </w:r>
          </w:p>
        </w:tc>
        <w:tc>
          <w:tcPr>
            <w:tcW w:w="50" w:type="pct"/>
            <w:shd w:val="clear" w:color="auto" w:fill="CCEEFF"/>
            <w:noWrap/>
            <w:tcMar>
              <w:top w:w="0" w:type="dxa"/>
              <w:left w:w="0" w:type="dxa"/>
              <w:bottom w:w="15" w:type="dxa"/>
              <w:right w:w="0" w:type="dxa"/>
            </w:tcMar>
            <w:vAlign w:val="center"/>
            <w:hideMark/>
          </w:tcPr>
          <w:p w14:paraId="14C4BD9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AAD18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635094C"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1BB29FF9" w14:textId="77777777" w:rsidR="00000000" w:rsidRDefault="00EB4933">
            <w:pPr>
              <w:jc w:val="right"/>
              <w:rPr>
                <w:rFonts w:eastAsia="Times New Roman"/>
                <w:sz w:val="20"/>
                <w:szCs w:val="20"/>
              </w:rPr>
            </w:pPr>
            <w:r>
              <w:rPr>
                <w:rFonts w:eastAsia="Times New Roman"/>
                <w:sz w:val="20"/>
                <w:szCs w:val="20"/>
              </w:rPr>
              <w:t>28,826</w:t>
            </w:r>
          </w:p>
        </w:tc>
        <w:tc>
          <w:tcPr>
            <w:tcW w:w="50" w:type="pct"/>
            <w:shd w:val="clear" w:color="auto" w:fill="CCEEFF"/>
            <w:noWrap/>
            <w:tcMar>
              <w:top w:w="0" w:type="dxa"/>
              <w:left w:w="0" w:type="dxa"/>
              <w:bottom w:w="15" w:type="dxa"/>
              <w:right w:w="0" w:type="dxa"/>
            </w:tcMar>
            <w:vAlign w:val="center"/>
            <w:hideMark/>
          </w:tcPr>
          <w:p w14:paraId="2EAFD47F" w14:textId="77777777" w:rsidR="00000000" w:rsidRDefault="00EB4933">
            <w:pPr>
              <w:pStyle w:val="NormalWeb"/>
              <w:spacing w:before="0" w:beforeAutospacing="0" w:after="0" w:afterAutospacing="0"/>
              <w:rPr>
                <w:sz w:val="20"/>
                <w:szCs w:val="20"/>
              </w:rPr>
            </w:pPr>
            <w:r>
              <w:rPr>
                <w:sz w:val="20"/>
                <w:szCs w:val="20"/>
              </w:rPr>
              <w:t> </w:t>
            </w:r>
          </w:p>
        </w:tc>
      </w:tr>
      <w:tr w:rsidR="00EB4933" w14:paraId="03F5FF47" w14:textId="77777777">
        <w:trPr>
          <w:divId w:val="98525094"/>
          <w:trHeight w:val="225"/>
          <w:tblCellSpacing w:w="15" w:type="dxa"/>
        </w:trPr>
        <w:tc>
          <w:tcPr>
            <w:tcW w:w="0" w:type="auto"/>
            <w:shd w:val="clear" w:color="auto" w:fill="FFFFFF"/>
            <w:hideMark/>
          </w:tcPr>
          <w:p w14:paraId="52D00FBC" w14:textId="77777777" w:rsidR="00000000" w:rsidRDefault="00EB4933">
            <w:pPr>
              <w:pStyle w:val="NormalWeb"/>
              <w:spacing w:before="0" w:beforeAutospacing="0" w:after="0" w:afterAutospacing="0"/>
              <w:rPr>
                <w:sz w:val="20"/>
                <w:szCs w:val="20"/>
              </w:rPr>
            </w:pPr>
            <w:r>
              <w:rPr>
                <w:sz w:val="20"/>
                <w:szCs w:val="20"/>
              </w:rPr>
              <w:t>Balance at December 31, 2017 (restated)</w:t>
            </w:r>
          </w:p>
        </w:tc>
        <w:tc>
          <w:tcPr>
            <w:tcW w:w="50" w:type="pct"/>
            <w:shd w:val="clear" w:color="auto" w:fill="FFFFFF"/>
            <w:noWrap/>
            <w:vAlign w:val="center"/>
            <w:hideMark/>
          </w:tcPr>
          <w:p w14:paraId="12F88AF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F8269B"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1EDF255" w14:textId="77777777" w:rsidR="00000000" w:rsidRDefault="00EB4933">
            <w:pPr>
              <w:jc w:val="right"/>
              <w:rPr>
                <w:rFonts w:eastAsia="Times New Roman"/>
                <w:sz w:val="20"/>
                <w:szCs w:val="20"/>
              </w:rPr>
            </w:pPr>
            <w:r>
              <w:rPr>
                <w:rFonts w:eastAsia="Times New Roman"/>
                <w:sz w:val="20"/>
                <w:szCs w:val="20"/>
              </w:rPr>
              <w:t>325</w:t>
            </w:r>
          </w:p>
        </w:tc>
        <w:tc>
          <w:tcPr>
            <w:tcW w:w="50" w:type="pct"/>
            <w:shd w:val="clear" w:color="auto" w:fill="FFFFFF"/>
            <w:noWrap/>
            <w:vAlign w:val="center"/>
            <w:hideMark/>
          </w:tcPr>
          <w:p w14:paraId="6076818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54831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360223"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8FCF16D" w14:textId="77777777" w:rsidR="00000000" w:rsidRDefault="00EB4933">
            <w:pPr>
              <w:jc w:val="right"/>
              <w:rPr>
                <w:rFonts w:eastAsia="Times New Roman"/>
                <w:sz w:val="20"/>
                <w:szCs w:val="20"/>
              </w:rPr>
            </w:pPr>
            <w:r>
              <w:rPr>
                <w:rFonts w:eastAsia="Times New Roman"/>
                <w:sz w:val="20"/>
                <w:szCs w:val="20"/>
              </w:rPr>
              <w:t>383,174</w:t>
            </w:r>
          </w:p>
        </w:tc>
        <w:tc>
          <w:tcPr>
            <w:tcW w:w="50" w:type="pct"/>
            <w:shd w:val="clear" w:color="auto" w:fill="FFFFFF"/>
            <w:noWrap/>
            <w:vAlign w:val="center"/>
            <w:hideMark/>
          </w:tcPr>
          <w:p w14:paraId="0AC6AE0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0FFF3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BDC5CF"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65A42DB" w14:textId="77777777" w:rsidR="00000000" w:rsidRDefault="00EB4933">
            <w:pPr>
              <w:jc w:val="right"/>
              <w:rPr>
                <w:rFonts w:eastAsia="Times New Roman"/>
                <w:sz w:val="20"/>
                <w:szCs w:val="20"/>
              </w:rPr>
            </w:pPr>
            <w:r>
              <w:rPr>
                <w:rFonts w:eastAsia="Times New Roman"/>
                <w:sz w:val="20"/>
                <w:szCs w:val="20"/>
              </w:rPr>
              <w:t>13,365</w:t>
            </w:r>
          </w:p>
        </w:tc>
        <w:tc>
          <w:tcPr>
            <w:tcW w:w="50" w:type="pct"/>
            <w:shd w:val="clear" w:color="auto" w:fill="FFFFFF"/>
            <w:noWrap/>
            <w:vAlign w:val="center"/>
            <w:hideMark/>
          </w:tcPr>
          <w:p w14:paraId="2FC3C64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9AF2F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674DF6"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126AF9B" w14:textId="77777777" w:rsidR="00000000" w:rsidRDefault="00EB4933">
            <w:pPr>
              <w:jc w:val="right"/>
              <w:rPr>
                <w:rFonts w:eastAsia="Times New Roman"/>
                <w:sz w:val="20"/>
                <w:szCs w:val="20"/>
              </w:rPr>
            </w:pPr>
            <w:r>
              <w:rPr>
                <w:rFonts w:eastAsia="Times New Roman"/>
                <w:sz w:val="20"/>
                <w:szCs w:val="20"/>
              </w:rPr>
              <w:t>9,817</w:t>
            </w:r>
          </w:p>
        </w:tc>
        <w:tc>
          <w:tcPr>
            <w:tcW w:w="50" w:type="pct"/>
            <w:shd w:val="clear" w:color="auto" w:fill="FFFFFF"/>
            <w:noWrap/>
            <w:vAlign w:val="center"/>
            <w:hideMark/>
          </w:tcPr>
          <w:p w14:paraId="242BB3F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A3B85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E49304"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5E8C203"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D67EAD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A84C3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7F955F"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6921F60" w14:textId="77777777" w:rsidR="00000000" w:rsidRDefault="00EB4933">
            <w:pPr>
              <w:jc w:val="right"/>
              <w:rPr>
                <w:rFonts w:eastAsia="Times New Roman"/>
                <w:sz w:val="20"/>
                <w:szCs w:val="20"/>
              </w:rPr>
            </w:pPr>
            <w:r>
              <w:rPr>
                <w:rFonts w:eastAsia="Times New Roman"/>
                <w:sz w:val="20"/>
                <w:szCs w:val="20"/>
              </w:rPr>
              <w:t>67,626</w:t>
            </w:r>
          </w:p>
        </w:tc>
        <w:tc>
          <w:tcPr>
            <w:tcW w:w="50" w:type="pct"/>
            <w:shd w:val="clear" w:color="auto" w:fill="FFFFFF"/>
            <w:noWrap/>
            <w:vAlign w:val="center"/>
            <w:hideMark/>
          </w:tcPr>
          <w:p w14:paraId="7ECA72C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A1230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C99BBC"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0684D1E" w14:textId="77777777" w:rsidR="00000000" w:rsidRDefault="00EB4933">
            <w:pPr>
              <w:jc w:val="right"/>
              <w:rPr>
                <w:rFonts w:eastAsia="Times New Roman"/>
                <w:sz w:val="20"/>
                <w:szCs w:val="20"/>
              </w:rPr>
            </w:pPr>
            <w:r>
              <w:rPr>
                <w:rFonts w:eastAsia="Times New Roman"/>
                <w:sz w:val="20"/>
                <w:szCs w:val="20"/>
              </w:rPr>
              <w:t>474,307</w:t>
            </w:r>
          </w:p>
        </w:tc>
        <w:tc>
          <w:tcPr>
            <w:tcW w:w="50" w:type="pct"/>
            <w:shd w:val="clear" w:color="auto" w:fill="FFFFFF"/>
            <w:noWrap/>
            <w:vAlign w:val="center"/>
            <w:hideMark/>
          </w:tcPr>
          <w:p w14:paraId="7C635F3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48FA0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ADB7BE"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86EA087" w14:textId="77777777" w:rsidR="00000000" w:rsidRDefault="00EB4933">
            <w:pPr>
              <w:jc w:val="right"/>
              <w:rPr>
                <w:rFonts w:eastAsia="Times New Roman"/>
                <w:sz w:val="20"/>
                <w:szCs w:val="20"/>
              </w:rPr>
            </w:pPr>
            <w:r>
              <w:rPr>
                <w:rFonts w:eastAsia="Times New Roman"/>
                <w:sz w:val="20"/>
                <w:szCs w:val="20"/>
              </w:rPr>
              <w:t>118,577</w:t>
            </w:r>
          </w:p>
        </w:tc>
        <w:tc>
          <w:tcPr>
            <w:tcW w:w="50" w:type="pct"/>
            <w:shd w:val="clear" w:color="auto" w:fill="FFFFFF"/>
            <w:noWrap/>
            <w:vAlign w:val="center"/>
            <w:hideMark/>
          </w:tcPr>
          <w:p w14:paraId="7711573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4B188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F95E3F"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FA150F5" w14:textId="77777777" w:rsidR="00000000" w:rsidRDefault="00EB4933">
            <w:pPr>
              <w:jc w:val="right"/>
              <w:rPr>
                <w:rFonts w:eastAsia="Times New Roman"/>
                <w:sz w:val="20"/>
                <w:szCs w:val="20"/>
              </w:rPr>
            </w:pPr>
            <w:r>
              <w:rPr>
                <w:rFonts w:eastAsia="Times New Roman"/>
                <w:sz w:val="20"/>
                <w:szCs w:val="20"/>
              </w:rPr>
              <w:t>592,884</w:t>
            </w:r>
          </w:p>
        </w:tc>
        <w:tc>
          <w:tcPr>
            <w:tcW w:w="50" w:type="pct"/>
            <w:shd w:val="clear" w:color="auto" w:fill="FFFFFF"/>
            <w:noWrap/>
            <w:vAlign w:val="center"/>
            <w:hideMark/>
          </w:tcPr>
          <w:p w14:paraId="5AAB9813" w14:textId="77777777" w:rsidR="00000000" w:rsidRDefault="00EB4933">
            <w:pPr>
              <w:pStyle w:val="NormalWeb"/>
              <w:spacing w:before="0" w:beforeAutospacing="0" w:after="0" w:afterAutospacing="0"/>
              <w:rPr>
                <w:sz w:val="20"/>
                <w:szCs w:val="20"/>
              </w:rPr>
            </w:pPr>
            <w:r>
              <w:rPr>
                <w:sz w:val="20"/>
                <w:szCs w:val="20"/>
              </w:rPr>
              <w:t> </w:t>
            </w:r>
          </w:p>
        </w:tc>
      </w:tr>
      <w:tr w:rsidR="00EB4933" w14:paraId="3679406F" w14:textId="77777777">
        <w:trPr>
          <w:divId w:val="98525094"/>
          <w:trHeight w:val="225"/>
          <w:tblCellSpacing w:w="15" w:type="dxa"/>
        </w:trPr>
        <w:tc>
          <w:tcPr>
            <w:tcW w:w="0" w:type="auto"/>
            <w:shd w:val="clear" w:color="auto" w:fill="CCEEFF"/>
            <w:hideMark/>
          </w:tcPr>
          <w:p w14:paraId="0F4EE943" w14:textId="77777777" w:rsidR="00000000" w:rsidRDefault="00EB4933">
            <w:pPr>
              <w:pStyle w:val="NormalWeb"/>
              <w:spacing w:before="0" w:beforeAutospacing="0" w:after="0" w:afterAutospacing="0"/>
              <w:rPr>
                <w:sz w:val="20"/>
                <w:szCs w:val="20"/>
              </w:rPr>
            </w:pPr>
            <w:r>
              <w:rPr>
                <w:sz w:val="20"/>
                <w:szCs w:val="20"/>
              </w:rPr>
              <w:t>Changes on initial application of IFRS 9 (see note 2.21)</w:t>
            </w:r>
          </w:p>
        </w:tc>
        <w:tc>
          <w:tcPr>
            <w:tcW w:w="50" w:type="pct"/>
            <w:shd w:val="clear" w:color="auto" w:fill="CCEEFF"/>
            <w:noWrap/>
            <w:vAlign w:val="center"/>
            <w:hideMark/>
          </w:tcPr>
          <w:p w14:paraId="6157781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3A718DE"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6C71E8EB"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69016B5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7FDF1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29D6FAF"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0CD2649E"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7E6AC54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1F4AB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88286E2"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127D4041"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6A16C14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01751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0F5EB52"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755154D8"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4C30DB2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554AB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81FB0D0"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62CED1BC"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3350FFA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6C61C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9F05E18"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4556A525" w14:textId="77777777" w:rsidR="00000000" w:rsidRDefault="00EB4933">
            <w:pPr>
              <w:jc w:val="right"/>
              <w:rPr>
                <w:rFonts w:eastAsia="Times New Roman"/>
                <w:sz w:val="20"/>
                <w:szCs w:val="20"/>
              </w:rPr>
            </w:pPr>
            <w:r>
              <w:rPr>
                <w:rFonts w:eastAsia="Times New Roman"/>
                <w:sz w:val="20"/>
                <w:szCs w:val="20"/>
              </w:rPr>
              <w:t>(187,237</w:t>
            </w:r>
          </w:p>
        </w:tc>
        <w:tc>
          <w:tcPr>
            <w:tcW w:w="50" w:type="pct"/>
            <w:shd w:val="clear" w:color="auto" w:fill="CCEEFF"/>
            <w:noWrap/>
            <w:tcMar>
              <w:top w:w="0" w:type="dxa"/>
              <w:left w:w="0" w:type="dxa"/>
              <w:bottom w:w="15" w:type="dxa"/>
              <w:right w:w="0" w:type="dxa"/>
            </w:tcMar>
            <w:vAlign w:val="bottom"/>
            <w:hideMark/>
          </w:tcPr>
          <w:p w14:paraId="280A61E5"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15A65C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3FF9074"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2E55BA70" w14:textId="77777777" w:rsidR="00000000" w:rsidRDefault="00EB4933">
            <w:pPr>
              <w:jc w:val="right"/>
              <w:rPr>
                <w:rFonts w:eastAsia="Times New Roman"/>
                <w:sz w:val="20"/>
                <w:szCs w:val="20"/>
              </w:rPr>
            </w:pPr>
            <w:r>
              <w:rPr>
                <w:rFonts w:eastAsia="Times New Roman"/>
                <w:sz w:val="20"/>
                <w:szCs w:val="20"/>
              </w:rPr>
              <w:t>(187,237</w:t>
            </w:r>
          </w:p>
        </w:tc>
        <w:tc>
          <w:tcPr>
            <w:tcW w:w="50" w:type="pct"/>
            <w:shd w:val="clear" w:color="auto" w:fill="CCEEFF"/>
            <w:noWrap/>
            <w:tcMar>
              <w:top w:w="0" w:type="dxa"/>
              <w:left w:w="0" w:type="dxa"/>
              <w:bottom w:w="15" w:type="dxa"/>
              <w:right w:w="0" w:type="dxa"/>
            </w:tcMar>
            <w:vAlign w:val="bottom"/>
            <w:hideMark/>
          </w:tcPr>
          <w:p w14:paraId="29DE1DC0"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928180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22EB71C"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75337C98" w14:textId="77777777" w:rsidR="00000000" w:rsidRDefault="00EB4933">
            <w:pPr>
              <w:jc w:val="right"/>
              <w:rPr>
                <w:rFonts w:eastAsia="Times New Roman"/>
                <w:sz w:val="20"/>
                <w:szCs w:val="20"/>
              </w:rPr>
            </w:pPr>
            <w:r>
              <w:rPr>
                <w:rFonts w:eastAsia="Times New Roman"/>
                <w:sz w:val="20"/>
                <w:szCs w:val="20"/>
              </w:rPr>
              <w:t>(46,809</w:t>
            </w:r>
          </w:p>
        </w:tc>
        <w:tc>
          <w:tcPr>
            <w:tcW w:w="50" w:type="pct"/>
            <w:shd w:val="clear" w:color="auto" w:fill="CCEEFF"/>
            <w:noWrap/>
            <w:tcMar>
              <w:top w:w="0" w:type="dxa"/>
              <w:left w:w="0" w:type="dxa"/>
              <w:bottom w:w="15" w:type="dxa"/>
              <w:right w:w="0" w:type="dxa"/>
            </w:tcMar>
            <w:vAlign w:val="bottom"/>
            <w:hideMark/>
          </w:tcPr>
          <w:p w14:paraId="533FC1BD"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FF8468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2B58A59"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098936C0" w14:textId="77777777" w:rsidR="00000000" w:rsidRDefault="00EB4933">
            <w:pPr>
              <w:jc w:val="right"/>
              <w:rPr>
                <w:rFonts w:eastAsia="Times New Roman"/>
                <w:sz w:val="20"/>
                <w:szCs w:val="20"/>
              </w:rPr>
            </w:pPr>
            <w:r>
              <w:rPr>
                <w:rFonts w:eastAsia="Times New Roman"/>
                <w:sz w:val="20"/>
                <w:szCs w:val="20"/>
              </w:rPr>
              <w:t>(234,046</w:t>
            </w:r>
          </w:p>
        </w:tc>
        <w:tc>
          <w:tcPr>
            <w:tcW w:w="50" w:type="pct"/>
            <w:shd w:val="clear" w:color="auto" w:fill="CCEEFF"/>
            <w:noWrap/>
            <w:tcMar>
              <w:top w:w="0" w:type="dxa"/>
              <w:left w:w="0" w:type="dxa"/>
              <w:bottom w:w="15" w:type="dxa"/>
              <w:right w:w="0" w:type="dxa"/>
            </w:tcMar>
            <w:vAlign w:val="bottom"/>
            <w:hideMark/>
          </w:tcPr>
          <w:p w14:paraId="700622FD" w14:textId="77777777" w:rsidR="00000000" w:rsidRDefault="00EB4933">
            <w:pPr>
              <w:rPr>
                <w:rFonts w:eastAsia="Times New Roman"/>
                <w:sz w:val="20"/>
                <w:szCs w:val="20"/>
              </w:rPr>
            </w:pPr>
            <w:r>
              <w:rPr>
                <w:rFonts w:eastAsia="Times New Roman"/>
                <w:sz w:val="20"/>
                <w:szCs w:val="20"/>
              </w:rPr>
              <w:t>)</w:t>
            </w:r>
          </w:p>
        </w:tc>
      </w:tr>
      <w:tr w:rsidR="00EB4933" w14:paraId="776C9DCF" w14:textId="77777777">
        <w:trPr>
          <w:divId w:val="98525094"/>
          <w:trHeight w:val="225"/>
          <w:tblCellSpacing w:w="15" w:type="dxa"/>
        </w:trPr>
        <w:tc>
          <w:tcPr>
            <w:tcW w:w="0" w:type="auto"/>
            <w:shd w:val="clear" w:color="auto" w:fill="FFFFFF"/>
            <w:hideMark/>
          </w:tcPr>
          <w:p w14:paraId="64A9A8AE" w14:textId="77777777" w:rsidR="00000000" w:rsidRDefault="00EB4933">
            <w:pPr>
              <w:pStyle w:val="NormalWeb"/>
              <w:spacing w:before="0" w:beforeAutospacing="0" w:after="0" w:afterAutospacing="0"/>
              <w:rPr>
                <w:sz w:val="20"/>
                <w:szCs w:val="20"/>
              </w:rPr>
            </w:pPr>
            <w:r>
              <w:rPr>
                <w:sz w:val="20"/>
                <w:szCs w:val="20"/>
              </w:rPr>
              <w:t>Adjusted balance at January 1, 2018</w:t>
            </w:r>
          </w:p>
        </w:tc>
        <w:tc>
          <w:tcPr>
            <w:tcW w:w="50" w:type="pct"/>
            <w:shd w:val="clear" w:color="auto" w:fill="FFFFFF"/>
            <w:noWrap/>
            <w:vAlign w:val="center"/>
            <w:hideMark/>
          </w:tcPr>
          <w:p w14:paraId="5BB90A8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D6C047"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D9B43B4" w14:textId="77777777" w:rsidR="00000000" w:rsidRDefault="00EB4933">
            <w:pPr>
              <w:jc w:val="right"/>
              <w:rPr>
                <w:rFonts w:eastAsia="Times New Roman"/>
                <w:sz w:val="20"/>
                <w:szCs w:val="20"/>
              </w:rPr>
            </w:pPr>
            <w:r>
              <w:rPr>
                <w:rFonts w:eastAsia="Times New Roman"/>
                <w:sz w:val="20"/>
                <w:szCs w:val="20"/>
              </w:rPr>
              <w:t>325</w:t>
            </w:r>
          </w:p>
        </w:tc>
        <w:tc>
          <w:tcPr>
            <w:tcW w:w="50" w:type="pct"/>
            <w:shd w:val="clear" w:color="auto" w:fill="FFFFFF"/>
            <w:noWrap/>
            <w:vAlign w:val="center"/>
            <w:hideMark/>
          </w:tcPr>
          <w:p w14:paraId="6881170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5E0C3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076031"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001F2D9" w14:textId="77777777" w:rsidR="00000000" w:rsidRDefault="00EB4933">
            <w:pPr>
              <w:jc w:val="right"/>
              <w:rPr>
                <w:rFonts w:eastAsia="Times New Roman"/>
                <w:sz w:val="20"/>
                <w:szCs w:val="20"/>
              </w:rPr>
            </w:pPr>
            <w:r>
              <w:rPr>
                <w:rFonts w:eastAsia="Times New Roman"/>
                <w:sz w:val="20"/>
                <w:szCs w:val="20"/>
              </w:rPr>
              <w:t>383,174</w:t>
            </w:r>
          </w:p>
        </w:tc>
        <w:tc>
          <w:tcPr>
            <w:tcW w:w="50" w:type="pct"/>
            <w:shd w:val="clear" w:color="auto" w:fill="FFFFFF"/>
            <w:noWrap/>
            <w:vAlign w:val="center"/>
            <w:hideMark/>
          </w:tcPr>
          <w:p w14:paraId="35CE276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CA799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A6F078"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963ECEE" w14:textId="77777777" w:rsidR="00000000" w:rsidRDefault="00EB4933">
            <w:pPr>
              <w:jc w:val="right"/>
              <w:rPr>
                <w:rFonts w:eastAsia="Times New Roman"/>
                <w:sz w:val="20"/>
                <w:szCs w:val="20"/>
              </w:rPr>
            </w:pPr>
            <w:r>
              <w:rPr>
                <w:rFonts w:eastAsia="Times New Roman"/>
                <w:sz w:val="20"/>
                <w:szCs w:val="20"/>
              </w:rPr>
              <w:t>13,365</w:t>
            </w:r>
          </w:p>
        </w:tc>
        <w:tc>
          <w:tcPr>
            <w:tcW w:w="50" w:type="pct"/>
            <w:shd w:val="clear" w:color="auto" w:fill="FFFFFF"/>
            <w:noWrap/>
            <w:vAlign w:val="center"/>
            <w:hideMark/>
          </w:tcPr>
          <w:p w14:paraId="19854F4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3F81C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629C76"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F194DA9" w14:textId="77777777" w:rsidR="00000000" w:rsidRDefault="00EB4933">
            <w:pPr>
              <w:jc w:val="right"/>
              <w:rPr>
                <w:rFonts w:eastAsia="Times New Roman"/>
                <w:sz w:val="20"/>
                <w:szCs w:val="20"/>
              </w:rPr>
            </w:pPr>
            <w:r>
              <w:rPr>
                <w:rFonts w:eastAsia="Times New Roman"/>
                <w:sz w:val="20"/>
                <w:szCs w:val="20"/>
              </w:rPr>
              <w:t>9,817</w:t>
            </w:r>
          </w:p>
        </w:tc>
        <w:tc>
          <w:tcPr>
            <w:tcW w:w="50" w:type="pct"/>
            <w:shd w:val="clear" w:color="auto" w:fill="FFFFFF"/>
            <w:noWrap/>
            <w:vAlign w:val="center"/>
            <w:hideMark/>
          </w:tcPr>
          <w:p w14:paraId="28C50A5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2B4D9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4BFEA8"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0754F58"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F71B46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23315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294AA6"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0218CEF" w14:textId="77777777" w:rsidR="00000000" w:rsidRDefault="00EB4933">
            <w:pPr>
              <w:jc w:val="right"/>
              <w:rPr>
                <w:rFonts w:eastAsia="Times New Roman"/>
                <w:sz w:val="20"/>
                <w:szCs w:val="20"/>
              </w:rPr>
            </w:pPr>
            <w:r>
              <w:rPr>
                <w:rFonts w:eastAsia="Times New Roman"/>
                <w:sz w:val="20"/>
                <w:szCs w:val="20"/>
              </w:rPr>
              <w:t>(119,611</w:t>
            </w:r>
          </w:p>
        </w:tc>
        <w:tc>
          <w:tcPr>
            <w:tcW w:w="50" w:type="pct"/>
            <w:shd w:val="clear" w:color="auto" w:fill="FFFFFF"/>
            <w:noWrap/>
            <w:vAlign w:val="bottom"/>
            <w:hideMark/>
          </w:tcPr>
          <w:p w14:paraId="1228835F"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7447F1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CD9729"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F2CE400" w14:textId="77777777" w:rsidR="00000000" w:rsidRDefault="00EB4933">
            <w:pPr>
              <w:jc w:val="right"/>
              <w:rPr>
                <w:rFonts w:eastAsia="Times New Roman"/>
                <w:sz w:val="20"/>
                <w:szCs w:val="20"/>
              </w:rPr>
            </w:pPr>
            <w:r>
              <w:rPr>
                <w:rFonts w:eastAsia="Times New Roman"/>
                <w:sz w:val="20"/>
                <w:szCs w:val="20"/>
              </w:rPr>
              <w:t>287,070</w:t>
            </w:r>
          </w:p>
        </w:tc>
        <w:tc>
          <w:tcPr>
            <w:tcW w:w="50" w:type="pct"/>
            <w:shd w:val="clear" w:color="auto" w:fill="FFFFFF"/>
            <w:noWrap/>
            <w:vAlign w:val="center"/>
            <w:hideMark/>
          </w:tcPr>
          <w:p w14:paraId="3833A14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BDF88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F3480E"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11FF6BD" w14:textId="77777777" w:rsidR="00000000" w:rsidRDefault="00EB4933">
            <w:pPr>
              <w:jc w:val="right"/>
              <w:rPr>
                <w:rFonts w:eastAsia="Times New Roman"/>
                <w:sz w:val="20"/>
                <w:szCs w:val="20"/>
              </w:rPr>
            </w:pPr>
            <w:r>
              <w:rPr>
                <w:rFonts w:eastAsia="Times New Roman"/>
                <w:sz w:val="20"/>
                <w:szCs w:val="20"/>
              </w:rPr>
              <w:t>71,768</w:t>
            </w:r>
          </w:p>
        </w:tc>
        <w:tc>
          <w:tcPr>
            <w:tcW w:w="50" w:type="pct"/>
            <w:shd w:val="clear" w:color="auto" w:fill="FFFFFF"/>
            <w:noWrap/>
            <w:vAlign w:val="center"/>
            <w:hideMark/>
          </w:tcPr>
          <w:p w14:paraId="4249663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E3E0C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32A3C3"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2C11A2E" w14:textId="77777777" w:rsidR="00000000" w:rsidRDefault="00EB4933">
            <w:pPr>
              <w:jc w:val="right"/>
              <w:rPr>
                <w:rFonts w:eastAsia="Times New Roman"/>
                <w:sz w:val="20"/>
                <w:szCs w:val="20"/>
              </w:rPr>
            </w:pPr>
            <w:r>
              <w:rPr>
                <w:rFonts w:eastAsia="Times New Roman"/>
                <w:sz w:val="20"/>
                <w:szCs w:val="20"/>
              </w:rPr>
              <w:t>358,838</w:t>
            </w:r>
          </w:p>
        </w:tc>
        <w:tc>
          <w:tcPr>
            <w:tcW w:w="50" w:type="pct"/>
            <w:shd w:val="clear" w:color="auto" w:fill="FFFFFF"/>
            <w:noWrap/>
            <w:vAlign w:val="center"/>
            <w:hideMark/>
          </w:tcPr>
          <w:p w14:paraId="4515FBE0" w14:textId="77777777" w:rsidR="00000000" w:rsidRDefault="00EB4933">
            <w:pPr>
              <w:pStyle w:val="NormalWeb"/>
              <w:spacing w:before="0" w:beforeAutospacing="0" w:after="0" w:afterAutospacing="0"/>
              <w:rPr>
                <w:sz w:val="20"/>
                <w:szCs w:val="20"/>
              </w:rPr>
            </w:pPr>
            <w:r>
              <w:rPr>
                <w:sz w:val="20"/>
                <w:szCs w:val="20"/>
              </w:rPr>
              <w:t> </w:t>
            </w:r>
          </w:p>
        </w:tc>
      </w:tr>
      <w:tr w:rsidR="00EB4933" w14:paraId="53A5BF10" w14:textId="77777777">
        <w:trPr>
          <w:divId w:val="98525094"/>
          <w:trHeight w:val="225"/>
          <w:tblCellSpacing w:w="15" w:type="dxa"/>
        </w:trPr>
        <w:tc>
          <w:tcPr>
            <w:tcW w:w="0" w:type="auto"/>
            <w:shd w:val="clear" w:color="auto" w:fill="CCEEFF"/>
            <w:hideMark/>
          </w:tcPr>
          <w:p w14:paraId="1CEF1273" w14:textId="77777777" w:rsidR="00000000" w:rsidRDefault="00EB4933">
            <w:pPr>
              <w:pStyle w:val="NormalWeb"/>
              <w:spacing w:before="0" w:beforeAutospacing="0" w:after="0" w:afterAutospacing="0"/>
              <w:rPr>
                <w:sz w:val="20"/>
                <w:szCs w:val="20"/>
              </w:rPr>
            </w:pPr>
            <w:r>
              <w:rPr>
                <w:sz w:val="20"/>
                <w:szCs w:val="20"/>
              </w:rPr>
              <w:t>Share-based compensation</w:t>
            </w:r>
          </w:p>
        </w:tc>
        <w:tc>
          <w:tcPr>
            <w:tcW w:w="50" w:type="pct"/>
            <w:shd w:val="clear" w:color="auto" w:fill="CCEEFF"/>
            <w:noWrap/>
            <w:vAlign w:val="center"/>
            <w:hideMark/>
          </w:tcPr>
          <w:p w14:paraId="1AA3902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DF1CB7"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D5D5073" w14:textId="77777777" w:rsidR="00000000" w:rsidRDefault="00EB4933">
            <w:pPr>
              <w:jc w:val="right"/>
              <w:rPr>
                <w:rFonts w:eastAsia="Times New Roman"/>
                <w:sz w:val="20"/>
                <w:szCs w:val="20"/>
              </w:rPr>
            </w:pPr>
            <w:r>
              <w:rPr>
                <w:rFonts w:eastAsia="Times New Roman"/>
                <w:sz w:val="20"/>
                <w:szCs w:val="20"/>
              </w:rPr>
              <w:t>1</w:t>
            </w:r>
          </w:p>
        </w:tc>
        <w:tc>
          <w:tcPr>
            <w:tcW w:w="50" w:type="pct"/>
            <w:shd w:val="clear" w:color="auto" w:fill="CCEEFF"/>
            <w:noWrap/>
            <w:vAlign w:val="center"/>
            <w:hideMark/>
          </w:tcPr>
          <w:p w14:paraId="7FE43FE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74E2D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2EAB5F"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E711295"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2E2CB6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A0F54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EE3846"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BF1B7F7"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32B2CB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60165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46E779"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22ABFD6"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D0E350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1547E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743426"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101575E"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B81888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5F01D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D6D01F"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1FB43DA" w14:textId="77777777" w:rsidR="00000000" w:rsidRDefault="00EB4933">
            <w:pPr>
              <w:jc w:val="right"/>
              <w:rPr>
                <w:rFonts w:eastAsia="Times New Roman"/>
                <w:sz w:val="20"/>
                <w:szCs w:val="20"/>
              </w:rPr>
            </w:pPr>
            <w:r>
              <w:rPr>
                <w:rFonts w:eastAsia="Times New Roman"/>
                <w:sz w:val="20"/>
                <w:szCs w:val="20"/>
              </w:rPr>
              <w:t>550</w:t>
            </w:r>
          </w:p>
        </w:tc>
        <w:tc>
          <w:tcPr>
            <w:tcW w:w="50" w:type="pct"/>
            <w:shd w:val="clear" w:color="auto" w:fill="CCEEFF"/>
            <w:noWrap/>
            <w:vAlign w:val="center"/>
            <w:hideMark/>
          </w:tcPr>
          <w:p w14:paraId="6F66CF2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25AD2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71CFE4"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F416CA4" w14:textId="77777777" w:rsidR="00000000" w:rsidRDefault="00EB4933">
            <w:pPr>
              <w:jc w:val="right"/>
              <w:rPr>
                <w:rFonts w:eastAsia="Times New Roman"/>
                <w:sz w:val="20"/>
                <w:szCs w:val="20"/>
              </w:rPr>
            </w:pPr>
            <w:r>
              <w:rPr>
                <w:rFonts w:eastAsia="Times New Roman"/>
                <w:sz w:val="20"/>
                <w:szCs w:val="20"/>
              </w:rPr>
              <w:t>551</w:t>
            </w:r>
          </w:p>
        </w:tc>
        <w:tc>
          <w:tcPr>
            <w:tcW w:w="50" w:type="pct"/>
            <w:shd w:val="clear" w:color="auto" w:fill="CCEEFF"/>
            <w:noWrap/>
            <w:vAlign w:val="center"/>
            <w:hideMark/>
          </w:tcPr>
          <w:p w14:paraId="3BF1B18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33B1A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331CF2"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7EA627B" w14:textId="77777777" w:rsidR="00000000" w:rsidRDefault="00EB4933">
            <w:pPr>
              <w:jc w:val="right"/>
              <w:rPr>
                <w:rFonts w:eastAsia="Times New Roman"/>
                <w:sz w:val="20"/>
                <w:szCs w:val="20"/>
              </w:rPr>
            </w:pPr>
            <w:r>
              <w:rPr>
                <w:rFonts w:eastAsia="Times New Roman"/>
                <w:sz w:val="20"/>
                <w:szCs w:val="20"/>
              </w:rPr>
              <w:t>138</w:t>
            </w:r>
          </w:p>
        </w:tc>
        <w:tc>
          <w:tcPr>
            <w:tcW w:w="50" w:type="pct"/>
            <w:shd w:val="clear" w:color="auto" w:fill="CCEEFF"/>
            <w:noWrap/>
            <w:vAlign w:val="center"/>
            <w:hideMark/>
          </w:tcPr>
          <w:p w14:paraId="05D0D81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FF725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D1D748"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63CCC08" w14:textId="77777777" w:rsidR="00000000" w:rsidRDefault="00EB4933">
            <w:pPr>
              <w:jc w:val="right"/>
              <w:rPr>
                <w:rFonts w:eastAsia="Times New Roman"/>
                <w:sz w:val="20"/>
                <w:szCs w:val="20"/>
              </w:rPr>
            </w:pPr>
            <w:r>
              <w:rPr>
                <w:rFonts w:eastAsia="Times New Roman"/>
                <w:sz w:val="20"/>
                <w:szCs w:val="20"/>
              </w:rPr>
              <w:t>689</w:t>
            </w:r>
          </w:p>
        </w:tc>
        <w:tc>
          <w:tcPr>
            <w:tcW w:w="50" w:type="pct"/>
            <w:shd w:val="clear" w:color="auto" w:fill="CCEEFF"/>
            <w:noWrap/>
            <w:vAlign w:val="center"/>
            <w:hideMark/>
          </w:tcPr>
          <w:p w14:paraId="756C37CE" w14:textId="77777777" w:rsidR="00000000" w:rsidRDefault="00EB4933">
            <w:pPr>
              <w:pStyle w:val="NormalWeb"/>
              <w:spacing w:before="0" w:beforeAutospacing="0" w:after="0" w:afterAutospacing="0"/>
              <w:rPr>
                <w:sz w:val="20"/>
                <w:szCs w:val="20"/>
              </w:rPr>
            </w:pPr>
            <w:r>
              <w:rPr>
                <w:sz w:val="20"/>
                <w:szCs w:val="20"/>
              </w:rPr>
              <w:t> </w:t>
            </w:r>
          </w:p>
        </w:tc>
      </w:tr>
      <w:tr w:rsidR="00EB4933" w14:paraId="49D92CD3" w14:textId="77777777">
        <w:trPr>
          <w:divId w:val="98525094"/>
          <w:trHeight w:val="225"/>
          <w:tblCellSpacing w:w="15" w:type="dxa"/>
        </w:trPr>
        <w:tc>
          <w:tcPr>
            <w:tcW w:w="0" w:type="auto"/>
            <w:shd w:val="clear" w:color="auto" w:fill="FFFFFF"/>
            <w:hideMark/>
          </w:tcPr>
          <w:p w14:paraId="189FB1F1" w14:textId="77777777" w:rsidR="00000000" w:rsidRDefault="00EB4933">
            <w:pPr>
              <w:pStyle w:val="NormalWeb"/>
              <w:spacing w:before="0" w:beforeAutospacing="0" w:after="0" w:afterAutospacing="0"/>
              <w:rPr>
                <w:sz w:val="20"/>
                <w:szCs w:val="20"/>
              </w:rPr>
            </w:pPr>
            <w:r>
              <w:rPr>
                <w:sz w:val="20"/>
                <w:szCs w:val="20"/>
              </w:rPr>
              <w:t>Appropriation to reserve</w:t>
            </w:r>
          </w:p>
        </w:tc>
        <w:tc>
          <w:tcPr>
            <w:tcW w:w="50" w:type="pct"/>
            <w:shd w:val="clear" w:color="auto" w:fill="FFFFFF"/>
            <w:noWrap/>
            <w:vAlign w:val="center"/>
            <w:hideMark/>
          </w:tcPr>
          <w:p w14:paraId="417A17F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F5EEB2"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CD2CA3B"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DA4E95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977E8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DDBA10"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537DA6C"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AC3163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37D93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947396"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0231737" w14:textId="77777777" w:rsidR="00000000" w:rsidRDefault="00EB4933">
            <w:pPr>
              <w:jc w:val="right"/>
              <w:rPr>
                <w:rFonts w:eastAsia="Times New Roman"/>
                <w:sz w:val="20"/>
                <w:szCs w:val="20"/>
              </w:rPr>
            </w:pPr>
            <w:r>
              <w:rPr>
                <w:rFonts w:eastAsia="Times New Roman"/>
                <w:sz w:val="20"/>
                <w:szCs w:val="20"/>
              </w:rPr>
              <w:t>652</w:t>
            </w:r>
          </w:p>
        </w:tc>
        <w:tc>
          <w:tcPr>
            <w:tcW w:w="50" w:type="pct"/>
            <w:shd w:val="clear" w:color="auto" w:fill="FFFFFF"/>
            <w:noWrap/>
            <w:vAlign w:val="center"/>
            <w:hideMark/>
          </w:tcPr>
          <w:p w14:paraId="2D3E44A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DD03A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E0F11B"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D8E8CCD" w14:textId="77777777" w:rsidR="00000000" w:rsidRDefault="00EB4933">
            <w:pPr>
              <w:jc w:val="right"/>
              <w:rPr>
                <w:rFonts w:eastAsia="Times New Roman"/>
                <w:sz w:val="20"/>
                <w:szCs w:val="20"/>
              </w:rPr>
            </w:pPr>
            <w:r>
              <w:rPr>
                <w:rFonts w:eastAsia="Times New Roman"/>
                <w:sz w:val="20"/>
                <w:szCs w:val="20"/>
              </w:rPr>
              <w:t>68</w:t>
            </w:r>
          </w:p>
        </w:tc>
        <w:tc>
          <w:tcPr>
            <w:tcW w:w="50" w:type="pct"/>
            <w:shd w:val="clear" w:color="auto" w:fill="FFFFFF"/>
            <w:noWrap/>
            <w:vAlign w:val="center"/>
            <w:hideMark/>
          </w:tcPr>
          <w:p w14:paraId="30BC4ED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297B0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627F9C"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2C64E00"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CAB370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6B105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5F8D30"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1B83644" w14:textId="77777777" w:rsidR="00000000" w:rsidRDefault="00EB4933">
            <w:pPr>
              <w:jc w:val="right"/>
              <w:rPr>
                <w:rFonts w:eastAsia="Times New Roman"/>
                <w:sz w:val="20"/>
                <w:szCs w:val="20"/>
              </w:rPr>
            </w:pPr>
            <w:r>
              <w:rPr>
                <w:rFonts w:eastAsia="Times New Roman"/>
                <w:sz w:val="20"/>
                <w:szCs w:val="20"/>
              </w:rPr>
              <w:t>(720</w:t>
            </w:r>
          </w:p>
        </w:tc>
        <w:tc>
          <w:tcPr>
            <w:tcW w:w="50" w:type="pct"/>
            <w:shd w:val="clear" w:color="auto" w:fill="FFFFFF"/>
            <w:noWrap/>
            <w:vAlign w:val="bottom"/>
            <w:hideMark/>
          </w:tcPr>
          <w:p w14:paraId="2306A1A7"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0743A1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E47313"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81F4BA8"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3A66F3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06066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2F3F7C"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4A32AC7"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2ACDDA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BFFC7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459F9F"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60985BB"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65C3138" w14:textId="77777777" w:rsidR="00000000" w:rsidRDefault="00EB4933">
            <w:pPr>
              <w:pStyle w:val="NormalWeb"/>
              <w:spacing w:before="0" w:beforeAutospacing="0" w:after="0" w:afterAutospacing="0"/>
              <w:rPr>
                <w:sz w:val="20"/>
                <w:szCs w:val="20"/>
              </w:rPr>
            </w:pPr>
            <w:r>
              <w:rPr>
                <w:sz w:val="20"/>
                <w:szCs w:val="20"/>
              </w:rPr>
              <w:t> </w:t>
            </w:r>
          </w:p>
        </w:tc>
      </w:tr>
      <w:tr w:rsidR="00EB4933" w14:paraId="1022A2FC" w14:textId="77777777">
        <w:trPr>
          <w:divId w:val="98525094"/>
          <w:trHeight w:val="225"/>
          <w:tblCellSpacing w:w="15" w:type="dxa"/>
        </w:trPr>
        <w:tc>
          <w:tcPr>
            <w:tcW w:w="0" w:type="auto"/>
            <w:shd w:val="clear" w:color="auto" w:fill="CCEEFF"/>
            <w:hideMark/>
          </w:tcPr>
          <w:p w14:paraId="2B9981AE" w14:textId="77777777" w:rsidR="00000000" w:rsidRDefault="00EB4933">
            <w:pPr>
              <w:pStyle w:val="NormalWeb"/>
              <w:spacing w:before="0" w:beforeAutospacing="0" w:after="0" w:afterAutospacing="0"/>
              <w:rPr>
                <w:sz w:val="20"/>
                <w:szCs w:val="20"/>
              </w:rPr>
            </w:pPr>
            <w:r>
              <w:rPr>
                <w:sz w:val="20"/>
                <w:szCs w:val="20"/>
              </w:rPr>
              <w:t>Other comprehensive loss for the year – currency translation differences</w:t>
            </w:r>
          </w:p>
        </w:tc>
        <w:tc>
          <w:tcPr>
            <w:tcW w:w="50" w:type="pct"/>
            <w:shd w:val="clear" w:color="auto" w:fill="CCEEFF"/>
            <w:noWrap/>
            <w:vAlign w:val="center"/>
            <w:hideMark/>
          </w:tcPr>
          <w:p w14:paraId="3B10C0A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BCD690"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38015C0"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3CF2C8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EB552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2FE3BD"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0408035"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583541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3D99E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44DD9A"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4F60B67"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E20399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4D770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DAF021"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53ACD25"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BDCF64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E0188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19785D"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22B5DA8" w14:textId="77777777" w:rsidR="00000000" w:rsidRDefault="00EB4933">
            <w:pPr>
              <w:jc w:val="right"/>
              <w:rPr>
                <w:rFonts w:eastAsia="Times New Roman"/>
                <w:sz w:val="20"/>
                <w:szCs w:val="20"/>
              </w:rPr>
            </w:pPr>
            <w:r>
              <w:rPr>
                <w:rFonts w:eastAsia="Times New Roman"/>
                <w:sz w:val="20"/>
                <w:szCs w:val="20"/>
              </w:rPr>
              <w:t>(493</w:t>
            </w:r>
          </w:p>
        </w:tc>
        <w:tc>
          <w:tcPr>
            <w:tcW w:w="50" w:type="pct"/>
            <w:shd w:val="clear" w:color="auto" w:fill="CCEEFF"/>
            <w:noWrap/>
            <w:vAlign w:val="bottom"/>
            <w:hideMark/>
          </w:tcPr>
          <w:p w14:paraId="74B4AFA6"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2C3674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5E88FB"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EB9CBC5"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8CAFC1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35C8A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60C29B"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B1696D7" w14:textId="77777777" w:rsidR="00000000" w:rsidRDefault="00EB4933">
            <w:pPr>
              <w:jc w:val="right"/>
              <w:rPr>
                <w:rFonts w:eastAsia="Times New Roman"/>
                <w:sz w:val="20"/>
                <w:szCs w:val="20"/>
              </w:rPr>
            </w:pPr>
            <w:r>
              <w:rPr>
                <w:rFonts w:eastAsia="Times New Roman"/>
                <w:sz w:val="20"/>
                <w:szCs w:val="20"/>
              </w:rPr>
              <w:t>(493</w:t>
            </w:r>
          </w:p>
        </w:tc>
        <w:tc>
          <w:tcPr>
            <w:tcW w:w="50" w:type="pct"/>
            <w:shd w:val="clear" w:color="auto" w:fill="CCEEFF"/>
            <w:noWrap/>
            <w:vAlign w:val="bottom"/>
            <w:hideMark/>
          </w:tcPr>
          <w:p w14:paraId="3CA58A8D"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5C111E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D873C1"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CDD8CBA" w14:textId="77777777" w:rsidR="00000000" w:rsidRDefault="00EB4933">
            <w:pPr>
              <w:jc w:val="right"/>
              <w:rPr>
                <w:rFonts w:eastAsia="Times New Roman"/>
                <w:sz w:val="20"/>
                <w:szCs w:val="20"/>
              </w:rPr>
            </w:pPr>
            <w:r>
              <w:rPr>
                <w:rFonts w:eastAsia="Times New Roman"/>
                <w:sz w:val="20"/>
                <w:szCs w:val="20"/>
              </w:rPr>
              <w:t>(123</w:t>
            </w:r>
          </w:p>
        </w:tc>
        <w:tc>
          <w:tcPr>
            <w:tcW w:w="50" w:type="pct"/>
            <w:shd w:val="clear" w:color="auto" w:fill="CCEEFF"/>
            <w:noWrap/>
            <w:vAlign w:val="bottom"/>
            <w:hideMark/>
          </w:tcPr>
          <w:p w14:paraId="0A6C9EB4"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4111ED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D98BA1"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7CE71AE" w14:textId="77777777" w:rsidR="00000000" w:rsidRDefault="00EB4933">
            <w:pPr>
              <w:jc w:val="right"/>
              <w:rPr>
                <w:rFonts w:eastAsia="Times New Roman"/>
                <w:sz w:val="20"/>
                <w:szCs w:val="20"/>
              </w:rPr>
            </w:pPr>
            <w:r>
              <w:rPr>
                <w:rFonts w:eastAsia="Times New Roman"/>
                <w:sz w:val="20"/>
                <w:szCs w:val="20"/>
              </w:rPr>
              <w:t>(616</w:t>
            </w:r>
          </w:p>
        </w:tc>
        <w:tc>
          <w:tcPr>
            <w:tcW w:w="50" w:type="pct"/>
            <w:shd w:val="clear" w:color="auto" w:fill="CCEEFF"/>
            <w:noWrap/>
            <w:vAlign w:val="bottom"/>
            <w:hideMark/>
          </w:tcPr>
          <w:p w14:paraId="45EC2A61" w14:textId="77777777" w:rsidR="00000000" w:rsidRDefault="00EB4933">
            <w:pPr>
              <w:rPr>
                <w:rFonts w:eastAsia="Times New Roman"/>
                <w:sz w:val="20"/>
                <w:szCs w:val="20"/>
              </w:rPr>
            </w:pPr>
            <w:r>
              <w:rPr>
                <w:rFonts w:eastAsia="Times New Roman"/>
                <w:sz w:val="20"/>
                <w:szCs w:val="20"/>
              </w:rPr>
              <w:t>)</w:t>
            </w:r>
          </w:p>
        </w:tc>
      </w:tr>
      <w:tr w:rsidR="00EB4933" w14:paraId="4778013A" w14:textId="77777777">
        <w:trPr>
          <w:divId w:val="98525094"/>
          <w:trHeight w:val="225"/>
          <w:tblCellSpacing w:w="15" w:type="dxa"/>
        </w:trPr>
        <w:tc>
          <w:tcPr>
            <w:tcW w:w="0" w:type="auto"/>
            <w:shd w:val="clear" w:color="auto" w:fill="FFFFFF"/>
            <w:hideMark/>
          </w:tcPr>
          <w:p w14:paraId="1BD34590" w14:textId="77777777" w:rsidR="00000000" w:rsidRDefault="00EB4933">
            <w:pPr>
              <w:pStyle w:val="NormalWeb"/>
              <w:spacing w:before="0" w:beforeAutospacing="0" w:after="0" w:afterAutospacing="0"/>
              <w:rPr>
                <w:sz w:val="20"/>
                <w:szCs w:val="20"/>
              </w:rPr>
            </w:pPr>
            <w:r>
              <w:rPr>
                <w:sz w:val="20"/>
                <w:szCs w:val="20"/>
              </w:rPr>
              <w:t>Net profit for the year</w:t>
            </w:r>
          </w:p>
        </w:tc>
        <w:tc>
          <w:tcPr>
            <w:tcW w:w="50" w:type="pct"/>
            <w:shd w:val="clear" w:color="auto" w:fill="FFFFFF"/>
            <w:noWrap/>
            <w:vAlign w:val="center"/>
            <w:hideMark/>
          </w:tcPr>
          <w:p w14:paraId="132058A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AF54F50"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0FF091B3"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1B12272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7462E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601FA33"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74E853A9"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0FDE722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CD400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41DC619"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15459576"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2983845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77F6F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64A058C"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70C39EF4"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1BB5E15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92934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1281DD9"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6B0DE39F"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0EE24A2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4318D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B1C3703"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24773832" w14:textId="77777777" w:rsidR="00000000" w:rsidRDefault="00EB4933">
            <w:pPr>
              <w:jc w:val="right"/>
              <w:rPr>
                <w:rFonts w:eastAsia="Times New Roman"/>
                <w:sz w:val="20"/>
                <w:szCs w:val="20"/>
              </w:rPr>
            </w:pPr>
            <w:r>
              <w:rPr>
                <w:rFonts w:eastAsia="Times New Roman"/>
                <w:sz w:val="20"/>
                <w:szCs w:val="20"/>
              </w:rPr>
              <w:t>6,524</w:t>
            </w:r>
          </w:p>
        </w:tc>
        <w:tc>
          <w:tcPr>
            <w:tcW w:w="50" w:type="pct"/>
            <w:shd w:val="clear" w:color="auto" w:fill="FFFFFF"/>
            <w:noWrap/>
            <w:tcMar>
              <w:top w:w="0" w:type="dxa"/>
              <w:left w:w="0" w:type="dxa"/>
              <w:bottom w:w="15" w:type="dxa"/>
              <w:right w:w="0" w:type="dxa"/>
            </w:tcMar>
            <w:vAlign w:val="center"/>
            <w:hideMark/>
          </w:tcPr>
          <w:p w14:paraId="0CB3A24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65DFB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943C8AA"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38761E84" w14:textId="77777777" w:rsidR="00000000" w:rsidRDefault="00EB4933">
            <w:pPr>
              <w:jc w:val="right"/>
              <w:rPr>
                <w:rFonts w:eastAsia="Times New Roman"/>
                <w:sz w:val="20"/>
                <w:szCs w:val="20"/>
              </w:rPr>
            </w:pPr>
            <w:r>
              <w:rPr>
                <w:rFonts w:eastAsia="Times New Roman"/>
                <w:sz w:val="20"/>
                <w:szCs w:val="20"/>
              </w:rPr>
              <w:t>6,524</w:t>
            </w:r>
          </w:p>
        </w:tc>
        <w:tc>
          <w:tcPr>
            <w:tcW w:w="50" w:type="pct"/>
            <w:shd w:val="clear" w:color="auto" w:fill="FFFFFF"/>
            <w:noWrap/>
            <w:tcMar>
              <w:top w:w="0" w:type="dxa"/>
              <w:left w:w="0" w:type="dxa"/>
              <w:bottom w:w="15" w:type="dxa"/>
              <w:right w:w="0" w:type="dxa"/>
            </w:tcMar>
            <w:vAlign w:val="center"/>
            <w:hideMark/>
          </w:tcPr>
          <w:p w14:paraId="267D721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8DADE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75615F9"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5C959FC3" w14:textId="77777777" w:rsidR="00000000" w:rsidRDefault="00EB4933">
            <w:pPr>
              <w:jc w:val="right"/>
              <w:rPr>
                <w:rFonts w:eastAsia="Times New Roman"/>
                <w:sz w:val="20"/>
                <w:szCs w:val="20"/>
              </w:rPr>
            </w:pPr>
            <w:r>
              <w:rPr>
                <w:rFonts w:eastAsia="Times New Roman"/>
                <w:sz w:val="20"/>
                <w:szCs w:val="20"/>
              </w:rPr>
              <w:t>1,631</w:t>
            </w:r>
          </w:p>
        </w:tc>
        <w:tc>
          <w:tcPr>
            <w:tcW w:w="50" w:type="pct"/>
            <w:shd w:val="clear" w:color="auto" w:fill="FFFFFF"/>
            <w:noWrap/>
            <w:tcMar>
              <w:top w:w="0" w:type="dxa"/>
              <w:left w:w="0" w:type="dxa"/>
              <w:bottom w:w="15" w:type="dxa"/>
              <w:right w:w="0" w:type="dxa"/>
            </w:tcMar>
            <w:vAlign w:val="center"/>
            <w:hideMark/>
          </w:tcPr>
          <w:p w14:paraId="731EDF6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6DF51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F5F8E47"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1FE2125D" w14:textId="77777777" w:rsidR="00000000" w:rsidRDefault="00EB4933">
            <w:pPr>
              <w:jc w:val="right"/>
              <w:rPr>
                <w:rFonts w:eastAsia="Times New Roman"/>
                <w:sz w:val="20"/>
                <w:szCs w:val="20"/>
              </w:rPr>
            </w:pPr>
            <w:r>
              <w:rPr>
                <w:rFonts w:eastAsia="Times New Roman"/>
                <w:sz w:val="20"/>
                <w:szCs w:val="20"/>
              </w:rPr>
              <w:t>8,155</w:t>
            </w:r>
          </w:p>
        </w:tc>
        <w:tc>
          <w:tcPr>
            <w:tcW w:w="50" w:type="pct"/>
            <w:shd w:val="clear" w:color="auto" w:fill="FFFFFF"/>
            <w:noWrap/>
            <w:tcMar>
              <w:top w:w="0" w:type="dxa"/>
              <w:left w:w="0" w:type="dxa"/>
              <w:bottom w:w="15" w:type="dxa"/>
              <w:right w:w="0" w:type="dxa"/>
            </w:tcMar>
            <w:vAlign w:val="center"/>
            <w:hideMark/>
          </w:tcPr>
          <w:p w14:paraId="3EE738BA" w14:textId="77777777" w:rsidR="00000000" w:rsidRDefault="00EB4933">
            <w:pPr>
              <w:pStyle w:val="NormalWeb"/>
              <w:spacing w:before="0" w:beforeAutospacing="0" w:after="0" w:afterAutospacing="0"/>
              <w:rPr>
                <w:sz w:val="20"/>
                <w:szCs w:val="20"/>
              </w:rPr>
            </w:pPr>
            <w:r>
              <w:rPr>
                <w:sz w:val="20"/>
                <w:szCs w:val="20"/>
              </w:rPr>
              <w:t> </w:t>
            </w:r>
          </w:p>
        </w:tc>
      </w:tr>
      <w:tr w:rsidR="00EB4933" w14:paraId="0758F8B8" w14:textId="77777777">
        <w:trPr>
          <w:divId w:val="98525094"/>
          <w:trHeight w:val="225"/>
          <w:tblCellSpacing w:w="15" w:type="dxa"/>
        </w:trPr>
        <w:tc>
          <w:tcPr>
            <w:tcW w:w="0" w:type="auto"/>
            <w:shd w:val="clear" w:color="auto" w:fill="CCEEFF"/>
            <w:hideMark/>
          </w:tcPr>
          <w:p w14:paraId="61D3D6C0" w14:textId="77777777" w:rsidR="00000000" w:rsidRDefault="00EB4933">
            <w:pPr>
              <w:pStyle w:val="NormalWeb"/>
              <w:spacing w:before="0" w:beforeAutospacing="0" w:after="0" w:afterAutospacing="0"/>
              <w:rPr>
                <w:sz w:val="20"/>
                <w:szCs w:val="20"/>
              </w:rPr>
            </w:pPr>
            <w:r>
              <w:rPr>
                <w:sz w:val="20"/>
                <w:szCs w:val="20"/>
              </w:rPr>
              <w:t>Balance at December 31, 2018</w:t>
            </w:r>
          </w:p>
        </w:tc>
        <w:tc>
          <w:tcPr>
            <w:tcW w:w="50" w:type="pct"/>
            <w:shd w:val="clear" w:color="auto" w:fill="CCEEFF"/>
            <w:noWrap/>
            <w:vAlign w:val="center"/>
            <w:hideMark/>
          </w:tcPr>
          <w:p w14:paraId="16E264E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46EEDB"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A460CB7" w14:textId="77777777" w:rsidR="00000000" w:rsidRDefault="00EB4933">
            <w:pPr>
              <w:jc w:val="right"/>
              <w:rPr>
                <w:rFonts w:eastAsia="Times New Roman"/>
                <w:sz w:val="20"/>
                <w:szCs w:val="20"/>
              </w:rPr>
            </w:pPr>
            <w:r>
              <w:rPr>
                <w:rFonts w:eastAsia="Times New Roman"/>
                <w:sz w:val="20"/>
                <w:szCs w:val="20"/>
              </w:rPr>
              <w:t>326</w:t>
            </w:r>
          </w:p>
        </w:tc>
        <w:tc>
          <w:tcPr>
            <w:tcW w:w="50" w:type="pct"/>
            <w:shd w:val="clear" w:color="auto" w:fill="CCEEFF"/>
            <w:noWrap/>
            <w:vAlign w:val="center"/>
            <w:hideMark/>
          </w:tcPr>
          <w:p w14:paraId="1C62BB6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BCEA2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6F1AA0"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55D6B20" w14:textId="77777777" w:rsidR="00000000" w:rsidRDefault="00EB4933">
            <w:pPr>
              <w:jc w:val="right"/>
              <w:rPr>
                <w:rFonts w:eastAsia="Times New Roman"/>
                <w:sz w:val="20"/>
                <w:szCs w:val="20"/>
              </w:rPr>
            </w:pPr>
            <w:r>
              <w:rPr>
                <w:rFonts w:eastAsia="Times New Roman"/>
                <w:sz w:val="20"/>
                <w:szCs w:val="20"/>
              </w:rPr>
              <w:t>383,174</w:t>
            </w:r>
          </w:p>
        </w:tc>
        <w:tc>
          <w:tcPr>
            <w:tcW w:w="50" w:type="pct"/>
            <w:shd w:val="clear" w:color="auto" w:fill="CCEEFF"/>
            <w:noWrap/>
            <w:vAlign w:val="center"/>
            <w:hideMark/>
          </w:tcPr>
          <w:p w14:paraId="4BE3A65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70E07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5F5FE3"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5EE65A7" w14:textId="77777777" w:rsidR="00000000" w:rsidRDefault="00EB4933">
            <w:pPr>
              <w:jc w:val="right"/>
              <w:rPr>
                <w:rFonts w:eastAsia="Times New Roman"/>
                <w:sz w:val="20"/>
                <w:szCs w:val="20"/>
              </w:rPr>
            </w:pPr>
            <w:r>
              <w:rPr>
                <w:rFonts w:eastAsia="Times New Roman"/>
                <w:sz w:val="20"/>
                <w:szCs w:val="20"/>
              </w:rPr>
              <w:t>14,017</w:t>
            </w:r>
          </w:p>
        </w:tc>
        <w:tc>
          <w:tcPr>
            <w:tcW w:w="50" w:type="pct"/>
            <w:shd w:val="clear" w:color="auto" w:fill="CCEEFF"/>
            <w:noWrap/>
            <w:vAlign w:val="center"/>
            <w:hideMark/>
          </w:tcPr>
          <w:p w14:paraId="45BE778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FB86C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6E3DE2"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248ECC8" w14:textId="77777777" w:rsidR="00000000" w:rsidRDefault="00EB4933">
            <w:pPr>
              <w:jc w:val="right"/>
              <w:rPr>
                <w:rFonts w:eastAsia="Times New Roman"/>
                <w:sz w:val="20"/>
                <w:szCs w:val="20"/>
              </w:rPr>
            </w:pPr>
            <w:r>
              <w:rPr>
                <w:rFonts w:eastAsia="Times New Roman"/>
                <w:sz w:val="20"/>
                <w:szCs w:val="20"/>
              </w:rPr>
              <w:t>9,885</w:t>
            </w:r>
          </w:p>
        </w:tc>
        <w:tc>
          <w:tcPr>
            <w:tcW w:w="50" w:type="pct"/>
            <w:shd w:val="clear" w:color="auto" w:fill="CCEEFF"/>
            <w:noWrap/>
            <w:vAlign w:val="center"/>
            <w:hideMark/>
          </w:tcPr>
          <w:p w14:paraId="62B07AC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6371D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126859"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639D6C1" w14:textId="77777777" w:rsidR="00000000" w:rsidRDefault="00EB4933">
            <w:pPr>
              <w:jc w:val="right"/>
              <w:rPr>
                <w:rFonts w:eastAsia="Times New Roman"/>
                <w:sz w:val="20"/>
                <w:szCs w:val="20"/>
              </w:rPr>
            </w:pPr>
            <w:r>
              <w:rPr>
                <w:rFonts w:eastAsia="Times New Roman"/>
                <w:sz w:val="20"/>
                <w:szCs w:val="20"/>
              </w:rPr>
              <w:t>(493</w:t>
            </w:r>
          </w:p>
        </w:tc>
        <w:tc>
          <w:tcPr>
            <w:tcW w:w="50" w:type="pct"/>
            <w:shd w:val="clear" w:color="auto" w:fill="CCEEFF"/>
            <w:noWrap/>
            <w:vAlign w:val="bottom"/>
            <w:hideMark/>
          </w:tcPr>
          <w:p w14:paraId="63F07B55"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BB8683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81BA07"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7CA680C" w14:textId="77777777" w:rsidR="00000000" w:rsidRDefault="00EB4933">
            <w:pPr>
              <w:jc w:val="right"/>
              <w:rPr>
                <w:rFonts w:eastAsia="Times New Roman"/>
                <w:sz w:val="20"/>
                <w:szCs w:val="20"/>
              </w:rPr>
            </w:pPr>
            <w:r>
              <w:rPr>
                <w:rFonts w:eastAsia="Times New Roman"/>
                <w:sz w:val="20"/>
                <w:szCs w:val="20"/>
              </w:rPr>
              <w:t>(113,257</w:t>
            </w:r>
          </w:p>
        </w:tc>
        <w:tc>
          <w:tcPr>
            <w:tcW w:w="50" w:type="pct"/>
            <w:shd w:val="clear" w:color="auto" w:fill="CCEEFF"/>
            <w:noWrap/>
            <w:vAlign w:val="bottom"/>
            <w:hideMark/>
          </w:tcPr>
          <w:p w14:paraId="5B067577"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1D53FA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F7D951"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B589E44" w14:textId="77777777" w:rsidR="00000000" w:rsidRDefault="00EB4933">
            <w:pPr>
              <w:jc w:val="right"/>
              <w:rPr>
                <w:rFonts w:eastAsia="Times New Roman"/>
                <w:sz w:val="20"/>
                <w:szCs w:val="20"/>
              </w:rPr>
            </w:pPr>
            <w:r>
              <w:rPr>
                <w:rFonts w:eastAsia="Times New Roman"/>
                <w:sz w:val="20"/>
                <w:szCs w:val="20"/>
              </w:rPr>
              <w:t>293,652</w:t>
            </w:r>
          </w:p>
        </w:tc>
        <w:tc>
          <w:tcPr>
            <w:tcW w:w="50" w:type="pct"/>
            <w:shd w:val="clear" w:color="auto" w:fill="CCEEFF"/>
            <w:noWrap/>
            <w:vAlign w:val="center"/>
            <w:hideMark/>
          </w:tcPr>
          <w:p w14:paraId="31BC662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A6C82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590A35"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2E97A22" w14:textId="77777777" w:rsidR="00000000" w:rsidRDefault="00EB4933">
            <w:pPr>
              <w:jc w:val="right"/>
              <w:rPr>
                <w:rFonts w:eastAsia="Times New Roman"/>
                <w:sz w:val="20"/>
                <w:szCs w:val="20"/>
              </w:rPr>
            </w:pPr>
            <w:r>
              <w:rPr>
                <w:rFonts w:eastAsia="Times New Roman"/>
                <w:sz w:val="20"/>
                <w:szCs w:val="20"/>
              </w:rPr>
              <w:t>73,414</w:t>
            </w:r>
          </w:p>
        </w:tc>
        <w:tc>
          <w:tcPr>
            <w:tcW w:w="50" w:type="pct"/>
            <w:shd w:val="clear" w:color="auto" w:fill="CCEEFF"/>
            <w:noWrap/>
            <w:vAlign w:val="center"/>
            <w:hideMark/>
          </w:tcPr>
          <w:p w14:paraId="51FF2CE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69E5B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9DB75B"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F8FE1CB" w14:textId="77777777" w:rsidR="00000000" w:rsidRDefault="00EB4933">
            <w:pPr>
              <w:jc w:val="right"/>
              <w:rPr>
                <w:rFonts w:eastAsia="Times New Roman"/>
                <w:sz w:val="20"/>
                <w:szCs w:val="20"/>
              </w:rPr>
            </w:pPr>
            <w:r>
              <w:rPr>
                <w:rFonts w:eastAsia="Times New Roman"/>
                <w:sz w:val="20"/>
                <w:szCs w:val="20"/>
              </w:rPr>
              <w:t>367,066</w:t>
            </w:r>
          </w:p>
        </w:tc>
        <w:tc>
          <w:tcPr>
            <w:tcW w:w="50" w:type="pct"/>
            <w:shd w:val="clear" w:color="auto" w:fill="CCEEFF"/>
            <w:noWrap/>
            <w:vAlign w:val="center"/>
            <w:hideMark/>
          </w:tcPr>
          <w:p w14:paraId="2DD60A61" w14:textId="77777777" w:rsidR="00000000" w:rsidRDefault="00EB4933">
            <w:pPr>
              <w:pStyle w:val="NormalWeb"/>
              <w:spacing w:before="0" w:beforeAutospacing="0" w:after="0" w:afterAutospacing="0"/>
              <w:rPr>
                <w:sz w:val="20"/>
                <w:szCs w:val="20"/>
              </w:rPr>
            </w:pPr>
            <w:r>
              <w:rPr>
                <w:sz w:val="20"/>
                <w:szCs w:val="20"/>
              </w:rPr>
              <w:t> </w:t>
            </w:r>
          </w:p>
        </w:tc>
      </w:tr>
      <w:tr w:rsidR="00EB4933" w14:paraId="60E3ECD8" w14:textId="77777777">
        <w:trPr>
          <w:divId w:val="98525094"/>
          <w:trHeight w:val="225"/>
          <w:tblCellSpacing w:w="15" w:type="dxa"/>
        </w:trPr>
        <w:tc>
          <w:tcPr>
            <w:tcW w:w="0" w:type="auto"/>
            <w:shd w:val="clear" w:color="auto" w:fill="FFFFFF"/>
            <w:hideMark/>
          </w:tcPr>
          <w:p w14:paraId="7B4A5746" w14:textId="77777777" w:rsidR="00000000" w:rsidRDefault="00EB4933">
            <w:pPr>
              <w:pStyle w:val="NormalWeb"/>
              <w:spacing w:before="0" w:beforeAutospacing="0" w:after="0" w:afterAutospacing="0"/>
              <w:rPr>
                <w:sz w:val="20"/>
                <w:szCs w:val="20"/>
              </w:rPr>
            </w:pPr>
            <w:r>
              <w:rPr>
                <w:sz w:val="20"/>
                <w:szCs w:val="20"/>
              </w:rPr>
              <w:t>Share-based compensation</w:t>
            </w:r>
          </w:p>
        </w:tc>
        <w:tc>
          <w:tcPr>
            <w:tcW w:w="50" w:type="pct"/>
            <w:shd w:val="clear" w:color="auto" w:fill="FFFFFF"/>
            <w:noWrap/>
            <w:vAlign w:val="center"/>
            <w:hideMark/>
          </w:tcPr>
          <w:p w14:paraId="6E030D9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2E438A"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7E1B038"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83218D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EF579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009FF0"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C0490BB"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63127E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D4BE2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90CED2"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05AF52D"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C7CA39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9D264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D2822F"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5D8F95F"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FE3A97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BE9597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199075"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9C79FC2"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A48CBB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BBF71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02C508"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04DAD08" w14:textId="77777777" w:rsidR="00000000" w:rsidRDefault="00EB4933">
            <w:pPr>
              <w:jc w:val="right"/>
              <w:rPr>
                <w:rFonts w:eastAsia="Times New Roman"/>
                <w:sz w:val="20"/>
                <w:szCs w:val="20"/>
              </w:rPr>
            </w:pPr>
            <w:r>
              <w:rPr>
                <w:rFonts w:eastAsia="Times New Roman"/>
                <w:sz w:val="20"/>
                <w:szCs w:val="20"/>
              </w:rPr>
              <w:t>60</w:t>
            </w:r>
          </w:p>
        </w:tc>
        <w:tc>
          <w:tcPr>
            <w:tcW w:w="50" w:type="pct"/>
            <w:shd w:val="clear" w:color="auto" w:fill="FFFFFF"/>
            <w:noWrap/>
            <w:vAlign w:val="center"/>
            <w:hideMark/>
          </w:tcPr>
          <w:p w14:paraId="5EF3DFA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D8CC8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2B71B2"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1B58FE9" w14:textId="77777777" w:rsidR="00000000" w:rsidRDefault="00EB4933">
            <w:pPr>
              <w:jc w:val="right"/>
              <w:rPr>
                <w:rFonts w:eastAsia="Times New Roman"/>
                <w:sz w:val="20"/>
                <w:szCs w:val="20"/>
              </w:rPr>
            </w:pPr>
            <w:r>
              <w:rPr>
                <w:rFonts w:eastAsia="Times New Roman"/>
                <w:sz w:val="20"/>
                <w:szCs w:val="20"/>
              </w:rPr>
              <w:t>60</w:t>
            </w:r>
          </w:p>
        </w:tc>
        <w:tc>
          <w:tcPr>
            <w:tcW w:w="50" w:type="pct"/>
            <w:shd w:val="clear" w:color="auto" w:fill="FFFFFF"/>
            <w:noWrap/>
            <w:vAlign w:val="center"/>
            <w:hideMark/>
          </w:tcPr>
          <w:p w14:paraId="2D5E93B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56BF6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F9F264"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1D4B89A" w14:textId="77777777" w:rsidR="00000000" w:rsidRDefault="00EB4933">
            <w:pPr>
              <w:jc w:val="right"/>
              <w:rPr>
                <w:rFonts w:eastAsia="Times New Roman"/>
                <w:sz w:val="20"/>
                <w:szCs w:val="20"/>
              </w:rPr>
            </w:pPr>
            <w:r>
              <w:rPr>
                <w:rFonts w:eastAsia="Times New Roman"/>
                <w:sz w:val="20"/>
                <w:szCs w:val="20"/>
              </w:rPr>
              <w:t>15</w:t>
            </w:r>
          </w:p>
        </w:tc>
        <w:tc>
          <w:tcPr>
            <w:tcW w:w="50" w:type="pct"/>
            <w:shd w:val="clear" w:color="auto" w:fill="FFFFFF"/>
            <w:noWrap/>
            <w:vAlign w:val="center"/>
            <w:hideMark/>
          </w:tcPr>
          <w:p w14:paraId="78BAB05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0C66A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CBEFF6"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DC18689" w14:textId="77777777" w:rsidR="00000000" w:rsidRDefault="00EB4933">
            <w:pPr>
              <w:jc w:val="right"/>
              <w:rPr>
                <w:rFonts w:eastAsia="Times New Roman"/>
                <w:sz w:val="20"/>
                <w:szCs w:val="20"/>
              </w:rPr>
            </w:pPr>
            <w:r>
              <w:rPr>
                <w:rFonts w:eastAsia="Times New Roman"/>
                <w:sz w:val="20"/>
                <w:szCs w:val="20"/>
              </w:rPr>
              <w:t>75</w:t>
            </w:r>
          </w:p>
        </w:tc>
        <w:tc>
          <w:tcPr>
            <w:tcW w:w="50" w:type="pct"/>
            <w:shd w:val="clear" w:color="auto" w:fill="FFFFFF"/>
            <w:noWrap/>
            <w:vAlign w:val="center"/>
            <w:hideMark/>
          </w:tcPr>
          <w:p w14:paraId="64530B43" w14:textId="77777777" w:rsidR="00000000" w:rsidRDefault="00EB4933">
            <w:pPr>
              <w:pStyle w:val="NormalWeb"/>
              <w:spacing w:before="0" w:beforeAutospacing="0" w:after="0" w:afterAutospacing="0"/>
              <w:rPr>
                <w:sz w:val="20"/>
                <w:szCs w:val="20"/>
              </w:rPr>
            </w:pPr>
            <w:r>
              <w:rPr>
                <w:sz w:val="20"/>
                <w:szCs w:val="20"/>
              </w:rPr>
              <w:t> </w:t>
            </w:r>
          </w:p>
        </w:tc>
      </w:tr>
      <w:tr w:rsidR="00EB4933" w14:paraId="0E378E9B" w14:textId="77777777">
        <w:trPr>
          <w:divId w:val="98525094"/>
          <w:trHeight w:val="225"/>
          <w:tblCellSpacing w:w="15" w:type="dxa"/>
        </w:trPr>
        <w:tc>
          <w:tcPr>
            <w:tcW w:w="0" w:type="auto"/>
            <w:shd w:val="clear" w:color="auto" w:fill="CCEEFF"/>
            <w:hideMark/>
          </w:tcPr>
          <w:p w14:paraId="2301FCB4" w14:textId="77777777" w:rsidR="00000000" w:rsidRDefault="00EB4933">
            <w:pPr>
              <w:pStyle w:val="NormalWeb"/>
              <w:spacing w:before="0" w:beforeAutospacing="0" w:after="0" w:afterAutospacing="0"/>
              <w:rPr>
                <w:sz w:val="20"/>
                <w:szCs w:val="20"/>
              </w:rPr>
            </w:pPr>
            <w:r>
              <w:rPr>
                <w:sz w:val="20"/>
                <w:szCs w:val="20"/>
              </w:rPr>
              <w:t>Other comprehensive income for the year – currency translation differences</w:t>
            </w:r>
          </w:p>
        </w:tc>
        <w:tc>
          <w:tcPr>
            <w:tcW w:w="50" w:type="pct"/>
            <w:shd w:val="clear" w:color="auto" w:fill="CCEEFF"/>
            <w:noWrap/>
            <w:vAlign w:val="center"/>
            <w:hideMark/>
          </w:tcPr>
          <w:p w14:paraId="1E483DE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7B05A8"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E94CFDB"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DF6C58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046BA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A32568"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8DF0016"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E134F1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CF06F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4A2B9C"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277D445"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A17115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00176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8DFBF9"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A082C30"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694182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6EC35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49C005"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658559C" w14:textId="77777777" w:rsidR="00000000" w:rsidRDefault="00EB4933">
            <w:pPr>
              <w:jc w:val="right"/>
              <w:rPr>
                <w:rFonts w:eastAsia="Times New Roman"/>
                <w:sz w:val="20"/>
                <w:szCs w:val="20"/>
              </w:rPr>
            </w:pPr>
            <w:r>
              <w:rPr>
                <w:rFonts w:eastAsia="Times New Roman"/>
                <w:sz w:val="20"/>
                <w:szCs w:val="20"/>
              </w:rPr>
              <w:t>324</w:t>
            </w:r>
          </w:p>
        </w:tc>
        <w:tc>
          <w:tcPr>
            <w:tcW w:w="50" w:type="pct"/>
            <w:shd w:val="clear" w:color="auto" w:fill="CCEEFF"/>
            <w:noWrap/>
            <w:vAlign w:val="center"/>
            <w:hideMark/>
          </w:tcPr>
          <w:p w14:paraId="45D91AB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E1A3A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5150EE"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D9AAAED"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19C389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33C14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8BE657"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7106E00" w14:textId="77777777" w:rsidR="00000000" w:rsidRDefault="00EB4933">
            <w:pPr>
              <w:jc w:val="right"/>
              <w:rPr>
                <w:rFonts w:eastAsia="Times New Roman"/>
                <w:sz w:val="20"/>
                <w:szCs w:val="20"/>
              </w:rPr>
            </w:pPr>
            <w:r>
              <w:rPr>
                <w:rFonts w:eastAsia="Times New Roman"/>
                <w:sz w:val="20"/>
                <w:szCs w:val="20"/>
              </w:rPr>
              <w:t>324</w:t>
            </w:r>
          </w:p>
        </w:tc>
        <w:tc>
          <w:tcPr>
            <w:tcW w:w="50" w:type="pct"/>
            <w:shd w:val="clear" w:color="auto" w:fill="CCEEFF"/>
            <w:noWrap/>
            <w:vAlign w:val="center"/>
            <w:hideMark/>
          </w:tcPr>
          <w:p w14:paraId="6C58BA0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E5C26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601993"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8C1F7A9" w14:textId="77777777" w:rsidR="00000000" w:rsidRDefault="00EB4933">
            <w:pPr>
              <w:jc w:val="right"/>
              <w:rPr>
                <w:rFonts w:eastAsia="Times New Roman"/>
                <w:sz w:val="20"/>
                <w:szCs w:val="20"/>
              </w:rPr>
            </w:pPr>
            <w:r>
              <w:rPr>
                <w:rFonts w:eastAsia="Times New Roman"/>
                <w:sz w:val="20"/>
                <w:szCs w:val="20"/>
              </w:rPr>
              <w:t>81</w:t>
            </w:r>
          </w:p>
        </w:tc>
        <w:tc>
          <w:tcPr>
            <w:tcW w:w="50" w:type="pct"/>
            <w:shd w:val="clear" w:color="auto" w:fill="CCEEFF"/>
            <w:noWrap/>
            <w:vAlign w:val="center"/>
            <w:hideMark/>
          </w:tcPr>
          <w:p w14:paraId="444717B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66858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1E4E89"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3B7AF37" w14:textId="77777777" w:rsidR="00000000" w:rsidRDefault="00EB4933">
            <w:pPr>
              <w:jc w:val="right"/>
              <w:rPr>
                <w:rFonts w:eastAsia="Times New Roman"/>
                <w:sz w:val="20"/>
                <w:szCs w:val="20"/>
              </w:rPr>
            </w:pPr>
            <w:r>
              <w:rPr>
                <w:rFonts w:eastAsia="Times New Roman"/>
                <w:sz w:val="20"/>
                <w:szCs w:val="20"/>
              </w:rPr>
              <w:t>405</w:t>
            </w:r>
          </w:p>
        </w:tc>
        <w:tc>
          <w:tcPr>
            <w:tcW w:w="50" w:type="pct"/>
            <w:shd w:val="clear" w:color="auto" w:fill="CCEEFF"/>
            <w:noWrap/>
            <w:vAlign w:val="center"/>
            <w:hideMark/>
          </w:tcPr>
          <w:p w14:paraId="18C9BBD5" w14:textId="77777777" w:rsidR="00000000" w:rsidRDefault="00EB4933">
            <w:pPr>
              <w:pStyle w:val="NormalWeb"/>
              <w:spacing w:before="0" w:beforeAutospacing="0" w:after="0" w:afterAutospacing="0"/>
              <w:rPr>
                <w:sz w:val="20"/>
                <w:szCs w:val="20"/>
              </w:rPr>
            </w:pPr>
            <w:r>
              <w:rPr>
                <w:sz w:val="20"/>
                <w:szCs w:val="20"/>
              </w:rPr>
              <w:t> </w:t>
            </w:r>
          </w:p>
        </w:tc>
      </w:tr>
      <w:tr w:rsidR="00EB4933" w14:paraId="3C0EA01C" w14:textId="77777777">
        <w:trPr>
          <w:divId w:val="98525094"/>
          <w:trHeight w:val="225"/>
          <w:tblCellSpacing w:w="15" w:type="dxa"/>
        </w:trPr>
        <w:tc>
          <w:tcPr>
            <w:tcW w:w="0" w:type="auto"/>
            <w:shd w:val="clear" w:color="auto" w:fill="FFFFFF"/>
            <w:hideMark/>
          </w:tcPr>
          <w:p w14:paraId="04669AF1" w14:textId="77777777" w:rsidR="00000000" w:rsidRDefault="00EB4933">
            <w:pPr>
              <w:pStyle w:val="NormalWeb"/>
              <w:spacing w:before="0" w:beforeAutospacing="0" w:after="0" w:afterAutospacing="0"/>
              <w:rPr>
                <w:sz w:val="20"/>
                <w:szCs w:val="20"/>
              </w:rPr>
            </w:pPr>
            <w:r>
              <w:rPr>
                <w:sz w:val="20"/>
                <w:szCs w:val="20"/>
              </w:rPr>
              <w:t>Appropriation to reserve</w:t>
            </w:r>
          </w:p>
        </w:tc>
        <w:tc>
          <w:tcPr>
            <w:tcW w:w="50" w:type="pct"/>
            <w:shd w:val="clear" w:color="auto" w:fill="FFFFFF"/>
            <w:noWrap/>
            <w:vAlign w:val="center"/>
            <w:hideMark/>
          </w:tcPr>
          <w:p w14:paraId="6F52BFB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923AE7"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8EAA556"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CD5798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A527F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FAC702"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5B16BE0"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284232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46550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38EC05"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5C36D08" w14:textId="77777777" w:rsidR="00000000" w:rsidRDefault="00EB4933">
            <w:pPr>
              <w:jc w:val="right"/>
              <w:rPr>
                <w:rFonts w:eastAsia="Times New Roman"/>
                <w:sz w:val="20"/>
                <w:szCs w:val="20"/>
              </w:rPr>
            </w:pPr>
            <w:r>
              <w:rPr>
                <w:rFonts w:eastAsia="Times New Roman"/>
                <w:sz w:val="20"/>
                <w:szCs w:val="20"/>
              </w:rPr>
              <w:t>4,689</w:t>
            </w:r>
          </w:p>
        </w:tc>
        <w:tc>
          <w:tcPr>
            <w:tcW w:w="50" w:type="pct"/>
            <w:shd w:val="clear" w:color="auto" w:fill="FFFFFF"/>
            <w:noWrap/>
            <w:vAlign w:val="center"/>
            <w:hideMark/>
          </w:tcPr>
          <w:p w14:paraId="453AB75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98E3A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62E726"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94A4FFC" w14:textId="77777777" w:rsidR="00000000" w:rsidRDefault="00EB4933">
            <w:pPr>
              <w:jc w:val="right"/>
              <w:rPr>
                <w:rFonts w:eastAsia="Times New Roman"/>
                <w:sz w:val="20"/>
                <w:szCs w:val="20"/>
              </w:rPr>
            </w:pPr>
            <w:r>
              <w:rPr>
                <w:rFonts w:eastAsia="Times New Roman"/>
                <w:sz w:val="20"/>
                <w:szCs w:val="20"/>
              </w:rPr>
              <w:t>(705</w:t>
            </w:r>
          </w:p>
        </w:tc>
        <w:tc>
          <w:tcPr>
            <w:tcW w:w="50" w:type="pct"/>
            <w:shd w:val="clear" w:color="auto" w:fill="FFFFFF"/>
            <w:noWrap/>
            <w:vAlign w:val="bottom"/>
            <w:hideMark/>
          </w:tcPr>
          <w:p w14:paraId="52EB2C58"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31115D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7FCC32"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EC97400"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1741C0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645EC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96075C"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5A53E4C" w14:textId="77777777" w:rsidR="00000000" w:rsidRDefault="00EB4933">
            <w:pPr>
              <w:jc w:val="right"/>
              <w:rPr>
                <w:rFonts w:eastAsia="Times New Roman"/>
                <w:sz w:val="20"/>
                <w:szCs w:val="20"/>
              </w:rPr>
            </w:pPr>
            <w:r>
              <w:rPr>
                <w:rFonts w:eastAsia="Times New Roman"/>
                <w:sz w:val="20"/>
                <w:szCs w:val="20"/>
              </w:rPr>
              <w:t>(3,984</w:t>
            </w:r>
          </w:p>
        </w:tc>
        <w:tc>
          <w:tcPr>
            <w:tcW w:w="50" w:type="pct"/>
            <w:shd w:val="clear" w:color="auto" w:fill="FFFFFF"/>
            <w:noWrap/>
            <w:vAlign w:val="bottom"/>
            <w:hideMark/>
          </w:tcPr>
          <w:p w14:paraId="4F53B656"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986DB1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8F864D"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E20115E"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F46EB0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B29DD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5E3386"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9EB5D2C"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5620B0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4D94D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539D4C"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6C6585A"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2387C8B" w14:textId="77777777" w:rsidR="00000000" w:rsidRDefault="00EB4933">
            <w:pPr>
              <w:pStyle w:val="NormalWeb"/>
              <w:spacing w:before="0" w:beforeAutospacing="0" w:after="0" w:afterAutospacing="0"/>
              <w:rPr>
                <w:sz w:val="20"/>
                <w:szCs w:val="20"/>
              </w:rPr>
            </w:pPr>
            <w:r>
              <w:rPr>
                <w:sz w:val="20"/>
                <w:szCs w:val="20"/>
              </w:rPr>
              <w:t> </w:t>
            </w:r>
          </w:p>
        </w:tc>
      </w:tr>
      <w:tr w:rsidR="00EB4933" w14:paraId="4F195630" w14:textId="77777777">
        <w:trPr>
          <w:divId w:val="98525094"/>
          <w:trHeight w:val="225"/>
          <w:tblCellSpacing w:w="15" w:type="dxa"/>
        </w:trPr>
        <w:tc>
          <w:tcPr>
            <w:tcW w:w="0" w:type="auto"/>
            <w:shd w:val="clear" w:color="auto" w:fill="CCEEFF"/>
            <w:hideMark/>
          </w:tcPr>
          <w:p w14:paraId="1821342E" w14:textId="77777777" w:rsidR="00000000" w:rsidRDefault="00EB4933">
            <w:pPr>
              <w:pStyle w:val="NormalWeb"/>
              <w:spacing w:before="0" w:beforeAutospacing="0" w:after="0" w:afterAutospacing="0"/>
              <w:rPr>
                <w:sz w:val="20"/>
                <w:szCs w:val="20"/>
              </w:rPr>
            </w:pPr>
            <w:r>
              <w:rPr>
                <w:sz w:val="20"/>
                <w:szCs w:val="20"/>
              </w:rPr>
              <w:t>Net profit for the year</w:t>
            </w:r>
          </w:p>
        </w:tc>
        <w:tc>
          <w:tcPr>
            <w:tcW w:w="50" w:type="pct"/>
            <w:shd w:val="clear" w:color="auto" w:fill="CCEEFF"/>
            <w:noWrap/>
            <w:vAlign w:val="center"/>
            <w:hideMark/>
          </w:tcPr>
          <w:p w14:paraId="4CDB92A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E966850"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0B2C95C4"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487A255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F8649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4379560"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036A5746"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21A2D24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69A9F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6AA16BD"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36371884"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7AB4613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02259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E69DF82"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6EB07895"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030EDDC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5FA3B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C187DB3"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429AFAE4"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4E97E5E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5AB58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6F34FF1"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0F4E9E1B" w14:textId="77777777" w:rsidR="00000000" w:rsidRDefault="00EB4933">
            <w:pPr>
              <w:jc w:val="right"/>
              <w:rPr>
                <w:rFonts w:eastAsia="Times New Roman"/>
                <w:sz w:val="20"/>
                <w:szCs w:val="20"/>
              </w:rPr>
            </w:pPr>
            <w:r>
              <w:rPr>
                <w:rFonts w:eastAsia="Times New Roman"/>
                <w:sz w:val="20"/>
                <w:szCs w:val="20"/>
              </w:rPr>
              <w:t>46,893</w:t>
            </w:r>
          </w:p>
        </w:tc>
        <w:tc>
          <w:tcPr>
            <w:tcW w:w="50" w:type="pct"/>
            <w:shd w:val="clear" w:color="auto" w:fill="CCEEFF"/>
            <w:noWrap/>
            <w:tcMar>
              <w:top w:w="0" w:type="dxa"/>
              <w:left w:w="0" w:type="dxa"/>
              <w:bottom w:w="15" w:type="dxa"/>
              <w:right w:w="0" w:type="dxa"/>
            </w:tcMar>
            <w:vAlign w:val="center"/>
            <w:hideMark/>
          </w:tcPr>
          <w:p w14:paraId="5614253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E4535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B5D4E4D"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6591ADD2" w14:textId="77777777" w:rsidR="00000000" w:rsidRDefault="00EB4933">
            <w:pPr>
              <w:jc w:val="right"/>
              <w:rPr>
                <w:rFonts w:eastAsia="Times New Roman"/>
                <w:sz w:val="20"/>
                <w:szCs w:val="20"/>
              </w:rPr>
            </w:pPr>
            <w:r>
              <w:rPr>
                <w:rFonts w:eastAsia="Times New Roman"/>
                <w:sz w:val="20"/>
                <w:szCs w:val="20"/>
              </w:rPr>
              <w:t>46,893</w:t>
            </w:r>
          </w:p>
        </w:tc>
        <w:tc>
          <w:tcPr>
            <w:tcW w:w="50" w:type="pct"/>
            <w:shd w:val="clear" w:color="auto" w:fill="CCEEFF"/>
            <w:noWrap/>
            <w:tcMar>
              <w:top w:w="0" w:type="dxa"/>
              <w:left w:w="0" w:type="dxa"/>
              <w:bottom w:w="15" w:type="dxa"/>
              <w:right w:w="0" w:type="dxa"/>
            </w:tcMar>
            <w:vAlign w:val="center"/>
            <w:hideMark/>
          </w:tcPr>
          <w:p w14:paraId="20C646E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9BD2A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1EE3C39"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2B891679" w14:textId="77777777" w:rsidR="00000000" w:rsidRDefault="00EB4933">
            <w:pPr>
              <w:jc w:val="right"/>
              <w:rPr>
                <w:rFonts w:eastAsia="Times New Roman"/>
                <w:sz w:val="20"/>
                <w:szCs w:val="20"/>
              </w:rPr>
            </w:pPr>
            <w:r>
              <w:rPr>
                <w:rFonts w:eastAsia="Times New Roman"/>
                <w:sz w:val="20"/>
                <w:szCs w:val="20"/>
              </w:rPr>
              <w:t>11,723</w:t>
            </w:r>
          </w:p>
        </w:tc>
        <w:tc>
          <w:tcPr>
            <w:tcW w:w="50" w:type="pct"/>
            <w:shd w:val="clear" w:color="auto" w:fill="CCEEFF"/>
            <w:noWrap/>
            <w:tcMar>
              <w:top w:w="0" w:type="dxa"/>
              <w:left w:w="0" w:type="dxa"/>
              <w:bottom w:w="15" w:type="dxa"/>
              <w:right w:w="0" w:type="dxa"/>
            </w:tcMar>
            <w:vAlign w:val="center"/>
            <w:hideMark/>
          </w:tcPr>
          <w:p w14:paraId="452FE98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1F2BD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8E20011"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11297D05" w14:textId="77777777" w:rsidR="00000000" w:rsidRDefault="00EB4933">
            <w:pPr>
              <w:jc w:val="right"/>
              <w:rPr>
                <w:rFonts w:eastAsia="Times New Roman"/>
                <w:sz w:val="20"/>
                <w:szCs w:val="20"/>
              </w:rPr>
            </w:pPr>
            <w:r>
              <w:rPr>
                <w:rFonts w:eastAsia="Times New Roman"/>
                <w:sz w:val="20"/>
                <w:szCs w:val="20"/>
              </w:rPr>
              <w:t>58,616</w:t>
            </w:r>
          </w:p>
        </w:tc>
        <w:tc>
          <w:tcPr>
            <w:tcW w:w="50" w:type="pct"/>
            <w:shd w:val="clear" w:color="auto" w:fill="CCEEFF"/>
            <w:noWrap/>
            <w:tcMar>
              <w:top w:w="0" w:type="dxa"/>
              <w:left w:w="0" w:type="dxa"/>
              <w:bottom w:w="15" w:type="dxa"/>
              <w:right w:w="0" w:type="dxa"/>
            </w:tcMar>
            <w:vAlign w:val="center"/>
            <w:hideMark/>
          </w:tcPr>
          <w:p w14:paraId="7FADF191" w14:textId="77777777" w:rsidR="00000000" w:rsidRDefault="00EB4933">
            <w:pPr>
              <w:pStyle w:val="NormalWeb"/>
              <w:spacing w:before="0" w:beforeAutospacing="0" w:after="0" w:afterAutospacing="0"/>
              <w:rPr>
                <w:sz w:val="20"/>
                <w:szCs w:val="20"/>
              </w:rPr>
            </w:pPr>
            <w:r>
              <w:rPr>
                <w:sz w:val="20"/>
                <w:szCs w:val="20"/>
              </w:rPr>
              <w:t> </w:t>
            </w:r>
          </w:p>
        </w:tc>
      </w:tr>
      <w:tr w:rsidR="00EB4933" w14:paraId="3EACAC0F" w14:textId="77777777">
        <w:trPr>
          <w:divId w:val="98525094"/>
          <w:trHeight w:val="225"/>
          <w:tblCellSpacing w:w="15" w:type="dxa"/>
        </w:trPr>
        <w:tc>
          <w:tcPr>
            <w:tcW w:w="0" w:type="auto"/>
            <w:shd w:val="clear" w:color="auto" w:fill="FFFFFF"/>
            <w:hideMark/>
          </w:tcPr>
          <w:p w14:paraId="1A0C5BDD" w14:textId="77777777" w:rsidR="00000000" w:rsidRDefault="00EB4933">
            <w:pPr>
              <w:pStyle w:val="NormalWeb"/>
              <w:spacing w:before="0" w:beforeAutospacing="0" w:after="0" w:afterAutospacing="0"/>
              <w:rPr>
                <w:sz w:val="20"/>
                <w:szCs w:val="20"/>
              </w:rPr>
            </w:pPr>
            <w:r>
              <w:rPr>
                <w:sz w:val="20"/>
                <w:szCs w:val="20"/>
              </w:rPr>
              <w:t>Balance at December 31, 2019</w:t>
            </w:r>
          </w:p>
        </w:tc>
        <w:tc>
          <w:tcPr>
            <w:tcW w:w="50" w:type="pct"/>
            <w:shd w:val="clear" w:color="auto" w:fill="FFFFFF"/>
            <w:noWrap/>
            <w:vAlign w:val="center"/>
            <w:hideMark/>
          </w:tcPr>
          <w:p w14:paraId="672CDA6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EC31581"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5D1CD445" w14:textId="77777777" w:rsidR="00000000" w:rsidRDefault="00EB4933">
            <w:pPr>
              <w:jc w:val="right"/>
              <w:rPr>
                <w:rFonts w:eastAsia="Times New Roman"/>
                <w:sz w:val="20"/>
                <w:szCs w:val="20"/>
              </w:rPr>
            </w:pPr>
            <w:r>
              <w:rPr>
                <w:rFonts w:eastAsia="Times New Roman"/>
                <w:sz w:val="20"/>
                <w:szCs w:val="20"/>
              </w:rPr>
              <w:t>326</w:t>
            </w:r>
          </w:p>
        </w:tc>
        <w:tc>
          <w:tcPr>
            <w:tcW w:w="50" w:type="pct"/>
            <w:shd w:val="clear" w:color="auto" w:fill="FFFFFF"/>
            <w:noWrap/>
            <w:tcMar>
              <w:top w:w="0" w:type="dxa"/>
              <w:left w:w="0" w:type="dxa"/>
              <w:bottom w:w="15" w:type="dxa"/>
              <w:right w:w="0" w:type="dxa"/>
            </w:tcMar>
            <w:vAlign w:val="center"/>
            <w:hideMark/>
          </w:tcPr>
          <w:p w14:paraId="3608562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DEC08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48D067D"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013E9E3D" w14:textId="77777777" w:rsidR="00000000" w:rsidRDefault="00EB4933">
            <w:pPr>
              <w:jc w:val="right"/>
              <w:rPr>
                <w:rFonts w:eastAsia="Times New Roman"/>
                <w:sz w:val="20"/>
                <w:szCs w:val="20"/>
              </w:rPr>
            </w:pPr>
            <w:r>
              <w:rPr>
                <w:rFonts w:eastAsia="Times New Roman"/>
                <w:sz w:val="20"/>
                <w:szCs w:val="20"/>
              </w:rPr>
              <w:t>383,174</w:t>
            </w:r>
          </w:p>
        </w:tc>
        <w:tc>
          <w:tcPr>
            <w:tcW w:w="50" w:type="pct"/>
            <w:shd w:val="clear" w:color="auto" w:fill="FFFFFF"/>
            <w:noWrap/>
            <w:tcMar>
              <w:top w:w="0" w:type="dxa"/>
              <w:left w:w="0" w:type="dxa"/>
              <w:bottom w:w="15" w:type="dxa"/>
              <w:right w:w="0" w:type="dxa"/>
            </w:tcMar>
            <w:vAlign w:val="center"/>
            <w:hideMark/>
          </w:tcPr>
          <w:p w14:paraId="5A493FC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21C42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56E5325"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2478A9E1" w14:textId="77777777" w:rsidR="00000000" w:rsidRDefault="00EB4933">
            <w:pPr>
              <w:jc w:val="right"/>
              <w:rPr>
                <w:rFonts w:eastAsia="Times New Roman"/>
                <w:sz w:val="20"/>
                <w:szCs w:val="20"/>
              </w:rPr>
            </w:pPr>
            <w:r>
              <w:rPr>
                <w:rFonts w:eastAsia="Times New Roman"/>
                <w:sz w:val="20"/>
                <w:szCs w:val="20"/>
              </w:rPr>
              <w:t>18,706</w:t>
            </w:r>
          </w:p>
        </w:tc>
        <w:tc>
          <w:tcPr>
            <w:tcW w:w="50" w:type="pct"/>
            <w:shd w:val="clear" w:color="auto" w:fill="FFFFFF"/>
            <w:noWrap/>
            <w:tcMar>
              <w:top w:w="0" w:type="dxa"/>
              <w:left w:w="0" w:type="dxa"/>
              <w:bottom w:w="15" w:type="dxa"/>
              <w:right w:w="0" w:type="dxa"/>
            </w:tcMar>
            <w:vAlign w:val="center"/>
            <w:hideMark/>
          </w:tcPr>
          <w:p w14:paraId="4419E4E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6EFBF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CC4CCE2"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14F4BCA4" w14:textId="77777777" w:rsidR="00000000" w:rsidRDefault="00EB4933">
            <w:pPr>
              <w:jc w:val="right"/>
              <w:rPr>
                <w:rFonts w:eastAsia="Times New Roman"/>
                <w:sz w:val="20"/>
                <w:szCs w:val="20"/>
              </w:rPr>
            </w:pPr>
            <w:r>
              <w:rPr>
                <w:rFonts w:eastAsia="Times New Roman"/>
                <w:sz w:val="20"/>
                <w:szCs w:val="20"/>
              </w:rPr>
              <w:t>9,180</w:t>
            </w:r>
          </w:p>
        </w:tc>
        <w:tc>
          <w:tcPr>
            <w:tcW w:w="50" w:type="pct"/>
            <w:shd w:val="clear" w:color="auto" w:fill="FFFFFF"/>
            <w:noWrap/>
            <w:tcMar>
              <w:top w:w="0" w:type="dxa"/>
              <w:left w:w="0" w:type="dxa"/>
              <w:bottom w:w="15" w:type="dxa"/>
              <w:right w:w="0" w:type="dxa"/>
            </w:tcMar>
            <w:vAlign w:val="center"/>
            <w:hideMark/>
          </w:tcPr>
          <w:p w14:paraId="0BF59E7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CC3E1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E77383E"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3EB5A9B2" w14:textId="77777777" w:rsidR="00000000" w:rsidRDefault="00EB4933">
            <w:pPr>
              <w:jc w:val="right"/>
              <w:rPr>
                <w:rFonts w:eastAsia="Times New Roman"/>
                <w:sz w:val="20"/>
                <w:szCs w:val="20"/>
              </w:rPr>
            </w:pPr>
            <w:r>
              <w:rPr>
                <w:rFonts w:eastAsia="Times New Roman"/>
                <w:sz w:val="20"/>
                <w:szCs w:val="20"/>
              </w:rPr>
              <w:t>(169</w:t>
            </w:r>
          </w:p>
        </w:tc>
        <w:tc>
          <w:tcPr>
            <w:tcW w:w="50" w:type="pct"/>
            <w:shd w:val="clear" w:color="auto" w:fill="FFFFFF"/>
            <w:noWrap/>
            <w:tcMar>
              <w:top w:w="0" w:type="dxa"/>
              <w:left w:w="0" w:type="dxa"/>
              <w:bottom w:w="15" w:type="dxa"/>
              <w:right w:w="0" w:type="dxa"/>
            </w:tcMar>
            <w:vAlign w:val="bottom"/>
            <w:hideMark/>
          </w:tcPr>
          <w:p w14:paraId="5A3BDF37"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5EF1AB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0E1DC18"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73C53BDD" w14:textId="77777777" w:rsidR="00000000" w:rsidRDefault="00EB4933">
            <w:pPr>
              <w:jc w:val="right"/>
              <w:rPr>
                <w:rFonts w:eastAsia="Times New Roman"/>
                <w:sz w:val="20"/>
                <w:szCs w:val="20"/>
              </w:rPr>
            </w:pPr>
            <w:r>
              <w:rPr>
                <w:rFonts w:eastAsia="Times New Roman"/>
                <w:sz w:val="20"/>
                <w:szCs w:val="20"/>
              </w:rPr>
              <w:t>(70,288</w:t>
            </w:r>
          </w:p>
        </w:tc>
        <w:tc>
          <w:tcPr>
            <w:tcW w:w="50" w:type="pct"/>
            <w:shd w:val="clear" w:color="auto" w:fill="FFFFFF"/>
            <w:noWrap/>
            <w:tcMar>
              <w:top w:w="0" w:type="dxa"/>
              <w:left w:w="0" w:type="dxa"/>
              <w:bottom w:w="15" w:type="dxa"/>
              <w:right w:w="0" w:type="dxa"/>
            </w:tcMar>
            <w:vAlign w:val="bottom"/>
            <w:hideMark/>
          </w:tcPr>
          <w:p w14:paraId="7096817F"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8F2E66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97D4A8A"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56A18385" w14:textId="77777777" w:rsidR="00000000" w:rsidRDefault="00EB4933">
            <w:pPr>
              <w:jc w:val="right"/>
              <w:rPr>
                <w:rFonts w:eastAsia="Times New Roman"/>
                <w:sz w:val="20"/>
                <w:szCs w:val="20"/>
              </w:rPr>
            </w:pPr>
            <w:r>
              <w:rPr>
                <w:rFonts w:eastAsia="Times New Roman"/>
                <w:sz w:val="20"/>
                <w:szCs w:val="20"/>
              </w:rPr>
              <w:t>340,929</w:t>
            </w:r>
          </w:p>
        </w:tc>
        <w:tc>
          <w:tcPr>
            <w:tcW w:w="50" w:type="pct"/>
            <w:shd w:val="clear" w:color="auto" w:fill="FFFFFF"/>
            <w:noWrap/>
            <w:tcMar>
              <w:top w:w="0" w:type="dxa"/>
              <w:left w:w="0" w:type="dxa"/>
              <w:bottom w:w="15" w:type="dxa"/>
              <w:right w:w="0" w:type="dxa"/>
            </w:tcMar>
            <w:vAlign w:val="center"/>
            <w:hideMark/>
          </w:tcPr>
          <w:p w14:paraId="0D3F7B0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5FA31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B00AA9C"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339DE2D0" w14:textId="77777777" w:rsidR="00000000" w:rsidRDefault="00EB4933">
            <w:pPr>
              <w:jc w:val="right"/>
              <w:rPr>
                <w:rFonts w:eastAsia="Times New Roman"/>
                <w:sz w:val="20"/>
                <w:szCs w:val="20"/>
              </w:rPr>
            </w:pPr>
            <w:r>
              <w:rPr>
                <w:rFonts w:eastAsia="Times New Roman"/>
                <w:sz w:val="20"/>
                <w:szCs w:val="20"/>
              </w:rPr>
              <w:t>85,233</w:t>
            </w:r>
          </w:p>
        </w:tc>
        <w:tc>
          <w:tcPr>
            <w:tcW w:w="50" w:type="pct"/>
            <w:shd w:val="clear" w:color="auto" w:fill="FFFFFF"/>
            <w:noWrap/>
            <w:tcMar>
              <w:top w:w="0" w:type="dxa"/>
              <w:left w:w="0" w:type="dxa"/>
              <w:bottom w:w="15" w:type="dxa"/>
              <w:right w:w="0" w:type="dxa"/>
            </w:tcMar>
            <w:vAlign w:val="center"/>
            <w:hideMark/>
          </w:tcPr>
          <w:p w14:paraId="4B130B9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B1A63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E430C9D"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bottom"/>
            <w:hideMark/>
          </w:tcPr>
          <w:p w14:paraId="0D479B16" w14:textId="77777777" w:rsidR="00000000" w:rsidRDefault="00EB4933">
            <w:pPr>
              <w:jc w:val="right"/>
              <w:rPr>
                <w:rFonts w:eastAsia="Times New Roman"/>
                <w:sz w:val="20"/>
                <w:szCs w:val="20"/>
              </w:rPr>
            </w:pPr>
            <w:r>
              <w:rPr>
                <w:rFonts w:eastAsia="Times New Roman"/>
                <w:sz w:val="20"/>
                <w:szCs w:val="20"/>
              </w:rPr>
              <w:t>426,162</w:t>
            </w:r>
          </w:p>
        </w:tc>
        <w:tc>
          <w:tcPr>
            <w:tcW w:w="50" w:type="pct"/>
            <w:shd w:val="clear" w:color="auto" w:fill="FFFFFF"/>
            <w:noWrap/>
            <w:tcMar>
              <w:top w:w="0" w:type="dxa"/>
              <w:left w:w="0" w:type="dxa"/>
              <w:bottom w:w="15" w:type="dxa"/>
              <w:right w:w="0" w:type="dxa"/>
            </w:tcMar>
            <w:vAlign w:val="center"/>
            <w:hideMark/>
          </w:tcPr>
          <w:p w14:paraId="0F154960" w14:textId="77777777" w:rsidR="00000000" w:rsidRDefault="00EB4933">
            <w:pPr>
              <w:pStyle w:val="NormalWeb"/>
              <w:spacing w:before="0" w:beforeAutospacing="0" w:after="0" w:afterAutospacing="0"/>
              <w:rPr>
                <w:sz w:val="20"/>
                <w:szCs w:val="20"/>
              </w:rPr>
            </w:pPr>
            <w:r>
              <w:rPr>
                <w:sz w:val="20"/>
                <w:szCs w:val="20"/>
              </w:rPr>
              <w:t> </w:t>
            </w:r>
          </w:p>
        </w:tc>
      </w:tr>
    </w:tbl>
    <w:p w14:paraId="0151A088" w14:textId="77777777" w:rsidR="00000000" w:rsidRDefault="00EB4933">
      <w:pPr>
        <w:pStyle w:val="NormalWeb"/>
        <w:spacing w:before="0" w:beforeAutospacing="0" w:after="0" w:afterAutospacing="0"/>
        <w:jc w:val="center"/>
        <w:divId w:val="98525094"/>
        <w:rPr>
          <w:sz w:val="20"/>
          <w:szCs w:val="20"/>
        </w:rPr>
      </w:pPr>
      <w:r>
        <w:rPr>
          <w:sz w:val="20"/>
          <w:szCs w:val="20"/>
        </w:rPr>
        <w:t> </w:t>
      </w:r>
    </w:p>
    <w:p w14:paraId="33883628" w14:textId="77777777" w:rsidR="00000000" w:rsidRDefault="00EB4933">
      <w:pPr>
        <w:pStyle w:val="NormalWeb"/>
        <w:spacing w:before="0" w:beforeAutospacing="0" w:after="0" w:afterAutospacing="0"/>
        <w:jc w:val="center"/>
        <w:divId w:val="98525094"/>
        <w:rPr>
          <w:sz w:val="20"/>
          <w:szCs w:val="20"/>
        </w:rPr>
      </w:pPr>
      <w:r>
        <w:rPr>
          <w:sz w:val="20"/>
          <w:szCs w:val="20"/>
        </w:rPr>
        <w:t>The Annexed notes form an integral part of and should be read in conjunction with the consolidated financial statements.</w:t>
      </w:r>
    </w:p>
    <w:p w14:paraId="0B927194"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937639D" w14:textId="77777777">
        <w:trPr>
          <w:divId w:val="98525094"/>
          <w:trHeight w:val="225"/>
          <w:tblCellSpacing w:w="15" w:type="dxa"/>
        </w:trPr>
        <w:tc>
          <w:tcPr>
            <w:tcW w:w="0" w:type="auto"/>
            <w:vAlign w:val="center"/>
            <w:hideMark/>
          </w:tcPr>
          <w:p w14:paraId="0C1BFFF7" w14:textId="77777777" w:rsidR="00000000" w:rsidRDefault="00EB4933">
            <w:pPr>
              <w:rPr>
                <w:rFonts w:eastAsia="Times New Roman"/>
                <w:sz w:val="20"/>
                <w:szCs w:val="20"/>
              </w:rPr>
            </w:pPr>
            <w:r>
              <w:rPr>
                <w:rFonts w:eastAsia="Times New Roman"/>
                <w:sz w:val="20"/>
                <w:szCs w:val="20"/>
              </w:rPr>
              <w:t> </w:t>
            </w:r>
          </w:p>
        </w:tc>
      </w:tr>
      <w:tr w:rsidR="00000000" w14:paraId="75F36AC3" w14:textId="77777777">
        <w:trPr>
          <w:divId w:val="98525094"/>
          <w:trHeight w:val="225"/>
          <w:tblCellSpacing w:w="15" w:type="dxa"/>
        </w:trPr>
        <w:tc>
          <w:tcPr>
            <w:tcW w:w="0" w:type="auto"/>
            <w:tcBorders>
              <w:bottom w:val="single" w:sz="6" w:space="0" w:color="000000"/>
            </w:tcBorders>
            <w:vAlign w:val="center"/>
            <w:hideMark/>
          </w:tcPr>
          <w:p w14:paraId="4CF534B2" w14:textId="77777777" w:rsidR="00000000" w:rsidRDefault="00EB4933">
            <w:pPr>
              <w:jc w:val="center"/>
              <w:rPr>
                <w:rFonts w:eastAsia="Times New Roman"/>
                <w:sz w:val="20"/>
                <w:szCs w:val="20"/>
              </w:rPr>
            </w:pPr>
            <w:r>
              <w:rPr>
                <w:rFonts w:eastAsia="Times New Roman"/>
                <w:sz w:val="20"/>
                <w:szCs w:val="20"/>
              </w:rPr>
              <w:t>F-7</w:t>
            </w:r>
          </w:p>
        </w:tc>
      </w:tr>
      <w:tr w:rsidR="00000000" w14:paraId="24CB4BB7" w14:textId="77777777">
        <w:trPr>
          <w:divId w:val="98525094"/>
          <w:trHeight w:val="225"/>
          <w:tblCellSpacing w:w="15" w:type="dxa"/>
        </w:trPr>
        <w:tc>
          <w:tcPr>
            <w:tcW w:w="0" w:type="auto"/>
            <w:vAlign w:val="center"/>
            <w:hideMark/>
          </w:tcPr>
          <w:p w14:paraId="1653B81F" w14:textId="77777777" w:rsidR="00000000" w:rsidRDefault="00EB4933">
            <w:pPr>
              <w:rPr>
                <w:rFonts w:eastAsia="Times New Roman"/>
                <w:sz w:val="20"/>
                <w:szCs w:val="20"/>
              </w:rPr>
            </w:pPr>
          </w:p>
        </w:tc>
      </w:tr>
      <w:tr w:rsidR="00000000" w14:paraId="5D6142E8" w14:textId="77777777">
        <w:trPr>
          <w:divId w:val="98525094"/>
          <w:trHeight w:val="225"/>
          <w:tblCellSpacing w:w="15" w:type="dxa"/>
        </w:trPr>
        <w:tc>
          <w:tcPr>
            <w:tcW w:w="0" w:type="auto"/>
            <w:vAlign w:val="center"/>
            <w:hideMark/>
          </w:tcPr>
          <w:p w14:paraId="262465C7" w14:textId="77777777" w:rsidR="00000000" w:rsidRDefault="00EB4933">
            <w:pPr>
              <w:rPr>
                <w:rFonts w:eastAsia="Times New Roman"/>
                <w:sz w:val="20"/>
                <w:szCs w:val="20"/>
              </w:rPr>
            </w:pPr>
            <w:hyperlink r:id="rId224" w:anchor="finindex" w:history="1">
              <w:r>
                <w:rPr>
                  <w:rStyle w:val="Hyperlink"/>
                  <w:rFonts w:eastAsia="Times New Roman"/>
                  <w:i/>
                  <w:iCs/>
                  <w:sz w:val="20"/>
                  <w:szCs w:val="20"/>
                </w:rPr>
                <w:t>Table of Contents</w:t>
              </w:r>
            </w:hyperlink>
          </w:p>
        </w:tc>
      </w:tr>
    </w:tbl>
    <w:p w14:paraId="7750A04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B2200D6" w14:textId="77777777" w:rsidR="00000000" w:rsidRDefault="00EB4933">
      <w:pPr>
        <w:pStyle w:val="NormalWeb"/>
        <w:spacing w:before="0" w:beforeAutospacing="0" w:after="0" w:afterAutospacing="0"/>
        <w:jc w:val="center"/>
        <w:divId w:val="98525094"/>
        <w:rPr>
          <w:sz w:val="20"/>
          <w:szCs w:val="20"/>
        </w:rPr>
      </w:pPr>
      <w:bookmarkStart w:id="39" w:name="cf"/>
      <w:r>
        <w:rPr>
          <w:rStyle w:val="Strong"/>
          <w:sz w:val="20"/>
          <w:szCs w:val="20"/>
        </w:rPr>
        <w:t>DUNXIN FINANCIAL HOLDINGS LIMITED</w:t>
      </w:r>
      <w:bookmarkEnd w:id="39"/>
    </w:p>
    <w:p w14:paraId="1286F660"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CONSOLIDATED STATEMENTS OF CASH FLOWS</w:t>
      </w:r>
    </w:p>
    <w:p w14:paraId="5EA67240"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(Expressed in Thousands of Chinese Renminbi Yuan)</w:t>
      </w:r>
    </w:p>
    <w:p w14:paraId="3279F5FD"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For the Years Ended December 31, 2017, 2018 and 2019</w:t>
      </w:r>
    </w:p>
    <w:p w14:paraId="0BDEC49A" w14:textId="77777777" w:rsidR="00000000" w:rsidRDefault="00EB4933">
      <w:pPr>
        <w:pStyle w:val="NormalWeb"/>
        <w:spacing w:before="0" w:beforeAutospacing="0" w:after="0" w:afterAutospacing="0"/>
        <w:jc w:val="center"/>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768"/>
        <w:gridCol w:w="120"/>
        <w:gridCol w:w="119"/>
        <w:gridCol w:w="835"/>
        <w:gridCol w:w="119"/>
        <w:gridCol w:w="119"/>
        <w:gridCol w:w="119"/>
        <w:gridCol w:w="835"/>
        <w:gridCol w:w="119"/>
        <w:gridCol w:w="119"/>
        <w:gridCol w:w="119"/>
        <w:gridCol w:w="835"/>
        <w:gridCol w:w="134"/>
      </w:tblGrid>
      <w:tr w:rsidR="00000000" w14:paraId="211D6849" w14:textId="77777777">
        <w:trPr>
          <w:divId w:val="98525094"/>
          <w:trHeight w:val="225"/>
          <w:tblCellSpacing w:w="15" w:type="dxa"/>
        </w:trPr>
        <w:tc>
          <w:tcPr>
            <w:tcW w:w="0" w:type="auto"/>
            <w:vAlign w:val="center"/>
            <w:hideMark/>
          </w:tcPr>
          <w:p w14:paraId="7C290BAD"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DB1F3D8"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3EE47305" w14:textId="77777777" w:rsidR="00000000" w:rsidRDefault="00EB4933">
            <w:pPr>
              <w:pStyle w:val="NormalWeb"/>
              <w:spacing w:before="0" w:beforeAutospacing="0" w:after="0" w:afterAutospacing="0"/>
              <w:jc w:val="center"/>
              <w:rPr>
                <w:sz w:val="20"/>
                <w:szCs w:val="20"/>
              </w:rPr>
            </w:pPr>
            <w:r>
              <w:rPr>
                <w:rStyle w:val="Strong"/>
                <w:sz w:val="20"/>
                <w:szCs w:val="20"/>
              </w:rPr>
              <w:t>2017</w:t>
            </w:r>
          </w:p>
          <w:p w14:paraId="5D1D6094" w14:textId="77777777" w:rsidR="00000000" w:rsidRDefault="00EB4933">
            <w:pPr>
              <w:pStyle w:val="NormalWeb"/>
              <w:spacing w:before="0" w:beforeAutospacing="0" w:after="0" w:afterAutospacing="0"/>
              <w:jc w:val="center"/>
              <w:rPr>
                <w:sz w:val="20"/>
                <w:szCs w:val="20"/>
              </w:rPr>
            </w:pPr>
            <w:r>
              <w:rPr>
                <w:rStyle w:val="Strong"/>
                <w:sz w:val="20"/>
                <w:szCs w:val="20"/>
              </w:rPr>
              <w:t>Restated</w:t>
            </w:r>
          </w:p>
        </w:tc>
        <w:tc>
          <w:tcPr>
            <w:tcW w:w="0" w:type="auto"/>
            <w:noWrap/>
            <w:tcMar>
              <w:top w:w="0" w:type="dxa"/>
              <w:left w:w="0" w:type="dxa"/>
              <w:bottom w:w="15" w:type="dxa"/>
              <w:right w:w="0" w:type="dxa"/>
            </w:tcMar>
            <w:vAlign w:val="center"/>
            <w:hideMark/>
          </w:tcPr>
          <w:p w14:paraId="4B0EFED5"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9530EE4"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226F0EAE"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tcMar>
              <w:top w:w="0" w:type="dxa"/>
              <w:left w:w="0" w:type="dxa"/>
              <w:bottom w:w="15" w:type="dxa"/>
              <w:right w:w="0" w:type="dxa"/>
            </w:tcMar>
            <w:vAlign w:val="center"/>
            <w:hideMark/>
          </w:tcPr>
          <w:p w14:paraId="1992F87D"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6538DA1"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3E6D387F"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tcMar>
              <w:top w:w="0" w:type="dxa"/>
              <w:left w:w="0" w:type="dxa"/>
              <w:bottom w:w="15" w:type="dxa"/>
              <w:right w:w="0" w:type="dxa"/>
            </w:tcMar>
            <w:vAlign w:val="center"/>
            <w:hideMark/>
          </w:tcPr>
          <w:p w14:paraId="7F1D4643" w14:textId="77777777" w:rsidR="00000000" w:rsidRDefault="00EB4933">
            <w:pPr>
              <w:pStyle w:val="NormalWeb"/>
              <w:spacing w:before="0" w:beforeAutospacing="0" w:after="0" w:afterAutospacing="0"/>
              <w:rPr>
                <w:sz w:val="20"/>
                <w:szCs w:val="20"/>
              </w:rPr>
            </w:pPr>
            <w:r>
              <w:rPr>
                <w:sz w:val="20"/>
                <w:szCs w:val="20"/>
              </w:rPr>
              <w:t> </w:t>
            </w:r>
          </w:p>
        </w:tc>
      </w:tr>
      <w:tr w:rsidR="00000000" w14:paraId="37DCE221" w14:textId="77777777">
        <w:trPr>
          <w:divId w:val="98525094"/>
          <w:trHeight w:val="225"/>
          <w:tblCellSpacing w:w="15" w:type="dxa"/>
        </w:trPr>
        <w:tc>
          <w:tcPr>
            <w:tcW w:w="0" w:type="auto"/>
            <w:vAlign w:val="center"/>
            <w:hideMark/>
          </w:tcPr>
          <w:p w14:paraId="00367A63"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501CE7A"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715B0618"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C05C4E6"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45F80E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2EE0CD20"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12A08BD"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49DF268"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7A695F03"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76EFC96" w14:textId="77777777" w:rsidR="00000000" w:rsidRDefault="00EB4933">
            <w:pPr>
              <w:pStyle w:val="NormalWeb"/>
              <w:spacing w:before="0" w:beforeAutospacing="0" w:after="0" w:afterAutospacing="0"/>
              <w:rPr>
                <w:sz w:val="20"/>
                <w:szCs w:val="20"/>
              </w:rPr>
            </w:pPr>
            <w:r>
              <w:rPr>
                <w:sz w:val="20"/>
                <w:szCs w:val="20"/>
              </w:rPr>
              <w:t> </w:t>
            </w:r>
          </w:p>
        </w:tc>
      </w:tr>
      <w:tr w:rsidR="00000000" w14:paraId="36ED9DFE" w14:textId="77777777">
        <w:trPr>
          <w:divId w:val="98525094"/>
          <w:trHeight w:val="225"/>
          <w:tblCellSpacing w:w="15" w:type="dxa"/>
        </w:trPr>
        <w:tc>
          <w:tcPr>
            <w:tcW w:w="0" w:type="auto"/>
            <w:hideMark/>
          </w:tcPr>
          <w:p w14:paraId="2FDBEB73" w14:textId="77777777" w:rsidR="00000000" w:rsidRDefault="00EB4933">
            <w:pPr>
              <w:pStyle w:val="NormalWeb"/>
              <w:spacing w:before="0" w:beforeAutospacing="0" w:after="0" w:afterAutospacing="0"/>
              <w:rPr>
                <w:sz w:val="20"/>
                <w:szCs w:val="20"/>
              </w:rPr>
            </w:pPr>
            <w:r>
              <w:rPr>
                <w:rStyle w:val="Strong"/>
                <w:sz w:val="20"/>
                <w:szCs w:val="20"/>
              </w:rPr>
              <w:t>Cash flow from operating activities</w:t>
            </w:r>
          </w:p>
        </w:tc>
        <w:tc>
          <w:tcPr>
            <w:tcW w:w="50" w:type="pct"/>
            <w:noWrap/>
            <w:vAlign w:val="center"/>
            <w:hideMark/>
          </w:tcPr>
          <w:p w14:paraId="22E45DF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2DF68A21"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61DD7F2"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1F25574"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8C50440"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9410588"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E7E1D0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472C8197"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1745500" w14:textId="77777777" w:rsidR="00000000" w:rsidRDefault="00EB4933">
            <w:pPr>
              <w:pStyle w:val="NormalWeb"/>
              <w:spacing w:before="0" w:beforeAutospacing="0" w:after="0" w:afterAutospacing="0"/>
              <w:rPr>
                <w:sz w:val="20"/>
                <w:szCs w:val="20"/>
              </w:rPr>
            </w:pPr>
            <w:r>
              <w:rPr>
                <w:sz w:val="20"/>
                <w:szCs w:val="20"/>
              </w:rPr>
              <w:t> </w:t>
            </w:r>
          </w:p>
        </w:tc>
      </w:tr>
      <w:tr w:rsidR="00000000" w14:paraId="15A6CA45" w14:textId="77777777">
        <w:trPr>
          <w:divId w:val="98525094"/>
          <w:trHeight w:val="225"/>
          <w:tblCellSpacing w:w="15" w:type="dxa"/>
        </w:trPr>
        <w:tc>
          <w:tcPr>
            <w:tcW w:w="0" w:type="auto"/>
            <w:shd w:val="clear" w:color="auto" w:fill="CCEEFF"/>
            <w:hideMark/>
          </w:tcPr>
          <w:p w14:paraId="54D2ED91" w14:textId="77777777" w:rsidR="00000000" w:rsidRDefault="00EB4933">
            <w:pPr>
              <w:pStyle w:val="NormalWeb"/>
              <w:spacing w:before="0" w:beforeAutospacing="0" w:after="0" w:afterAutospacing="0"/>
              <w:rPr>
                <w:sz w:val="20"/>
                <w:szCs w:val="20"/>
              </w:rPr>
            </w:pPr>
            <w:r>
              <w:rPr>
                <w:sz w:val="20"/>
                <w:szCs w:val="20"/>
              </w:rPr>
              <w:t>Profit before income taxes</w:t>
            </w:r>
          </w:p>
        </w:tc>
        <w:tc>
          <w:tcPr>
            <w:tcW w:w="50" w:type="pct"/>
            <w:shd w:val="clear" w:color="auto" w:fill="CCEEFF"/>
            <w:noWrap/>
            <w:vAlign w:val="center"/>
            <w:hideMark/>
          </w:tcPr>
          <w:p w14:paraId="3AF0BAC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3A3BB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512742A" w14:textId="77777777" w:rsidR="00000000" w:rsidRDefault="00EB4933">
            <w:pPr>
              <w:jc w:val="right"/>
              <w:rPr>
                <w:rFonts w:eastAsia="Times New Roman"/>
                <w:sz w:val="20"/>
                <w:szCs w:val="20"/>
              </w:rPr>
            </w:pPr>
            <w:r>
              <w:rPr>
                <w:rFonts w:eastAsia="Times New Roman"/>
                <w:sz w:val="20"/>
                <w:szCs w:val="20"/>
              </w:rPr>
              <w:t>44,376</w:t>
            </w:r>
          </w:p>
        </w:tc>
        <w:tc>
          <w:tcPr>
            <w:tcW w:w="50" w:type="pct"/>
            <w:shd w:val="clear" w:color="auto" w:fill="CCEEFF"/>
            <w:noWrap/>
            <w:vAlign w:val="center"/>
            <w:hideMark/>
          </w:tcPr>
          <w:p w14:paraId="7FFF331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56FBC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05CAA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93C158C" w14:textId="77777777" w:rsidR="00000000" w:rsidRDefault="00EB4933">
            <w:pPr>
              <w:jc w:val="right"/>
              <w:rPr>
                <w:rFonts w:eastAsia="Times New Roman"/>
                <w:sz w:val="20"/>
                <w:szCs w:val="20"/>
              </w:rPr>
            </w:pPr>
            <w:r>
              <w:rPr>
                <w:rFonts w:eastAsia="Times New Roman"/>
                <w:sz w:val="20"/>
                <w:szCs w:val="20"/>
              </w:rPr>
              <w:t>26,188</w:t>
            </w:r>
          </w:p>
        </w:tc>
        <w:tc>
          <w:tcPr>
            <w:tcW w:w="50" w:type="pct"/>
            <w:shd w:val="clear" w:color="auto" w:fill="CCEEFF"/>
            <w:noWrap/>
            <w:vAlign w:val="center"/>
            <w:hideMark/>
          </w:tcPr>
          <w:p w14:paraId="4113947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34908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9A1E7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1902370" w14:textId="77777777" w:rsidR="00000000" w:rsidRDefault="00EB4933">
            <w:pPr>
              <w:jc w:val="right"/>
              <w:rPr>
                <w:rFonts w:eastAsia="Times New Roman"/>
                <w:sz w:val="20"/>
                <w:szCs w:val="20"/>
              </w:rPr>
            </w:pPr>
            <w:r>
              <w:rPr>
                <w:rFonts w:eastAsia="Times New Roman"/>
                <w:sz w:val="20"/>
                <w:szCs w:val="20"/>
              </w:rPr>
              <w:t>58,616</w:t>
            </w:r>
          </w:p>
        </w:tc>
        <w:tc>
          <w:tcPr>
            <w:tcW w:w="50" w:type="pct"/>
            <w:shd w:val="clear" w:color="auto" w:fill="CCEEFF"/>
            <w:noWrap/>
            <w:vAlign w:val="center"/>
            <w:hideMark/>
          </w:tcPr>
          <w:p w14:paraId="11AC2F7F" w14:textId="77777777" w:rsidR="00000000" w:rsidRDefault="00EB4933">
            <w:pPr>
              <w:pStyle w:val="NormalWeb"/>
              <w:spacing w:before="0" w:beforeAutospacing="0" w:after="0" w:afterAutospacing="0"/>
              <w:rPr>
                <w:sz w:val="20"/>
                <w:szCs w:val="20"/>
              </w:rPr>
            </w:pPr>
            <w:r>
              <w:rPr>
                <w:sz w:val="20"/>
                <w:szCs w:val="20"/>
              </w:rPr>
              <w:t> </w:t>
            </w:r>
          </w:p>
        </w:tc>
      </w:tr>
      <w:tr w:rsidR="00000000" w14:paraId="1505259D" w14:textId="77777777">
        <w:trPr>
          <w:divId w:val="98525094"/>
          <w:trHeight w:val="225"/>
          <w:tblCellSpacing w:w="15" w:type="dxa"/>
        </w:trPr>
        <w:tc>
          <w:tcPr>
            <w:tcW w:w="0" w:type="auto"/>
            <w:shd w:val="clear" w:color="auto" w:fill="FFFFFF"/>
            <w:hideMark/>
          </w:tcPr>
          <w:p w14:paraId="3AAA81B6" w14:textId="77777777" w:rsidR="00000000" w:rsidRDefault="00EB4933">
            <w:pPr>
              <w:pStyle w:val="NormalWeb"/>
              <w:spacing w:before="0" w:beforeAutospacing="0" w:after="0" w:afterAutospacing="0"/>
              <w:rPr>
                <w:sz w:val="20"/>
                <w:szCs w:val="20"/>
              </w:rPr>
            </w:pPr>
            <w:r>
              <w:rPr>
                <w:rStyle w:val="Strong"/>
                <w:sz w:val="20"/>
                <w:szCs w:val="20"/>
              </w:rPr>
              <w:t>Adjustments for:</w:t>
            </w:r>
          </w:p>
        </w:tc>
        <w:tc>
          <w:tcPr>
            <w:tcW w:w="50" w:type="pct"/>
            <w:shd w:val="clear" w:color="auto" w:fill="FFFFFF"/>
            <w:noWrap/>
            <w:vAlign w:val="center"/>
            <w:hideMark/>
          </w:tcPr>
          <w:p w14:paraId="3A3EEDA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2F3F2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E96E38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A3B7D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D1830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9BC8F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F7921B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0E501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23D64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DF492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F06AA0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B572E2" w14:textId="77777777" w:rsidR="00000000" w:rsidRDefault="00EB4933">
            <w:pPr>
              <w:pStyle w:val="NormalWeb"/>
              <w:spacing w:before="0" w:beforeAutospacing="0" w:after="0" w:afterAutospacing="0"/>
              <w:rPr>
                <w:sz w:val="20"/>
                <w:szCs w:val="20"/>
              </w:rPr>
            </w:pPr>
            <w:r>
              <w:rPr>
                <w:sz w:val="20"/>
                <w:szCs w:val="20"/>
              </w:rPr>
              <w:t> </w:t>
            </w:r>
          </w:p>
        </w:tc>
      </w:tr>
      <w:tr w:rsidR="00000000" w14:paraId="76F12E57" w14:textId="77777777">
        <w:trPr>
          <w:divId w:val="98525094"/>
          <w:trHeight w:val="225"/>
          <w:tblCellSpacing w:w="15" w:type="dxa"/>
        </w:trPr>
        <w:tc>
          <w:tcPr>
            <w:tcW w:w="0" w:type="auto"/>
            <w:shd w:val="clear" w:color="auto" w:fill="CCEEFF"/>
            <w:hideMark/>
          </w:tcPr>
          <w:p w14:paraId="0180C5E4" w14:textId="77777777" w:rsidR="00000000" w:rsidRDefault="00EB4933">
            <w:pPr>
              <w:pStyle w:val="NormalWeb"/>
              <w:spacing w:before="0" w:beforeAutospacing="0" w:after="0" w:afterAutospacing="0"/>
              <w:rPr>
                <w:sz w:val="20"/>
                <w:szCs w:val="20"/>
              </w:rPr>
            </w:pPr>
            <w:r>
              <w:rPr>
                <w:sz w:val="20"/>
                <w:szCs w:val="20"/>
              </w:rPr>
              <w:t>Depreciation of property and equipment</w:t>
            </w:r>
          </w:p>
        </w:tc>
        <w:tc>
          <w:tcPr>
            <w:tcW w:w="50" w:type="pct"/>
            <w:shd w:val="clear" w:color="auto" w:fill="CCEEFF"/>
            <w:noWrap/>
            <w:vAlign w:val="center"/>
            <w:hideMark/>
          </w:tcPr>
          <w:p w14:paraId="443464B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09873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D963FFE" w14:textId="77777777" w:rsidR="00000000" w:rsidRDefault="00EB4933">
            <w:pPr>
              <w:jc w:val="right"/>
              <w:rPr>
                <w:rFonts w:eastAsia="Times New Roman"/>
                <w:sz w:val="20"/>
                <w:szCs w:val="20"/>
              </w:rPr>
            </w:pPr>
            <w:r>
              <w:rPr>
                <w:rFonts w:eastAsia="Times New Roman"/>
                <w:sz w:val="20"/>
                <w:szCs w:val="20"/>
              </w:rPr>
              <w:t>441</w:t>
            </w:r>
          </w:p>
        </w:tc>
        <w:tc>
          <w:tcPr>
            <w:tcW w:w="50" w:type="pct"/>
            <w:shd w:val="clear" w:color="auto" w:fill="CCEEFF"/>
            <w:noWrap/>
            <w:vAlign w:val="center"/>
            <w:hideMark/>
          </w:tcPr>
          <w:p w14:paraId="3821F7B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2A39A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F15D6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69A288B" w14:textId="77777777" w:rsidR="00000000" w:rsidRDefault="00EB4933">
            <w:pPr>
              <w:jc w:val="right"/>
              <w:rPr>
                <w:rFonts w:eastAsia="Times New Roman"/>
                <w:sz w:val="20"/>
                <w:szCs w:val="20"/>
              </w:rPr>
            </w:pPr>
            <w:r>
              <w:rPr>
                <w:rFonts w:eastAsia="Times New Roman"/>
                <w:sz w:val="20"/>
                <w:szCs w:val="20"/>
              </w:rPr>
              <w:t>818</w:t>
            </w:r>
          </w:p>
        </w:tc>
        <w:tc>
          <w:tcPr>
            <w:tcW w:w="50" w:type="pct"/>
            <w:shd w:val="clear" w:color="auto" w:fill="CCEEFF"/>
            <w:noWrap/>
            <w:vAlign w:val="center"/>
            <w:hideMark/>
          </w:tcPr>
          <w:p w14:paraId="33121F5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48DA9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F7B7F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C594D07" w14:textId="77777777" w:rsidR="00000000" w:rsidRDefault="00EB4933">
            <w:pPr>
              <w:jc w:val="right"/>
              <w:rPr>
                <w:rFonts w:eastAsia="Times New Roman"/>
                <w:sz w:val="20"/>
                <w:szCs w:val="20"/>
              </w:rPr>
            </w:pPr>
            <w:r>
              <w:rPr>
                <w:rFonts w:eastAsia="Times New Roman"/>
                <w:sz w:val="20"/>
                <w:szCs w:val="20"/>
              </w:rPr>
              <w:t>2,944</w:t>
            </w:r>
          </w:p>
        </w:tc>
        <w:tc>
          <w:tcPr>
            <w:tcW w:w="50" w:type="pct"/>
            <w:shd w:val="clear" w:color="auto" w:fill="CCEEFF"/>
            <w:noWrap/>
            <w:vAlign w:val="center"/>
            <w:hideMark/>
          </w:tcPr>
          <w:p w14:paraId="38ECFEA1" w14:textId="77777777" w:rsidR="00000000" w:rsidRDefault="00EB4933">
            <w:pPr>
              <w:pStyle w:val="NormalWeb"/>
              <w:spacing w:before="0" w:beforeAutospacing="0" w:after="0" w:afterAutospacing="0"/>
              <w:rPr>
                <w:sz w:val="20"/>
                <w:szCs w:val="20"/>
              </w:rPr>
            </w:pPr>
            <w:r>
              <w:rPr>
                <w:sz w:val="20"/>
                <w:szCs w:val="20"/>
              </w:rPr>
              <w:t> </w:t>
            </w:r>
          </w:p>
        </w:tc>
      </w:tr>
      <w:tr w:rsidR="00000000" w14:paraId="2B364CA8" w14:textId="77777777">
        <w:trPr>
          <w:divId w:val="98525094"/>
          <w:trHeight w:val="225"/>
          <w:tblCellSpacing w:w="15" w:type="dxa"/>
        </w:trPr>
        <w:tc>
          <w:tcPr>
            <w:tcW w:w="0" w:type="auto"/>
            <w:shd w:val="clear" w:color="auto" w:fill="FFFFFF"/>
            <w:hideMark/>
          </w:tcPr>
          <w:p w14:paraId="1D8BC73A" w14:textId="77777777" w:rsidR="00000000" w:rsidRDefault="00EB4933">
            <w:pPr>
              <w:pStyle w:val="NormalWeb"/>
              <w:spacing w:before="0" w:beforeAutospacing="0" w:after="0" w:afterAutospacing="0"/>
              <w:rPr>
                <w:sz w:val="20"/>
                <w:szCs w:val="20"/>
              </w:rPr>
            </w:pPr>
            <w:r>
              <w:rPr>
                <w:sz w:val="20"/>
                <w:szCs w:val="20"/>
              </w:rPr>
              <w:t>Amortization of intangible assets</w:t>
            </w:r>
          </w:p>
        </w:tc>
        <w:tc>
          <w:tcPr>
            <w:tcW w:w="50" w:type="pct"/>
            <w:shd w:val="clear" w:color="auto" w:fill="FFFFFF"/>
            <w:noWrap/>
            <w:vAlign w:val="center"/>
            <w:hideMark/>
          </w:tcPr>
          <w:p w14:paraId="1666CD3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DBAC5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66E8A81"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9C419A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18259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67D6B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AA627A5"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34B98A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2BB22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5E758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3D0BE4C" w14:textId="77777777" w:rsidR="00000000" w:rsidRDefault="00EB4933">
            <w:pPr>
              <w:jc w:val="right"/>
              <w:rPr>
                <w:rFonts w:eastAsia="Times New Roman"/>
                <w:sz w:val="20"/>
                <w:szCs w:val="20"/>
              </w:rPr>
            </w:pPr>
            <w:r>
              <w:rPr>
                <w:rFonts w:eastAsia="Times New Roman"/>
                <w:sz w:val="20"/>
                <w:szCs w:val="20"/>
              </w:rPr>
              <w:t>2</w:t>
            </w:r>
          </w:p>
        </w:tc>
        <w:tc>
          <w:tcPr>
            <w:tcW w:w="50" w:type="pct"/>
            <w:shd w:val="clear" w:color="auto" w:fill="FFFFFF"/>
            <w:noWrap/>
            <w:vAlign w:val="center"/>
            <w:hideMark/>
          </w:tcPr>
          <w:p w14:paraId="3A21513C" w14:textId="77777777" w:rsidR="00000000" w:rsidRDefault="00EB4933">
            <w:pPr>
              <w:pStyle w:val="NormalWeb"/>
              <w:spacing w:before="0" w:beforeAutospacing="0" w:after="0" w:afterAutospacing="0"/>
              <w:rPr>
                <w:sz w:val="20"/>
                <w:szCs w:val="20"/>
              </w:rPr>
            </w:pPr>
            <w:r>
              <w:rPr>
                <w:sz w:val="20"/>
                <w:szCs w:val="20"/>
              </w:rPr>
              <w:t> </w:t>
            </w:r>
          </w:p>
        </w:tc>
      </w:tr>
      <w:tr w:rsidR="00000000" w14:paraId="5B07B543" w14:textId="77777777">
        <w:trPr>
          <w:divId w:val="98525094"/>
          <w:trHeight w:val="225"/>
          <w:tblCellSpacing w:w="15" w:type="dxa"/>
        </w:trPr>
        <w:tc>
          <w:tcPr>
            <w:tcW w:w="0" w:type="auto"/>
            <w:shd w:val="clear" w:color="auto" w:fill="CCEEFF"/>
            <w:hideMark/>
          </w:tcPr>
          <w:p w14:paraId="5D27850C" w14:textId="77777777" w:rsidR="00000000" w:rsidRDefault="00EB4933">
            <w:pPr>
              <w:pStyle w:val="NormalWeb"/>
              <w:spacing w:before="0" w:beforeAutospacing="0" w:after="0" w:afterAutospacing="0"/>
              <w:rPr>
                <w:sz w:val="20"/>
                <w:szCs w:val="20"/>
              </w:rPr>
            </w:pPr>
            <w:r>
              <w:rPr>
                <w:sz w:val="20"/>
                <w:szCs w:val="20"/>
              </w:rPr>
              <w:t>Gain on disposal of property and equipment</w:t>
            </w:r>
          </w:p>
        </w:tc>
        <w:tc>
          <w:tcPr>
            <w:tcW w:w="50" w:type="pct"/>
            <w:shd w:val="clear" w:color="auto" w:fill="CCEEFF"/>
            <w:noWrap/>
            <w:vAlign w:val="center"/>
            <w:hideMark/>
          </w:tcPr>
          <w:p w14:paraId="50280A2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1A707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059F141"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5892AE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3F7CB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9F628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D948361"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580F71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93A81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A51EF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FA135E2" w14:textId="77777777" w:rsidR="00000000" w:rsidRDefault="00EB4933">
            <w:pPr>
              <w:jc w:val="right"/>
              <w:rPr>
                <w:rFonts w:eastAsia="Times New Roman"/>
                <w:sz w:val="20"/>
                <w:szCs w:val="20"/>
              </w:rPr>
            </w:pPr>
            <w:r>
              <w:rPr>
                <w:rFonts w:eastAsia="Times New Roman"/>
                <w:sz w:val="20"/>
                <w:szCs w:val="20"/>
              </w:rPr>
              <w:t>(174</w:t>
            </w:r>
          </w:p>
        </w:tc>
        <w:tc>
          <w:tcPr>
            <w:tcW w:w="50" w:type="pct"/>
            <w:shd w:val="clear" w:color="auto" w:fill="CCEEFF"/>
            <w:noWrap/>
            <w:vAlign w:val="bottom"/>
            <w:hideMark/>
          </w:tcPr>
          <w:p w14:paraId="569CDE44" w14:textId="77777777" w:rsidR="00000000" w:rsidRDefault="00EB4933">
            <w:pPr>
              <w:rPr>
                <w:rFonts w:eastAsia="Times New Roman"/>
                <w:sz w:val="20"/>
                <w:szCs w:val="20"/>
              </w:rPr>
            </w:pPr>
            <w:r>
              <w:rPr>
                <w:rFonts w:eastAsia="Times New Roman"/>
                <w:sz w:val="20"/>
                <w:szCs w:val="20"/>
              </w:rPr>
              <w:t>)</w:t>
            </w:r>
          </w:p>
        </w:tc>
      </w:tr>
      <w:tr w:rsidR="00000000" w14:paraId="06334042" w14:textId="77777777">
        <w:trPr>
          <w:divId w:val="98525094"/>
          <w:trHeight w:val="225"/>
          <w:tblCellSpacing w:w="15" w:type="dxa"/>
        </w:trPr>
        <w:tc>
          <w:tcPr>
            <w:tcW w:w="0" w:type="auto"/>
            <w:shd w:val="clear" w:color="auto" w:fill="FFFFFF"/>
            <w:hideMark/>
          </w:tcPr>
          <w:p w14:paraId="51C1AE05" w14:textId="77777777" w:rsidR="00000000" w:rsidRDefault="00EB4933">
            <w:pPr>
              <w:pStyle w:val="NormalWeb"/>
              <w:spacing w:before="0" w:beforeAutospacing="0" w:after="0" w:afterAutospacing="0"/>
              <w:rPr>
                <w:sz w:val="20"/>
                <w:szCs w:val="20"/>
              </w:rPr>
            </w:pPr>
            <w:r>
              <w:rPr>
                <w:sz w:val="20"/>
                <w:szCs w:val="20"/>
              </w:rPr>
              <w:t>Share-based compensation</w:t>
            </w:r>
          </w:p>
        </w:tc>
        <w:tc>
          <w:tcPr>
            <w:tcW w:w="50" w:type="pct"/>
            <w:shd w:val="clear" w:color="auto" w:fill="FFFFFF"/>
            <w:noWrap/>
            <w:vAlign w:val="center"/>
            <w:hideMark/>
          </w:tcPr>
          <w:p w14:paraId="0E3DD82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99031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A185D6E"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3C4F0F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5C3F4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F4EFC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59E4182" w14:textId="77777777" w:rsidR="00000000" w:rsidRDefault="00EB4933">
            <w:pPr>
              <w:jc w:val="right"/>
              <w:rPr>
                <w:rFonts w:eastAsia="Times New Roman"/>
                <w:sz w:val="20"/>
                <w:szCs w:val="20"/>
              </w:rPr>
            </w:pPr>
            <w:r>
              <w:rPr>
                <w:rFonts w:eastAsia="Times New Roman"/>
                <w:sz w:val="20"/>
                <w:szCs w:val="20"/>
              </w:rPr>
              <w:t>689</w:t>
            </w:r>
          </w:p>
        </w:tc>
        <w:tc>
          <w:tcPr>
            <w:tcW w:w="50" w:type="pct"/>
            <w:shd w:val="clear" w:color="auto" w:fill="FFFFFF"/>
            <w:noWrap/>
            <w:vAlign w:val="center"/>
            <w:hideMark/>
          </w:tcPr>
          <w:p w14:paraId="0344113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56120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FF3BB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7A3A94A" w14:textId="77777777" w:rsidR="00000000" w:rsidRDefault="00EB4933">
            <w:pPr>
              <w:jc w:val="right"/>
              <w:rPr>
                <w:rFonts w:eastAsia="Times New Roman"/>
                <w:sz w:val="20"/>
                <w:szCs w:val="20"/>
              </w:rPr>
            </w:pPr>
            <w:r>
              <w:rPr>
                <w:rFonts w:eastAsia="Times New Roman"/>
                <w:sz w:val="20"/>
                <w:szCs w:val="20"/>
              </w:rPr>
              <w:t>75</w:t>
            </w:r>
          </w:p>
        </w:tc>
        <w:tc>
          <w:tcPr>
            <w:tcW w:w="50" w:type="pct"/>
            <w:shd w:val="clear" w:color="auto" w:fill="FFFFFF"/>
            <w:noWrap/>
            <w:vAlign w:val="center"/>
            <w:hideMark/>
          </w:tcPr>
          <w:p w14:paraId="4CA23760" w14:textId="77777777" w:rsidR="00000000" w:rsidRDefault="00EB4933">
            <w:pPr>
              <w:pStyle w:val="NormalWeb"/>
              <w:spacing w:before="0" w:beforeAutospacing="0" w:after="0" w:afterAutospacing="0"/>
              <w:rPr>
                <w:sz w:val="20"/>
                <w:szCs w:val="20"/>
              </w:rPr>
            </w:pPr>
            <w:r>
              <w:rPr>
                <w:sz w:val="20"/>
                <w:szCs w:val="20"/>
              </w:rPr>
              <w:t> </w:t>
            </w:r>
          </w:p>
        </w:tc>
      </w:tr>
      <w:tr w:rsidR="00000000" w14:paraId="2EF297AB" w14:textId="77777777">
        <w:trPr>
          <w:divId w:val="98525094"/>
          <w:trHeight w:val="225"/>
          <w:tblCellSpacing w:w="15" w:type="dxa"/>
        </w:trPr>
        <w:tc>
          <w:tcPr>
            <w:tcW w:w="0" w:type="auto"/>
            <w:shd w:val="clear" w:color="auto" w:fill="CCEEFF"/>
            <w:hideMark/>
          </w:tcPr>
          <w:p w14:paraId="7734EA68" w14:textId="77777777" w:rsidR="00000000" w:rsidRDefault="00EB4933">
            <w:pPr>
              <w:pStyle w:val="NormalWeb"/>
              <w:spacing w:before="0" w:beforeAutospacing="0" w:after="0" w:afterAutospacing="0"/>
              <w:rPr>
                <w:sz w:val="20"/>
                <w:szCs w:val="20"/>
              </w:rPr>
            </w:pPr>
            <w:r>
              <w:rPr>
                <w:sz w:val="20"/>
                <w:szCs w:val="20"/>
              </w:rPr>
              <w:t xml:space="preserve">Credit impairment losses </w:t>
            </w:r>
          </w:p>
        </w:tc>
        <w:tc>
          <w:tcPr>
            <w:tcW w:w="50" w:type="pct"/>
            <w:shd w:val="clear" w:color="auto" w:fill="CCEEFF"/>
            <w:noWrap/>
            <w:vAlign w:val="center"/>
            <w:hideMark/>
          </w:tcPr>
          <w:p w14:paraId="44118E1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085015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9923409" w14:textId="77777777" w:rsidR="00000000" w:rsidRDefault="00EB4933">
            <w:pPr>
              <w:jc w:val="right"/>
              <w:rPr>
                <w:rFonts w:eastAsia="Times New Roman"/>
                <w:sz w:val="20"/>
                <w:szCs w:val="20"/>
              </w:rPr>
            </w:pPr>
            <w:r>
              <w:rPr>
                <w:rFonts w:eastAsia="Times New Roman"/>
                <w:sz w:val="20"/>
                <w:szCs w:val="20"/>
              </w:rPr>
              <w:t>3,580</w:t>
            </w:r>
          </w:p>
        </w:tc>
        <w:tc>
          <w:tcPr>
            <w:tcW w:w="50" w:type="pct"/>
            <w:shd w:val="clear" w:color="auto" w:fill="CCEEFF"/>
            <w:noWrap/>
            <w:tcMar>
              <w:top w:w="0" w:type="dxa"/>
              <w:left w:w="0" w:type="dxa"/>
              <w:bottom w:w="15" w:type="dxa"/>
              <w:right w:w="0" w:type="dxa"/>
            </w:tcMar>
            <w:vAlign w:val="center"/>
            <w:hideMark/>
          </w:tcPr>
          <w:p w14:paraId="38E322C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BACAA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4FDE4C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B3F6EDB" w14:textId="77777777" w:rsidR="00000000" w:rsidRDefault="00EB4933">
            <w:pPr>
              <w:jc w:val="right"/>
              <w:rPr>
                <w:rFonts w:eastAsia="Times New Roman"/>
                <w:sz w:val="20"/>
                <w:szCs w:val="20"/>
              </w:rPr>
            </w:pPr>
            <w:r>
              <w:rPr>
                <w:rFonts w:eastAsia="Times New Roman"/>
                <w:sz w:val="20"/>
                <w:szCs w:val="20"/>
              </w:rPr>
              <w:t>66,904</w:t>
            </w:r>
          </w:p>
        </w:tc>
        <w:tc>
          <w:tcPr>
            <w:tcW w:w="50" w:type="pct"/>
            <w:shd w:val="clear" w:color="auto" w:fill="CCEEFF"/>
            <w:noWrap/>
            <w:tcMar>
              <w:top w:w="0" w:type="dxa"/>
              <w:left w:w="0" w:type="dxa"/>
              <w:bottom w:w="15" w:type="dxa"/>
              <w:right w:w="0" w:type="dxa"/>
            </w:tcMar>
            <w:vAlign w:val="center"/>
            <w:hideMark/>
          </w:tcPr>
          <w:p w14:paraId="0B8C8DF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30193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244724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6E0EE13" w14:textId="77777777" w:rsidR="00000000" w:rsidRDefault="00EB4933">
            <w:pPr>
              <w:jc w:val="right"/>
              <w:rPr>
                <w:rFonts w:eastAsia="Times New Roman"/>
                <w:sz w:val="20"/>
                <w:szCs w:val="20"/>
              </w:rPr>
            </w:pPr>
            <w:r>
              <w:rPr>
                <w:rFonts w:eastAsia="Times New Roman"/>
                <w:sz w:val="20"/>
                <w:szCs w:val="20"/>
              </w:rPr>
              <w:t>24,694</w:t>
            </w:r>
          </w:p>
        </w:tc>
        <w:tc>
          <w:tcPr>
            <w:tcW w:w="50" w:type="pct"/>
            <w:shd w:val="clear" w:color="auto" w:fill="CCEEFF"/>
            <w:noWrap/>
            <w:tcMar>
              <w:top w:w="0" w:type="dxa"/>
              <w:left w:w="0" w:type="dxa"/>
              <w:bottom w:w="15" w:type="dxa"/>
              <w:right w:w="0" w:type="dxa"/>
            </w:tcMar>
            <w:vAlign w:val="center"/>
            <w:hideMark/>
          </w:tcPr>
          <w:p w14:paraId="5E1A3866" w14:textId="77777777" w:rsidR="00000000" w:rsidRDefault="00EB4933">
            <w:pPr>
              <w:pStyle w:val="NormalWeb"/>
              <w:spacing w:before="0" w:beforeAutospacing="0" w:after="0" w:afterAutospacing="0"/>
              <w:rPr>
                <w:sz w:val="20"/>
                <w:szCs w:val="20"/>
              </w:rPr>
            </w:pPr>
            <w:r>
              <w:rPr>
                <w:sz w:val="20"/>
                <w:szCs w:val="20"/>
              </w:rPr>
              <w:t> </w:t>
            </w:r>
          </w:p>
        </w:tc>
      </w:tr>
      <w:tr w:rsidR="00000000" w14:paraId="148BE0C6" w14:textId="77777777">
        <w:trPr>
          <w:divId w:val="98525094"/>
          <w:trHeight w:val="225"/>
          <w:tblCellSpacing w:w="15" w:type="dxa"/>
        </w:trPr>
        <w:tc>
          <w:tcPr>
            <w:tcW w:w="0" w:type="auto"/>
            <w:shd w:val="clear" w:color="auto" w:fill="FFFFFF"/>
            <w:hideMark/>
          </w:tcPr>
          <w:p w14:paraId="2BB14334" w14:textId="77777777" w:rsidR="00000000" w:rsidRDefault="00EB4933">
            <w:pPr>
              <w:pStyle w:val="NormalWeb"/>
              <w:spacing w:before="0" w:beforeAutospacing="0" w:after="0" w:afterAutospacing="0"/>
              <w:rPr>
                <w:sz w:val="20"/>
                <w:szCs w:val="20"/>
              </w:rPr>
            </w:pPr>
            <w:r>
              <w:rPr>
                <w:rStyle w:val="Strong"/>
                <w:sz w:val="20"/>
                <w:szCs w:val="20"/>
              </w:rPr>
              <w:t>Operating profit before changes in working capital</w:t>
            </w:r>
          </w:p>
        </w:tc>
        <w:tc>
          <w:tcPr>
            <w:tcW w:w="50" w:type="pct"/>
            <w:shd w:val="clear" w:color="auto" w:fill="FFFFFF"/>
            <w:noWrap/>
            <w:vAlign w:val="center"/>
            <w:hideMark/>
          </w:tcPr>
          <w:p w14:paraId="4A6BF1B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23D7F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C1FD45A" w14:textId="77777777" w:rsidR="00000000" w:rsidRDefault="00EB4933">
            <w:pPr>
              <w:jc w:val="right"/>
              <w:rPr>
                <w:rFonts w:eastAsia="Times New Roman"/>
                <w:sz w:val="20"/>
                <w:szCs w:val="20"/>
              </w:rPr>
            </w:pPr>
            <w:r>
              <w:rPr>
                <w:rFonts w:eastAsia="Times New Roman"/>
                <w:sz w:val="20"/>
                <w:szCs w:val="20"/>
              </w:rPr>
              <w:t>48,397</w:t>
            </w:r>
          </w:p>
        </w:tc>
        <w:tc>
          <w:tcPr>
            <w:tcW w:w="50" w:type="pct"/>
            <w:shd w:val="clear" w:color="auto" w:fill="FFFFFF"/>
            <w:noWrap/>
            <w:vAlign w:val="center"/>
            <w:hideMark/>
          </w:tcPr>
          <w:p w14:paraId="2C22431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7453E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C44FA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C30F8D0" w14:textId="77777777" w:rsidR="00000000" w:rsidRDefault="00EB4933">
            <w:pPr>
              <w:jc w:val="right"/>
              <w:rPr>
                <w:rFonts w:eastAsia="Times New Roman"/>
                <w:sz w:val="20"/>
                <w:szCs w:val="20"/>
              </w:rPr>
            </w:pPr>
            <w:r>
              <w:rPr>
                <w:rFonts w:eastAsia="Times New Roman"/>
                <w:sz w:val="20"/>
                <w:szCs w:val="20"/>
              </w:rPr>
              <w:t>94,599</w:t>
            </w:r>
          </w:p>
        </w:tc>
        <w:tc>
          <w:tcPr>
            <w:tcW w:w="50" w:type="pct"/>
            <w:shd w:val="clear" w:color="auto" w:fill="FFFFFF"/>
            <w:noWrap/>
            <w:vAlign w:val="center"/>
            <w:hideMark/>
          </w:tcPr>
          <w:p w14:paraId="4DC6050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BC941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8B3F4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20774B8" w14:textId="77777777" w:rsidR="00000000" w:rsidRDefault="00EB4933">
            <w:pPr>
              <w:jc w:val="right"/>
              <w:rPr>
                <w:rFonts w:eastAsia="Times New Roman"/>
                <w:sz w:val="20"/>
                <w:szCs w:val="20"/>
              </w:rPr>
            </w:pPr>
            <w:r>
              <w:rPr>
                <w:rFonts w:eastAsia="Times New Roman"/>
                <w:sz w:val="20"/>
                <w:szCs w:val="20"/>
              </w:rPr>
              <w:t>86,157</w:t>
            </w:r>
          </w:p>
        </w:tc>
        <w:tc>
          <w:tcPr>
            <w:tcW w:w="50" w:type="pct"/>
            <w:shd w:val="clear" w:color="auto" w:fill="FFFFFF"/>
            <w:noWrap/>
            <w:vAlign w:val="center"/>
            <w:hideMark/>
          </w:tcPr>
          <w:p w14:paraId="731555DC" w14:textId="77777777" w:rsidR="00000000" w:rsidRDefault="00EB4933">
            <w:pPr>
              <w:pStyle w:val="NormalWeb"/>
              <w:spacing w:before="0" w:beforeAutospacing="0" w:after="0" w:afterAutospacing="0"/>
              <w:rPr>
                <w:sz w:val="20"/>
                <w:szCs w:val="20"/>
              </w:rPr>
            </w:pPr>
            <w:r>
              <w:rPr>
                <w:sz w:val="20"/>
                <w:szCs w:val="20"/>
              </w:rPr>
              <w:t> </w:t>
            </w:r>
          </w:p>
        </w:tc>
      </w:tr>
      <w:tr w:rsidR="00000000" w14:paraId="12259BA5" w14:textId="77777777">
        <w:trPr>
          <w:divId w:val="98525094"/>
          <w:trHeight w:val="225"/>
          <w:tblCellSpacing w:w="15" w:type="dxa"/>
        </w:trPr>
        <w:tc>
          <w:tcPr>
            <w:tcW w:w="0" w:type="auto"/>
            <w:shd w:val="clear" w:color="auto" w:fill="CCEEFF"/>
            <w:hideMark/>
          </w:tcPr>
          <w:p w14:paraId="553ABC1C" w14:textId="77777777" w:rsidR="00000000" w:rsidRDefault="00EB4933">
            <w:pPr>
              <w:pStyle w:val="NormalWeb"/>
              <w:spacing w:before="0" w:beforeAutospacing="0" w:after="0" w:afterAutospacing="0"/>
              <w:rPr>
                <w:sz w:val="20"/>
                <w:szCs w:val="20"/>
              </w:rPr>
            </w:pPr>
            <w:r>
              <w:rPr>
                <w:sz w:val="20"/>
                <w:szCs w:val="20"/>
              </w:rPr>
              <w:t>Interest receivables</w:t>
            </w:r>
          </w:p>
        </w:tc>
        <w:tc>
          <w:tcPr>
            <w:tcW w:w="50" w:type="pct"/>
            <w:shd w:val="clear" w:color="auto" w:fill="CCEEFF"/>
            <w:noWrap/>
            <w:vAlign w:val="center"/>
            <w:hideMark/>
          </w:tcPr>
          <w:p w14:paraId="494F502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C26A5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7766FB5" w14:textId="77777777" w:rsidR="00000000" w:rsidRDefault="00EB4933">
            <w:pPr>
              <w:jc w:val="right"/>
              <w:rPr>
                <w:rFonts w:eastAsia="Times New Roman"/>
                <w:sz w:val="20"/>
                <w:szCs w:val="20"/>
              </w:rPr>
            </w:pPr>
            <w:r>
              <w:rPr>
                <w:rFonts w:eastAsia="Times New Roman"/>
                <w:sz w:val="20"/>
                <w:szCs w:val="20"/>
              </w:rPr>
              <w:t>(19,487</w:t>
            </w:r>
          </w:p>
        </w:tc>
        <w:tc>
          <w:tcPr>
            <w:tcW w:w="50" w:type="pct"/>
            <w:shd w:val="clear" w:color="auto" w:fill="CCEEFF"/>
            <w:noWrap/>
            <w:vAlign w:val="bottom"/>
            <w:hideMark/>
          </w:tcPr>
          <w:p w14:paraId="15A86660"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86C1F6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FDAAE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C923CC1" w14:textId="77777777" w:rsidR="00000000" w:rsidRDefault="00EB4933">
            <w:pPr>
              <w:jc w:val="right"/>
              <w:rPr>
                <w:rFonts w:eastAsia="Times New Roman"/>
                <w:sz w:val="20"/>
                <w:szCs w:val="20"/>
              </w:rPr>
            </w:pPr>
            <w:r>
              <w:rPr>
                <w:rFonts w:eastAsia="Times New Roman"/>
                <w:sz w:val="20"/>
                <w:szCs w:val="20"/>
              </w:rPr>
              <w:t>4,933</w:t>
            </w:r>
          </w:p>
        </w:tc>
        <w:tc>
          <w:tcPr>
            <w:tcW w:w="50" w:type="pct"/>
            <w:shd w:val="clear" w:color="auto" w:fill="CCEEFF"/>
            <w:noWrap/>
            <w:vAlign w:val="center"/>
            <w:hideMark/>
          </w:tcPr>
          <w:p w14:paraId="013193F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06ABD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FA748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B54364E" w14:textId="77777777" w:rsidR="00000000" w:rsidRDefault="00EB4933">
            <w:pPr>
              <w:jc w:val="right"/>
              <w:rPr>
                <w:rFonts w:eastAsia="Times New Roman"/>
                <w:sz w:val="20"/>
                <w:szCs w:val="20"/>
              </w:rPr>
            </w:pPr>
            <w:r>
              <w:rPr>
                <w:rFonts w:eastAsia="Times New Roman"/>
                <w:sz w:val="20"/>
                <w:szCs w:val="20"/>
              </w:rPr>
              <w:t>7,057</w:t>
            </w:r>
          </w:p>
        </w:tc>
        <w:tc>
          <w:tcPr>
            <w:tcW w:w="50" w:type="pct"/>
            <w:shd w:val="clear" w:color="auto" w:fill="CCEEFF"/>
            <w:noWrap/>
            <w:vAlign w:val="center"/>
            <w:hideMark/>
          </w:tcPr>
          <w:p w14:paraId="58B42613" w14:textId="77777777" w:rsidR="00000000" w:rsidRDefault="00EB4933">
            <w:pPr>
              <w:pStyle w:val="NormalWeb"/>
              <w:spacing w:before="0" w:beforeAutospacing="0" w:after="0" w:afterAutospacing="0"/>
              <w:rPr>
                <w:sz w:val="20"/>
                <w:szCs w:val="20"/>
              </w:rPr>
            </w:pPr>
            <w:r>
              <w:rPr>
                <w:sz w:val="20"/>
                <w:szCs w:val="20"/>
              </w:rPr>
              <w:t> </w:t>
            </w:r>
          </w:p>
        </w:tc>
      </w:tr>
      <w:tr w:rsidR="00000000" w14:paraId="69621E20" w14:textId="77777777">
        <w:trPr>
          <w:divId w:val="98525094"/>
          <w:trHeight w:val="225"/>
          <w:tblCellSpacing w:w="15" w:type="dxa"/>
        </w:trPr>
        <w:tc>
          <w:tcPr>
            <w:tcW w:w="0" w:type="auto"/>
            <w:shd w:val="clear" w:color="auto" w:fill="FFFFFF"/>
            <w:hideMark/>
          </w:tcPr>
          <w:p w14:paraId="47D0BC44" w14:textId="77777777" w:rsidR="00000000" w:rsidRDefault="00EB4933">
            <w:pPr>
              <w:pStyle w:val="NormalWeb"/>
              <w:spacing w:before="0" w:beforeAutospacing="0" w:after="0" w:afterAutospacing="0"/>
              <w:rPr>
                <w:sz w:val="20"/>
                <w:szCs w:val="20"/>
              </w:rPr>
            </w:pPr>
            <w:r>
              <w:rPr>
                <w:sz w:val="20"/>
                <w:szCs w:val="20"/>
              </w:rPr>
              <w:t>Loan receivables</w:t>
            </w:r>
          </w:p>
        </w:tc>
        <w:tc>
          <w:tcPr>
            <w:tcW w:w="50" w:type="pct"/>
            <w:shd w:val="clear" w:color="auto" w:fill="FFFFFF"/>
            <w:noWrap/>
            <w:vAlign w:val="center"/>
            <w:hideMark/>
          </w:tcPr>
          <w:p w14:paraId="2DD366C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1BA81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A0CE149" w14:textId="77777777" w:rsidR="00000000" w:rsidRDefault="00EB4933">
            <w:pPr>
              <w:jc w:val="right"/>
              <w:rPr>
                <w:rFonts w:eastAsia="Times New Roman"/>
                <w:sz w:val="20"/>
                <w:szCs w:val="20"/>
              </w:rPr>
            </w:pPr>
            <w:r>
              <w:rPr>
                <w:rFonts w:eastAsia="Times New Roman"/>
                <w:sz w:val="20"/>
                <w:szCs w:val="20"/>
              </w:rPr>
              <w:t>(121,040</w:t>
            </w:r>
          </w:p>
        </w:tc>
        <w:tc>
          <w:tcPr>
            <w:tcW w:w="50" w:type="pct"/>
            <w:shd w:val="clear" w:color="auto" w:fill="FFFFFF"/>
            <w:noWrap/>
            <w:vAlign w:val="bottom"/>
            <w:hideMark/>
          </w:tcPr>
          <w:p w14:paraId="7B2B8050"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EE6724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B9DE6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A954D56" w14:textId="77777777" w:rsidR="00000000" w:rsidRDefault="00EB4933">
            <w:pPr>
              <w:jc w:val="right"/>
              <w:rPr>
                <w:rFonts w:eastAsia="Times New Roman"/>
                <w:sz w:val="20"/>
                <w:szCs w:val="20"/>
              </w:rPr>
            </w:pPr>
            <w:r>
              <w:rPr>
                <w:rFonts w:eastAsia="Times New Roman"/>
                <w:sz w:val="20"/>
                <w:szCs w:val="20"/>
              </w:rPr>
              <w:t>(79,577</w:t>
            </w:r>
          </w:p>
        </w:tc>
        <w:tc>
          <w:tcPr>
            <w:tcW w:w="50" w:type="pct"/>
            <w:shd w:val="clear" w:color="auto" w:fill="FFFFFF"/>
            <w:noWrap/>
            <w:vAlign w:val="bottom"/>
            <w:hideMark/>
          </w:tcPr>
          <w:p w14:paraId="7CC4C045"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31103B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C845A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4248D54" w14:textId="77777777" w:rsidR="00000000" w:rsidRDefault="00EB4933">
            <w:pPr>
              <w:jc w:val="right"/>
              <w:rPr>
                <w:rFonts w:eastAsia="Times New Roman"/>
                <w:sz w:val="20"/>
                <w:szCs w:val="20"/>
              </w:rPr>
            </w:pPr>
            <w:r>
              <w:rPr>
                <w:rFonts w:eastAsia="Times New Roman"/>
                <w:sz w:val="20"/>
                <w:szCs w:val="20"/>
              </w:rPr>
              <w:t>(70,131</w:t>
            </w:r>
          </w:p>
        </w:tc>
        <w:tc>
          <w:tcPr>
            <w:tcW w:w="50" w:type="pct"/>
            <w:shd w:val="clear" w:color="auto" w:fill="FFFFFF"/>
            <w:noWrap/>
            <w:vAlign w:val="bottom"/>
            <w:hideMark/>
          </w:tcPr>
          <w:p w14:paraId="494EA6CF" w14:textId="77777777" w:rsidR="00000000" w:rsidRDefault="00EB4933">
            <w:pPr>
              <w:rPr>
                <w:rFonts w:eastAsia="Times New Roman"/>
                <w:sz w:val="20"/>
                <w:szCs w:val="20"/>
              </w:rPr>
            </w:pPr>
            <w:r>
              <w:rPr>
                <w:rFonts w:eastAsia="Times New Roman"/>
                <w:sz w:val="20"/>
                <w:szCs w:val="20"/>
              </w:rPr>
              <w:t>)</w:t>
            </w:r>
          </w:p>
        </w:tc>
      </w:tr>
      <w:tr w:rsidR="00000000" w14:paraId="59AEFB40" w14:textId="77777777">
        <w:trPr>
          <w:divId w:val="98525094"/>
          <w:trHeight w:val="225"/>
          <w:tblCellSpacing w:w="15" w:type="dxa"/>
        </w:trPr>
        <w:tc>
          <w:tcPr>
            <w:tcW w:w="0" w:type="auto"/>
            <w:shd w:val="clear" w:color="auto" w:fill="CCEEFF"/>
            <w:hideMark/>
          </w:tcPr>
          <w:p w14:paraId="742AA40A" w14:textId="77777777" w:rsidR="00000000" w:rsidRDefault="00EB4933">
            <w:pPr>
              <w:pStyle w:val="NormalWeb"/>
              <w:spacing w:before="0" w:beforeAutospacing="0" w:after="0" w:afterAutospacing="0"/>
              <w:rPr>
                <w:sz w:val="20"/>
                <w:szCs w:val="20"/>
              </w:rPr>
            </w:pPr>
            <w:r>
              <w:rPr>
                <w:sz w:val="20"/>
                <w:szCs w:val="20"/>
              </w:rPr>
              <w:t>Prepaid expenses and others</w:t>
            </w:r>
          </w:p>
        </w:tc>
        <w:tc>
          <w:tcPr>
            <w:tcW w:w="50" w:type="pct"/>
            <w:shd w:val="clear" w:color="auto" w:fill="CCEEFF"/>
            <w:noWrap/>
            <w:vAlign w:val="center"/>
            <w:hideMark/>
          </w:tcPr>
          <w:p w14:paraId="22E3FB7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33949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8D86F2D" w14:textId="77777777" w:rsidR="00000000" w:rsidRDefault="00EB4933">
            <w:pPr>
              <w:jc w:val="right"/>
              <w:rPr>
                <w:rFonts w:eastAsia="Times New Roman"/>
                <w:sz w:val="20"/>
                <w:szCs w:val="20"/>
              </w:rPr>
            </w:pPr>
            <w:r>
              <w:rPr>
                <w:rFonts w:eastAsia="Times New Roman"/>
                <w:sz w:val="20"/>
                <w:szCs w:val="20"/>
              </w:rPr>
              <w:t>10,673</w:t>
            </w:r>
          </w:p>
        </w:tc>
        <w:tc>
          <w:tcPr>
            <w:tcW w:w="50" w:type="pct"/>
            <w:shd w:val="clear" w:color="auto" w:fill="CCEEFF"/>
            <w:noWrap/>
            <w:vAlign w:val="center"/>
            <w:hideMark/>
          </w:tcPr>
          <w:p w14:paraId="422DD0A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AACFE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F6384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9D96BD6" w14:textId="77777777" w:rsidR="00000000" w:rsidRDefault="00EB4933">
            <w:pPr>
              <w:jc w:val="right"/>
              <w:rPr>
                <w:rFonts w:eastAsia="Times New Roman"/>
                <w:sz w:val="20"/>
                <w:szCs w:val="20"/>
              </w:rPr>
            </w:pPr>
            <w:r>
              <w:rPr>
                <w:rFonts w:eastAsia="Times New Roman"/>
                <w:sz w:val="20"/>
                <w:szCs w:val="20"/>
              </w:rPr>
              <w:t>(555</w:t>
            </w:r>
          </w:p>
        </w:tc>
        <w:tc>
          <w:tcPr>
            <w:tcW w:w="50" w:type="pct"/>
            <w:shd w:val="clear" w:color="auto" w:fill="CCEEFF"/>
            <w:noWrap/>
            <w:vAlign w:val="bottom"/>
            <w:hideMark/>
          </w:tcPr>
          <w:p w14:paraId="750AB021"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613D57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F0998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63EE0CD" w14:textId="77777777" w:rsidR="00000000" w:rsidRDefault="00EB4933">
            <w:pPr>
              <w:jc w:val="right"/>
              <w:rPr>
                <w:rFonts w:eastAsia="Times New Roman"/>
                <w:sz w:val="20"/>
                <w:szCs w:val="20"/>
              </w:rPr>
            </w:pPr>
            <w:r>
              <w:rPr>
                <w:rFonts w:eastAsia="Times New Roman"/>
                <w:sz w:val="20"/>
                <w:szCs w:val="20"/>
              </w:rPr>
              <w:t>743</w:t>
            </w:r>
          </w:p>
        </w:tc>
        <w:tc>
          <w:tcPr>
            <w:tcW w:w="50" w:type="pct"/>
            <w:shd w:val="clear" w:color="auto" w:fill="CCEEFF"/>
            <w:noWrap/>
            <w:vAlign w:val="center"/>
            <w:hideMark/>
          </w:tcPr>
          <w:p w14:paraId="654315FA" w14:textId="77777777" w:rsidR="00000000" w:rsidRDefault="00EB4933">
            <w:pPr>
              <w:pStyle w:val="NormalWeb"/>
              <w:spacing w:before="0" w:beforeAutospacing="0" w:after="0" w:afterAutospacing="0"/>
              <w:rPr>
                <w:sz w:val="20"/>
                <w:szCs w:val="20"/>
              </w:rPr>
            </w:pPr>
            <w:r>
              <w:rPr>
                <w:sz w:val="20"/>
                <w:szCs w:val="20"/>
              </w:rPr>
              <w:t> </w:t>
            </w:r>
          </w:p>
        </w:tc>
      </w:tr>
      <w:tr w:rsidR="00000000" w14:paraId="38A661E7" w14:textId="77777777">
        <w:trPr>
          <w:divId w:val="98525094"/>
          <w:trHeight w:val="225"/>
          <w:tblCellSpacing w:w="15" w:type="dxa"/>
        </w:trPr>
        <w:tc>
          <w:tcPr>
            <w:tcW w:w="0" w:type="auto"/>
            <w:shd w:val="clear" w:color="auto" w:fill="FFFFFF"/>
            <w:hideMark/>
          </w:tcPr>
          <w:p w14:paraId="28E9A184" w14:textId="77777777" w:rsidR="00000000" w:rsidRDefault="00EB4933">
            <w:pPr>
              <w:pStyle w:val="NormalWeb"/>
              <w:spacing w:before="0" w:beforeAutospacing="0" w:after="0" w:afterAutospacing="0"/>
              <w:rPr>
                <w:sz w:val="20"/>
                <w:szCs w:val="20"/>
              </w:rPr>
            </w:pPr>
            <w:r>
              <w:rPr>
                <w:sz w:val="20"/>
                <w:szCs w:val="20"/>
              </w:rPr>
              <w:t>Advance from customers</w:t>
            </w:r>
          </w:p>
        </w:tc>
        <w:tc>
          <w:tcPr>
            <w:tcW w:w="50" w:type="pct"/>
            <w:shd w:val="clear" w:color="auto" w:fill="FFFFFF"/>
            <w:noWrap/>
            <w:vAlign w:val="center"/>
            <w:hideMark/>
          </w:tcPr>
          <w:p w14:paraId="25E6019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D715D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D6E47E6" w14:textId="77777777" w:rsidR="00000000" w:rsidRDefault="00EB4933">
            <w:pPr>
              <w:jc w:val="right"/>
              <w:rPr>
                <w:rFonts w:eastAsia="Times New Roman"/>
                <w:sz w:val="20"/>
                <w:szCs w:val="20"/>
              </w:rPr>
            </w:pPr>
            <w:r>
              <w:rPr>
                <w:rFonts w:eastAsia="Times New Roman"/>
                <w:sz w:val="20"/>
                <w:szCs w:val="20"/>
              </w:rPr>
              <w:t>(457</w:t>
            </w:r>
          </w:p>
        </w:tc>
        <w:tc>
          <w:tcPr>
            <w:tcW w:w="50" w:type="pct"/>
            <w:shd w:val="clear" w:color="auto" w:fill="FFFFFF"/>
            <w:noWrap/>
            <w:vAlign w:val="bottom"/>
            <w:hideMark/>
          </w:tcPr>
          <w:p w14:paraId="3AC93E7D"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56F05A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395D2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6B8119C" w14:textId="77777777" w:rsidR="00000000" w:rsidRDefault="00EB4933">
            <w:pPr>
              <w:jc w:val="right"/>
              <w:rPr>
                <w:rFonts w:eastAsia="Times New Roman"/>
                <w:sz w:val="20"/>
                <w:szCs w:val="20"/>
              </w:rPr>
            </w:pPr>
            <w:r>
              <w:rPr>
                <w:rFonts w:eastAsia="Times New Roman"/>
                <w:sz w:val="20"/>
                <w:szCs w:val="20"/>
              </w:rPr>
              <w:t>(142</w:t>
            </w:r>
          </w:p>
        </w:tc>
        <w:tc>
          <w:tcPr>
            <w:tcW w:w="50" w:type="pct"/>
            <w:shd w:val="clear" w:color="auto" w:fill="FFFFFF"/>
            <w:noWrap/>
            <w:vAlign w:val="bottom"/>
            <w:hideMark/>
          </w:tcPr>
          <w:p w14:paraId="0E888975"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70E03A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AFEA3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AB88502"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3D39FCE" w14:textId="77777777" w:rsidR="00000000" w:rsidRDefault="00EB4933">
            <w:pPr>
              <w:pStyle w:val="NormalWeb"/>
              <w:spacing w:before="0" w:beforeAutospacing="0" w:after="0" w:afterAutospacing="0"/>
              <w:rPr>
                <w:sz w:val="20"/>
                <w:szCs w:val="20"/>
              </w:rPr>
            </w:pPr>
            <w:r>
              <w:rPr>
                <w:sz w:val="20"/>
                <w:szCs w:val="20"/>
              </w:rPr>
              <w:t> </w:t>
            </w:r>
          </w:p>
        </w:tc>
      </w:tr>
      <w:tr w:rsidR="00000000" w14:paraId="05A0EFAA" w14:textId="77777777">
        <w:trPr>
          <w:divId w:val="98525094"/>
          <w:trHeight w:val="225"/>
          <w:tblCellSpacing w:w="15" w:type="dxa"/>
        </w:trPr>
        <w:tc>
          <w:tcPr>
            <w:tcW w:w="0" w:type="auto"/>
            <w:shd w:val="clear" w:color="auto" w:fill="CCEEFF"/>
            <w:hideMark/>
          </w:tcPr>
          <w:p w14:paraId="62069A01" w14:textId="77777777" w:rsidR="00000000" w:rsidRDefault="00EB4933">
            <w:pPr>
              <w:pStyle w:val="NormalWeb"/>
              <w:spacing w:before="0" w:beforeAutospacing="0" w:after="0" w:afterAutospacing="0"/>
              <w:rPr>
                <w:sz w:val="20"/>
                <w:szCs w:val="20"/>
              </w:rPr>
            </w:pPr>
            <w:r>
              <w:rPr>
                <w:sz w:val="20"/>
                <w:szCs w:val="20"/>
              </w:rPr>
              <w:t>Salary and benefit payable</w:t>
            </w:r>
          </w:p>
        </w:tc>
        <w:tc>
          <w:tcPr>
            <w:tcW w:w="50" w:type="pct"/>
            <w:shd w:val="clear" w:color="auto" w:fill="CCEEFF"/>
            <w:noWrap/>
            <w:vAlign w:val="center"/>
            <w:hideMark/>
          </w:tcPr>
          <w:p w14:paraId="324F165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18083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8007B00" w14:textId="77777777" w:rsidR="00000000" w:rsidRDefault="00EB4933">
            <w:pPr>
              <w:jc w:val="right"/>
              <w:rPr>
                <w:rFonts w:eastAsia="Times New Roman"/>
                <w:sz w:val="20"/>
                <w:szCs w:val="20"/>
              </w:rPr>
            </w:pPr>
            <w:r>
              <w:rPr>
                <w:rFonts w:eastAsia="Times New Roman"/>
                <w:sz w:val="20"/>
                <w:szCs w:val="20"/>
              </w:rPr>
              <w:t>1,254</w:t>
            </w:r>
          </w:p>
        </w:tc>
        <w:tc>
          <w:tcPr>
            <w:tcW w:w="50" w:type="pct"/>
            <w:shd w:val="clear" w:color="auto" w:fill="CCEEFF"/>
            <w:noWrap/>
            <w:vAlign w:val="center"/>
            <w:hideMark/>
          </w:tcPr>
          <w:p w14:paraId="457B985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90772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3817C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8F58D8E" w14:textId="77777777" w:rsidR="00000000" w:rsidRDefault="00EB4933">
            <w:pPr>
              <w:jc w:val="right"/>
              <w:rPr>
                <w:rFonts w:eastAsia="Times New Roman"/>
                <w:sz w:val="20"/>
                <w:szCs w:val="20"/>
              </w:rPr>
            </w:pPr>
            <w:r>
              <w:rPr>
                <w:rFonts w:eastAsia="Times New Roman"/>
                <w:sz w:val="20"/>
                <w:szCs w:val="20"/>
              </w:rPr>
              <w:t>(2,012</w:t>
            </w:r>
          </w:p>
        </w:tc>
        <w:tc>
          <w:tcPr>
            <w:tcW w:w="50" w:type="pct"/>
            <w:shd w:val="clear" w:color="auto" w:fill="CCEEFF"/>
            <w:noWrap/>
            <w:vAlign w:val="bottom"/>
            <w:hideMark/>
          </w:tcPr>
          <w:p w14:paraId="1F444D04"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A4B506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58FB0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EA3136F" w14:textId="77777777" w:rsidR="00000000" w:rsidRDefault="00EB4933">
            <w:pPr>
              <w:jc w:val="right"/>
              <w:rPr>
                <w:rFonts w:eastAsia="Times New Roman"/>
                <w:sz w:val="20"/>
                <w:szCs w:val="20"/>
              </w:rPr>
            </w:pPr>
            <w:r>
              <w:rPr>
                <w:rFonts w:eastAsia="Times New Roman"/>
                <w:sz w:val="20"/>
                <w:szCs w:val="20"/>
              </w:rPr>
              <w:t>3,850</w:t>
            </w:r>
          </w:p>
        </w:tc>
        <w:tc>
          <w:tcPr>
            <w:tcW w:w="50" w:type="pct"/>
            <w:shd w:val="clear" w:color="auto" w:fill="CCEEFF"/>
            <w:noWrap/>
            <w:vAlign w:val="center"/>
            <w:hideMark/>
          </w:tcPr>
          <w:p w14:paraId="412D65A3" w14:textId="77777777" w:rsidR="00000000" w:rsidRDefault="00EB4933">
            <w:pPr>
              <w:pStyle w:val="NormalWeb"/>
              <w:spacing w:before="0" w:beforeAutospacing="0" w:after="0" w:afterAutospacing="0"/>
              <w:rPr>
                <w:sz w:val="20"/>
                <w:szCs w:val="20"/>
              </w:rPr>
            </w:pPr>
            <w:r>
              <w:rPr>
                <w:sz w:val="20"/>
                <w:szCs w:val="20"/>
              </w:rPr>
              <w:t> </w:t>
            </w:r>
          </w:p>
        </w:tc>
      </w:tr>
      <w:tr w:rsidR="00000000" w14:paraId="021217B2" w14:textId="77777777">
        <w:trPr>
          <w:divId w:val="98525094"/>
          <w:trHeight w:val="225"/>
          <w:tblCellSpacing w:w="15" w:type="dxa"/>
        </w:trPr>
        <w:tc>
          <w:tcPr>
            <w:tcW w:w="0" w:type="auto"/>
            <w:shd w:val="clear" w:color="auto" w:fill="FFFFFF"/>
            <w:hideMark/>
          </w:tcPr>
          <w:p w14:paraId="0A17113F" w14:textId="77777777" w:rsidR="00000000" w:rsidRDefault="00EB4933">
            <w:pPr>
              <w:pStyle w:val="NormalWeb"/>
              <w:spacing w:before="0" w:beforeAutospacing="0" w:after="0" w:afterAutospacing="0"/>
              <w:rPr>
                <w:sz w:val="20"/>
                <w:szCs w:val="20"/>
              </w:rPr>
            </w:pPr>
            <w:r>
              <w:rPr>
                <w:sz w:val="20"/>
                <w:szCs w:val="20"/>
              </w:rPr>
              <w:t xml:space="preserve">Interest payable </w:t>
            </w:r>
          </w:p>
        </w:tc>
        <w:tc>
          <w:tcPr>
            <w:tcW w:w="50" w:type="pct"/>
            <w:shd w:val="clear" w:color="auto" w:fill="FFFFFF"/>
            <w:noWrap/>
            <w:vAlign w:val="center"/>
            <w:hideMark/>
          </w:tcPr>
          <w:p w14:paraId="31FD521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43ED2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EEE3ACC" w14:textId="77777777" w:rsidR="00000000" w:rsidRDefault="00EB4933">
            <w:pPr>
              <w:jc w:val="right"/>
              <w:rPr>
                <w:rFonts w:eastAsia="Times New Roman"/>
                <w:sz w:val="20"/>
                <w:szCs w:val="20"/>
              </w:rPr>
            </w:pPr>
            <w:r>
              <w:rPr>
                <w:rFonts w:eastAsia="Times New Roman"/>
                <w:sz w:val="20"/>
                <w:szCs w:val="20"/>
              </w:rPr>
              <w:t>602</w:t>
            </w:r>
          </w:p>
        </w:tc>
        <w:tc>
          <w:tcPr>
            <w:tcW w:w="50" w:type="pct"/>
            <w:shd w:val="clear" w:color="auto" w:fill="FFFFFF"/>
            <w:noWrap/>
            <w:vAlign w:val="center"/>
            <w:hideMark/>
          </w:tcPr>
          <w:p w14:paraId="44529C7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48907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DAF0E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C58DFA7" w14:textId="77777777" w:rsidR="00000000" w:rsidRDefault="00EB4933">
            <w:pPr>
              <w:jc w:val="right"/>
              <w:rPr>
                <w:rFonts w:eastAsia="Times New Roman"/>
                <w:sz w:val="20"/>
                <w:szCs w:val="20"/>
              </w:rPr>
            </w:pPr>
            <w:r>
              <w:rPr>
                <w:rFonts w:eastAsia="Times New Roman"/>
                <w:sz w:val="20"/>
                <w:szCs w:val="20"/>
              </w:rPr>
              <w:t>1,310</w:t>
            </w:r>
          </w:p>
        </w:tc>
        <w:tc>
          <w:tcPr>
            <w:tcW w:w="50" w:type="pct"/>
            <w:shd w:val="clear" w:color="auto" w:fill="FFFFFF"/>
            <w:noWrap/>
            <w:vAlign w:val="center"/>
            <w:hideMark/>
          </w:tcPr>
          <w:p w14:paraId="2888EEB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3BF09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89136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BBAA573" w14:textId="77777777" w:rsidR="00000000" w:rsidRDefault="00EB4933">
            <w:pPr>
              <w:jc w:val="right"/>
              <w:rPr>
                <w:rFonts w:eastAsia="Times New Roman"/>
                <w:sz w:val="20"/>
                <w:szCs w:val="20"/>
              </w:rPr>
            </w:pPr>
            <w:r>
              <w:rPr>
                <w:rFonts w:eastAsia="Times New Roman"/>
                <w:sz w:val="20"/>
                <w:szCs w:val="20"/>
              </w:rPr>
              <w:t>12,584</w:t>
            </w:r>
          </w:p>
        </w:tc>
        <w:tc>
          <w:tcPr>
            <w:tcW w:w="50" w:type="pct"/>
            <w:shd w:val="clear" w:color="auto" w:fill="FFFFFF"/>
            <w:noWrap/>
            <w:vAlign w:val="center"/>
            <w:hideMark/>
          </w:tcPr>
          <w:p w14:paraId="1269DB63" w14:textId="77777777" w:rsidR="00000000" w:rsidRDefault="00EB4933">
            <w:pPr>
              <w:pStyle w:val="NormalWeb"/>
              <w:spacing w:before="0" w:beforeAutospacing="0" w:after="0" w:afterAutospacing="0"/>
              <w:rPr>
                <w:sz w:val="20"/>
                <w:szCs w:val="20"/>
              </w:rPr>
            </w:pPr>
            <w:r>
              <w:rPr>
                <w:sz w:val="20"/>
                <w:szCs w:val="20"/>
              </w:rPr>
              <w:t> </w:t>
            </w:r>
          </w:p>
        </w:tc>
      </w:tr>
      <w:tr w:rsidR="00000000" w14:paraId="5D7F07B0" w14:textId="77777777">
        <w:trPr>
          <w:divId w:val="98525094"/>
          <w:trHeight w:val="225"/>
          <w:tblCellSpacing w:w="15" w:type="dxa"/>
        </w:trPr>
        <w:tc>
          <w:tcPr>
            <w:tcW w:w="0" w:type="auto"/>
            <w:shd w:val="clear" w:color="auto" w:fill="CCEEFF"/>
            <w:hideMark/>
          </w:tcPr>
          <w:p w14:paraId="0B23BA05" w14:textId="77777777" w:rsidR="00000000" w:rsidRDefault="00EB4933">
            <w:pPr>
              <w:pStyle w:val="NormalWeb"/>
              <w:spacing w:before="0" w:beforeAutospacing="0" w:after="0" w:afterAutospacing="0"/>
              <w:rPr>
                <w:sz w:val="20"/>
                <w:szCs w:val="20"/>
              </w:rPr>
            </w:pPr>
            <w:r>
              <w:rPr>
                <w:sz w:val="20"/>
                <w:szCs w:val="20"/>
              </w:rPr>
              <w:t>Other payable</w:t>
            </w:r>
          </w:p>
        </w:tc>
        <w:tc>
          <w:tcPr>
            <w:tcW w:w="50" w:type="pct"/>
            <w:shd w:val="clear" w:color="auto" w:fill="CCEEFF"/>
            <w:noWrap/>
            <w:vAlign w:val="center"/>
            <w:hideMark/>
          </w:tcPr>
          <w:p w14:paraId="74A407B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3C7F2C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8B96C9F" w14:textId="77777777" w:rsidR="00000000" w:rsidRDefault="00EB4933">
            <w:pPr>
              <w:jc w:val="right"/>
              <w:rPr>
                <w:rFonts w:eastAsia="Times New Roman"/>
                <w:sz w:val="20"/>
                <w:szCs w:val="20"/>
              </w:rPr>
            </w:pPr>
            <w:r>
              <w:rPr>
                <w:rFonts w:eastAsia="Times New Roman"/>
                <w:sz w:val="20"/>
                <w:szCs w:val="20"/>
              </w:rPr>
              <w:t>24,032</w:t>
            </w:r>
          </w:p>
        </w:tc>
        <w:tc>
          <w:tcPr>
            <w:tcW w:w="50" w:type="pct"/>
            <w:shd w:val="clear" w:color="auto" w:fill="CCEEFF"/>
            <w:noWrap/>
            <w:tcMar>
              <w:top w:w="0" w:type="dxa"/>
              <w:left w:w="0" w:type="dxa"/>
              <w:bottom w:w="15" w:type="dxa"/>
              <w:right w:w="0" w:type="dxa"/>
            </w:tcMar>
            <w:vAlign w:val="center"/>
            <w:hideMark/>
          </w:tcPr>
          <w:p w14:paraId="3C88EFA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5F602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1F829E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86D7C2F" w14:textId="77777777" w:rsidR="00000000" w:rsidRDefault="00EB4933">
            <w:pPr>
              <w:jc w:val="right"/>
              <w:rPr>
                <w:rFonts w:eastAsia="Times New Roman"/>
                <w:sz w:val="20"/>
                <w:szCs w:val="20"/>
              </w:rPr>
            </w:pPr>
            <w:r>
              <w:rPr>
                <w:rFonts w:eastAsia="Times New Roman"/>
                <w:sz w:val="20"/>
                <w:szCs w:val="20"/>
              </w:rPr>
              <w:t>9,386</w:t>
            </w:r>
          </w:p>
        </w:tc>
        <w:tc>
          <w:tcPr>
            <w:tcW w:w="50" w:type="pct"/>
            <w:shd w:val="clear" w:color="auto" w:fill="CCEEFF"/>
            <w:noWrap/>
            <w:tcMar>
              <w:top w:w="0" w:type="dxa"/>
              <w:left w:w="0" w:type="dxa"/>
              <w:bottom w:w="15" w:type="dxa"/>
              <w:right w:w="0" w:type="dxa"/>
            </w:tcMar>
            <w:vAlign w:val="center"/>
            <w:hideMark/>
          </w:tcPr>
          <w:p w14:paraId="2B41E00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3D4FC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02A653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579428C" w14:textId="77777777" w:rsidR="00000000" w:rsidRDefault="00EB4933">
            <w:pPr>
              <w:jc w:val="right"/>
              <w:rPr>
                <w:rFonts w:eastAsia="Times New Roman"/>
                <w:sz w:val="20"/>
                <w:szCs w:val="20"/>
              </w:rPr>
            </w:pPr>
            <w:r>
              <w:rPr>
                <w:rFonts w:eastAsia="Times New Roman"/>
                <w:sz w:val="20"/>
                <w:szCs w:val="20"/>
              </w:rPr>
              <w:t>(25,183</w:t>
            </w:r>
          </w:p>
        </w:tc>
        <w:tc>
          <w:tcPr>
            <w:tcW w:w="50" w:type="pct"/>
            <w:shd w:val="clear" w:color="auto" w:fill="CCEEFF"/>
            <w:noWrap/>
            <w:tcMar>
              <w:top w:w="0" w:type="dxa"/>
              <w:left w:w="0" w:type="dxa"/>
              <w:bottom w:w="15" w:type="dxa"/>
              <w:right w:w="0" w:type="dxa"/>
            </w:tcMar>
            <w:vAlign w:val="bottom"/>
            <w:hideMark/>
          </w:tcPr>
          <w:p w14:paraId="27FAD9B7" w14:textId="77777777" w:rsidR="00000000" w:rsidRDefault="00EB4933">
            <w:pPr>
              <w:rPr>
                <w:rFonts w:eastAsia="Times New Roman"/>
                <w:sz w:val="20"/>
                <w:szCs w:val="20"/>
              </w:rPr>
            </w:pPr>
            <w:r>
              <w:rPr>
                <w:rFonts w:eastAsia="Times New Roman"/>
                <w:sz w:val="20"/>
                <w:szCs w:val="20"/>
              </w:rPr>
              <w:t>)</w:t>
            </w:r>
          </w:p>
        </w:tc>
      </w:tr>
      <w:tr w:rsidR="00000000" w14:paraId="06012DED" w14:textId="77777777">
        <w:trPr>
          <w:divId w:val="98525094"/>
          <w:trHeight w:val="225"/>
          <w:tblCellSpacing w:w="15" w:type="dxa"/>
        </w:trPr>
        <w:tc>
          <w:tcPr>
            <w:tcW w:w="0" w:type="auto"/>
            <w:shd w:val="clear" w:color="auto" w:fill="FFFFFF"/>
            <w:hideMark/>
          </w:tcPr>
          <w:p w14:paraId="6D56CC58" w14:textId="77777777" w:rsidR="00000000" w:rsidRDefault="00EB4933">
            <w:pPr>
              <w:pStyle w:val="NormalWeb"/>
              <w:spacing w:before="0" w:beforeAutospacing="0" w:after="0" w:afterAutospacing="0"/>
              <w:rPr>
                <w:sz w:val="20"/>
                <w:szCs w:val="20"/>
              </w:rPr>
            </w:pPr>
            <w:r>
              <w:rPr>
                <w:rStyle w:val="Strong"/>
                <w:sz w:val="20"/>
                <w:szCs w:val="20"/>
              </w:rPr>
              <w:t>Net cash (used)/generated by operating activities</w:t>
            </w:r>
          </w:p>
        </w:tc>
        <w:tc>
          <w:tcPr>
            <w:tcW w:w="50" w:type="pct"/>
            <w:shd w:val="clear" w:color="auto" w:fill="FFFFFF"/>
            <w:noWrap/>
            <w:vAlign w:val="center"/>
            <w:hideMark/>
          </w:tcPr>
          <w:p w14:paraId="35EA2AE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7CBF2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3BE0FD7" w14:textId="77777777" w:rsidR="00000000" w:rsidRDefault="00EB4933">
            <w:pPr>
              <w:jc w:val="right"/>
              <w:rPr>
                <w:rFonts w:eastAsia="Times New Roman"/>
                <w:sz w:val="20"/>
                <w:szCs w:val="20"/>
              </w:rPr>
            </w:pPr>
            <w:r>
              <w:rPr>
                <w:rFonts w:eastAsia="Times New Roman"/>
                <w:sz w:val="20"/>
                <w:szCs w:val="20"/>
              </w:rPr>
              <w:t>(56,026</w:t>
            </w:r>
          </w:p>
        </w:tc>
        <w:tc>
          <w:tcPr>
            <w:tcW w:w="50" w:type="pct"/>
            <w:shd w:val="clear" w:color="auto" w:fill="FFFFFF"/>
            <w:noWrap/>
            <w:vAlign w:val="bottom"/>
            <w:hideMark/>
          </w:tcPr>
          <w:p w14:paraId="7D726878"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91EBAB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EE6A9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77B9704" w14:textId="77777777" w:rsidR="00000000" w:rsidRDefault="00EB4933">
            <w:pPr>
              <w:jc w:val="right"/>
              <w:rPr>
                <w:rFonts w:eastAsia="Times New Roman"/>
                <w:sz w:val="20"/>
                <w:szCs w:val="20"/>
              </w:rPr>
            </w:pPr>
            <w:r>
              <w:rPr>
                <w:rFonts w:eastAsia="Times New Roman"/>
                <w:sz w:val="20"/>
                <w:szCs w:val="20"/>
              </w:rPr>
              <w:t>27,942</w:t>
            </w:r>
          </w:p>
        </w:tc>
        <w:tc>
          <w:tcPr>
            <w:tcW w:w="50" w:type="pct"/>
            <w:shd w:val="clear" w:color="auto" w:fill="FFFFFF"/>
            <w:noWrap/>
            <w:vAlign w:val="center"/>
            <w:hideMark/>
          </w:tcPr>
          <w:p w14:paraId="6B5D59D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4C110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3517E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BE39A5D" w14:textId="77777777" w:rsidR="00000000" w:rsidRDefault="00EB4933">
            <w:pPr>
              <w:jc w:val="right"/>
              <w:rPr>
                <w:rFonts w:eastAsia="Times New Roman"/>
                <w:sz w:val="20"/>
                <w:szCs w:val="20"/>
              </w:rPr>
            </w:pPr>
            <w:r>
              <w:rPr>
                <w:rFonts w:eastAsia="Times New Roman"/>
                <w:sz w:val="20"/>
                <w:szCs w:val="20"/>
              </w:rPr>
              <w:t>15,077</w:t>
            </w:r>
          </w:p>
        </w:tc>
        <w:tc>
          <w:tcPr>
            <w:tcW w:w="50" w:type="pct"/>
            <w:shd w:val="clear" w:color="auto" w:fill="FFFFFF"/>
            <w:noWrap/>
            <w:vAlign w:val="center"/>
            <w:hideMark/>
          </w:tcPr>
          <w:p w14:paraId="45A5D5A0" w14:textId="77777777" w:rsidR="00000000" w:rsidRDefault="00EB4933">
            <w:pPr>
              <w:pStyle w:val="NormalWeb"/>
              <w:spacing w:before="0" w:beforeAutospacing="0" w:after="0" w:afterAutospacing="0"/>
              <w:rPr>
                <w:sz w:val="20"/>
                <w:szCs w:val="20"/>
              </w:rPr>
            </w:pPr>
            <w:r>
              <w:rPr>
                <w:sz w:val="20"/>
                <w:szCs w:val="20"/>
              </w:rPr>
              <w:t> </w:t>
            </w:r>
          </w:p>
        </w:tc>
      </w:tr>
      <w:tr w:rsidR="00000000" w14:paraId="40461572" w14:textId="77777777">
        <w:trPr>
          <w:divId w:val="98525094"/>
          <w:trHeight w:val="225"/>
          <w:tblCellSpacing w:w="15" w:type="dxa"/>
        </w:trPr>
        <w:tc>
          <w:tcPr>
            <w:tcW w:w="0" w:type="auto"/>
            <w:shd w:val="clear" w:color="auto" w:fill="CCEEFF"/>
            <w:hideMark/>
          </w:tcPr>
          <w:p w14:paraId="764B858E" w14:textId="77777777" w:rsidR="00000000" w:rsidRDefault="00EB4933">
            <w:pPr>
              <w:pStyle w:val="NormalWeb"/>
              <w:spacing w:before="0" w:beforeAutospacing="0" w:after="0" w:afterAutospacing="0"/>
              <w:rPr>
                <w:sz w:val="20"/>
                <w:szCs w:val="20"/>
              </w:rPr>
            </w:pPr>
            <w:r>
              <w:rPr>
                <w:sz w:val="20"/>
                <w:szCs w:val="20"/>
              </w:rPr>
              <w:t>Income tax paid</w:t>
            </w:r>
          </w:p>
        </w:tc>
        <w:tc>
          <w:tcPr>
            <w:tcW w:w="50" w:type="pct"/>
            <w:shd w:val="clear" w:color="auto" w:fill="CCEEFF"/>
            <w:noWrap/>
            <w:vAlign w:val="center"/>
            <w:hideMark/>
          </w:tcPr>
          <w:p w14:paraId="4A4F9C1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B23C97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6F3B889" w14:textId="77777777" w:rsidR="00000000" w:rsidRDefault="00EB4933">
            <w:pPr>
              <w:jc w:val="right"/>
              <w:rPr>
                <w:rFonts w:eastAsia="Times New Roman"/>
                <w:sz w:val="20"/>
                <w:szCs w:val="20"/>
              </w:rPr>
            </w:pPr>
            <w:r>
              <w:rPr>
                <w:rFonts w:eastAsia="Times New Roman"/>
                <w:sz w:val="20"/>
                <w:szCs w:val="20"/>
              </w:rPr>
              <w:t>(14,393</w:t>
            </w:r>
          </w:p>
        </w:tc>
        <w:tc>
          <w:tcPr>
            <w:tcW w:w="50" w:type="pct"/>
            <w:shd w:val="clear" w:color="auto" w:fill="CCEEFF"/>
            <w:noWrap/>
            <w:tcMar>
              <w:top w:w="0" w:type="dxa"/>
              <w:left w:w="0" w:type="dxa"/>
              <w:bottom w:w="15" w:type="dxa"/>
              <w:right w:w="0" w:type="dxa"/>
            </w:tcMar>
            <w:vAlign w:val="bottom"/>
            <w:hideMark/>
          </w:tcPr>
          <w:p w14:paraId="5EFB3A82"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70065C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54DEB0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93EFE14" w14:textId="77777777" w:rsidR="00000000" w:rsidRDefault="00EB4933">
            <w:pPr>
              <w:jc w:val="right"/>
              <w:rPr>
                <w:rFonts w:eastAsia="Times New Roman"/>
                <w:sz w:val="20"/>
                <w:szCs w:val="20"/>
              </w:rPr>
            </w:pPr>
            <w:r>
              <w:rPr>
                <w:rFonts w:eastAsia="Times New Roman"/>
                <w:sz w:val="20"/>
                <w:szCs w:val="20"/>
              </w:rPr>
              <w:t>(676</w:t>
            </w:r>
          </w:p>
        </w:tc>
        <w:tc>
          <w:tcPr>
            <w:tcW w:w="50" w:type="pct"/>
            <w:shd w:val="clear" w:color="auto" w:fill="CCEEFF"/>
            <w:noWrap/>
            <w:tcMar>
              <w:top w:w="0" w:type="dxa"/>
              <w:left w:w="0" w:type="dxa"/>
              <w:bottom w:w="15" w:type="dxa"/>
              <w:right w:w="0" w:type="dxa"/>
            </w:tcMar>
            <w:vAlign w:val="bottom"/>
            <w:hideMark/>
          </w:tcPr>
          <w:p w14:paraId="30A6337D"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311FD4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42F6A5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A0F265A"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323F44FB" w14:textId="77777777" w:rsidR="00000000" w:rsidRDefault="00EB4933">
            <w:pPr>
              <w:pStyle w:val="NormalWeb"/>
              <w:spacing w:before="0" w:beforeAutospacing="0" w:after="0" w:afterAutospacing="0"/>
              <w:rPr>
                <w:sz w:val="20"/>
                <w:szCs w:val="20"/>
              </w:rPr>
            </w:pPr>
            <w:r>
              <w:rPr>
                <w:sz w:val="20"/>
                <w:szCs w:val="20"/>
              </w:rPr>
              <w:t> </w:t>
            </w:r>
          </w:p>
        </w:tc>
      </w:tr>
      <w:tr w:rsidR="00000000" w14:paraId="6C5CB391" w14:textId="77777777">
        <w:trPr>
          <w:divId w:val="98525094"/>
          <w:trHeight w:val="225"/>
          <w:tblCellSpacing w:w="15" w:type="dxa"/>
        </w:trPr>
        <w:tc>
          <w:tcPr>
            <w:tcW w:w="0" w:type="auto"/>
            <w:shd w:val="clear" w:color="auto" w:fill="FFFFFF"/>
            <w:hideMark/>
          </w:tcPr>
          <w:p w14:paraId="5BB17C19" w14:textId="77777777" w:rsidR="00000000" w:rsidRDefault="00EB4933">
            <w:pPr>
              <w:pStyle w:val="NormalWeb"/>
              <w:spacing w:before="0" w:beforeAutospacing="0" w:after="0" w:afterAutospacing="0"/>
              <w:rPr>
                <w:sz w:val="20"/>
                <w:szCs w:val="20"/>
              </w:rPr>
            </w:pPr>
            <w:r>
              <w:rPr>
                <w:rStyle w:val="Strong"/>
                <w:sz w:val="20"/>
                <w:szCs w:val="20"/>
              </w:rPr>
              <w:t>Net cash (used)/generated by operating activities</w:t>
            </w:r>
          </w:p>
        </w:tc>
        <w:tc>
          <w:tcPr>
            <w:tcW w:w="50" w:type="pct"/>
            <w:shd w:val="clear" w:color="auto" w:fill="FFFFFF"/>
            <w:noWrap/>
            <w:vAlign w:val="center"/>
            <w:hideMark/>
          </w:tcPr>
          <w:p w14:paraId="42F2A21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140885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3BA8E53" w14:textId="77777777" w:rsidR="00000000" w:rsidRDefault="00EB4933">
            <w:pPr>
              <w:jc w:val="right"/>
              <w:rPr>
                <w:rFonts w:eastAsia="Times New Roman"/>
                <w:sz w:val="20"/>
                <w:szCs w:val="20"/>
              </w:rPr>
            </w:pPr>
            <w:r>
              <w:rPr>
                <w:rFonts w:eastAsia="Times New Roman"/>
                <w:sz w:val="20"/>
                <w:szCs w:val="20"/>
              </w:rPr>
              <w:t>(70,419</w:t>
            </w:r>
          </w:p>
        </w:tc>
        <w:tc>
          <w:tcPr>
            <w:tcW w:w="50" w:type="pct"/>
            <w:shd w:val="clear" w:color="auto" w:fill="FFFFFF"/>
            <w:noWrap/>
            <w:tcMar>
              <w:top w:w="0" w:type="dxa"/>
              <w:left w:w="0" w:type="dxa"/>
              <w:bottom w:w="15" w:type="dxa"/>
              <w:right w:w="0" w:type="dxa"/>
            </w:tcMar>
            <w:vAlign w:val="bottom"/>
            <w:hideMark/>
          </w:tcPr>
          <w:p w14:paraId="36F2EC95"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06ACF3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C9C6EE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858ADA0" w14:textId="77777777" w:rsidR="00000000" w:rsidRDefault="00EB4933">
            <w:pPr>
              <w:jc w:val="right"/>
              <w:rPr>
                <w:rFonts w:eastAsia="Times New Roman"/>
                <w:sz w:val="20"/>
                <w:szCs w:val="20"/>
              </w:rPr>
            </w:pPr>
            <w:r>
              <w:rPr>
                <w:rFonts w:eastAsia="Times New Roman"/>
                <w:sz w:val="20"/>
                <w:szCs w:val="20"/>
              </w:rPr>
              <w:t>27,266</w:t>
            </w:r>
          </w:p>
        </w:tc>
        <w:tc>
          <w:tcPr>
            <w:tcW w:w="50" w:type="pct"/>
            <w:shd w:val="clear" w:color="auto" w:fill="FFFFFF"/>
            <w:noWrap/>
            <w:tcMar>
              <w:top w:w="0" w:type="dxa"/>
              <w:left w:w="0" w:type="dxa"/>
              <w:bottom w:w="15" w:type="dxa"/>
              <w:right w:w="0" w:type="dxa"/>
            </w:tcMar>
            <w:vAlign w:val="center"/>
            <w:hideMark/>
          </w:tcPr>
          <w:p w14:paraId="5D09B50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73C36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C1D61F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E456A53" w14:textId="77777777" w:rsidR="00000000" w:rsidRDefault="00EB4933">
            <w:pPr>
              <w:jc w:val="right"/>
              <w:rPr>
                <w:rFonts w:eastAsia="Times New Roman"/>
                <w:sz w:val="20"/>
                <w:szCs w:val="20"/>
              </w:rPr>
            </w:pPr>
            <w:r>
              <w:rPr>
                <w:rFonts w:eastAsia="Times New Roman"/>
                <w:sz w:val="20"/>
                <w:szCs w:val="20"/>
              </w:rPr>
              <w:t>15,077</w:t>
            </w:r>
          </w:p>
        </w:tc>
        <w:tc>
          <w:tcPr>
            <w:tcW w:w="50" w:type="pct"/>
            <w:shd w:val="clear" w:color="auto" w:fill="FFFFFF"/>
            <w:noWrap/>
            <w:tcMar>
              <w:top w:w="0" w:type="dxa"/>
              <w:left w:w="0" w:type="dxa"/>
              <w:bottom w:w="15" w:type="dxa"/>
              <w:right w:w="0" w:type="dxa"/>
            </w:tcMar>
            <w:vAlign w:val="center"/>
            <w:hideMark/>
          </w:tcPr>
          <w:p w14:paraId="080CC135" w14:textId="77777777" w:rsidR="00000000" w:rsidRDefault="00EB4933">
            <w:pPr>
              <w:pStyle w:val="NormalWeb"/>
              <w:spacing w:before="0" w:beforeAutospacing="0" w:after="0" w:afterAutospacing="0"/>
              <w:rPr>
                <w:sz w:val="20"/>
                <w:szCs w:val="20"/>
              </w:rPr>
            </w:pPr>
            <w:r>
              <w:rPr>
                <w:sz w:val="20"/>
                <w:szCs w:val="20"/>
              </w:rPr>
              <w:t> </w:t>
            </w:r>
          </w:p>
        </w:tc>
      </w:tr>
      <w:tr w:rsidR="00000000" w14:paraId="21288F8E" w14:textId="77777777">
        <w:trPr>
          <w:divId w:val="98525094"/>
          <w:trHeight w:val="225"/>
          <w:tblCellSpacing w:w="15" w:type="dxa"/>
        </w:trPr>
        <w:tc>
          <w:tcPr>
            <w:tcW w:w="0" w:type="auto"/>
            <w:shd w:val="clear" w:color="auto" w:fill="CCEEFF"/>
            <w:hideMark/>
          </w:tcPr>
          <w:p w14:paraId="3B61AD0C" w14:textId="77777777" w:rsidR="00000000" w:rsidRDefault="00EB4933">
            <w:pPr>
              <w:pStyle w:val="NormalWeb"/>
              <w:spacing w:before="0" w:beforeAutospacing="0" w:after="0" w:afterAutospacing="0"/>
              <w:rPr>
                <w:sz w:val="20"/>
                <w:szCs w:val="20"/>
              </w:rPr>
            </w:pPr>
            <w:r>
              <w:rPr>
                <w:rStyle w:val="Strong"/>
                <w:sz w:val="20"/>
                <w:szCs w:val="20"/>
              </w:rPr>
              <w:t>Cash flow from investing activities</w:t>
            </w:r>
          </w:p>
        </w:tc>
        <w:tc>
          <w:tcPr>
            <w:tcW w:w="50" w:type="pct"/>
            <w:shd w:val="clear" w:color="auto" w:fill="CCEEFF"/>
            <w:noWrap/>
            <w:vAlign w:val="center"/>
            <w:hideMark/>
          </w:tcPr>
          <w:p w14:paraId="2D388A7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23C5C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0681E8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678E1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C2BD8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EEC91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8A4CBA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26635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BEFDD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1D022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1E7DB3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D2D455" w14:textId="77777777" w:rsidR="00000000" w:rsidRDefault="00EB4933">
            <w:pPr>
              <w:pStyle w:val="NormalWeb"/>
              <w:spacing w:before="0" w:beforeAutospacing="0" w:after="0" w:afterAutospacing="0"/>
              <w:rPr>
                <w:sz w:val="20"/>
                <w:szCs w:val="20"/>
              </w:rPr>
            </w:pPr>
            <w:r>
              <w:rPr>
                <w:sz w:val="20"/>
                <w:szCs w:val="20"/>
              </w:rPr>
              <w:t> </w:t>
            </w:r>
          </w:p>
        </w:tc>
      </w:tr>
      <w:tr w:rsidR="00000000" w14:paraId="5A286098" w14:textId="77777777">
        <w:trPr>
          <w:divId w:val="98525094"/>
          <w:trHeight w:val="225"/>
          <w:tblCellSpacing w:w="15" w:type="dxa"/>
        </w:trPr>
        <w:tc>
          <w:tcPr>
            <w:tcW w:w="0" w:type="auto"/>
            <w:shd w:val="clear" w:color="auto" w:fill="FFFFFF"/>
            <w:hideMark/>
          </w:tcPr>
          <w:p w14:paraId="2C1809C9" w14:textId="77777777" w:rsidR="00000000" w:rsidRDefault="00EB4933">
            <w:pPr>
              <w:pStyle w:val="NormalWeb"/>
              <w:spacing w:before="0" w:beforeAutospacing="0" w:after="0" w:afterAutospacing="0"/>
              <w:rPr>
                <w:sz w:val="20"/>
                <w:szCs w:val="20"/>
              </w:rPr>
            </w:pPr>
            <w:r>
              <w:rPr>
                <w:sz w:val="20"/>
                <w:szCs w:val="20"/>
              </w:rPr>
              <w:t>Payment for intangible asset</w:t>
            </w:r>
          </w:p>
        </w:tc>
        <w:tc>
          <w:tcPr>
            <w:tcW w:w="50" w:type="pct"/>
            <w:shd w:val="clear" w:color="auto" w:fill="FFFFFF"/>
            <w:noWrap/>
            <w:vAlign w:val="center"/>
            <w:hideMark/>
          </w:tcPr>
          <w:p w14:paraId="313C3DA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1552F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01D4CF0"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F1D607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098CF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70D4B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59E32AB" w14:textId="77777777" w:rsidR="00000000" w:rsidRDefault="00EB4933">
            <w:pPr>
              <w:jc w:val="right"/>
              <w:rPr>
                <w:rFonts w:eastAsia="Times New Roman"/>
                <w:sz w:val="20"/>
                <w:szCs w:val="20"/>
              </w:rPr>
            </w:pPr>
            <w:r>
              <w:rPr>
                <w:rFonts w:eastAsia="Times New Roman"/>
                <w:sz w:val="20"/>
                <w:szCs w:val="20"/>
              </w:rPr>
              <w:t>(9</w:t>
            </w:r>
          </w:p>
        </w:tc>
        <w:tc>
          <w:tcPr>
            <w:tcW w:w="50" w:type="pct"/>
            <w:shd w:val="clear" w:color="auto" w:fill="FFFFFF"/>
            <w:noWrap/>
            <w:vAlign w:val="bottom"/>
            <w:hideMark/>
          </w:tcPr>
          <w:p w14:paraId="510ACC6C"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651204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5023D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A7C36CA"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A4EBFFF" w14:textId="77777777" w:rsidR="00000000" w:rsidRDefault="00EB4933">
            <w:pPr>
              <w:pStyle w:val="NormalWeb"/>
              <w:spacing w:before="0" w:beforeAutospacing="0" w:after="0" w:afterAutospacing="0"/>
              <w:rPr>
                <w:sz w:val="20"/>
                <w:szCs w:val="20"/>
              </w:rPr>
            </w:pPr>
            <w:r>
              <w:rPr>
                <w:sz w:val="20"/>
                <w:szCs w:val="20"/>
              </w:rPr>
              <w:t> </w:t>
            </w:r>
          </w:p>
        </w:tc>
      </w:tr>
      <w:tr w:rsidR="00000000" w14:paraId="0F7D070A" w14:textId="77777777">
        <w:trPr>
          <w:divId w:val="98525094"/>
          <w:trHeight w:val="225"/>
          <w:tblCellSpacing w:w="15" w:type="dxa"/>
        </w:trPr>
        <w:tc>
          <w:tcPr>
            <w:tcW w:w="0" w:type="auto"/>
            <w:shd w:val="clear" w:color="auto" w:fill="CCEEFF"/>
            <w:hideMark/>
          </w:tcPr>
          <w:p w14:paraId="5A0E8195" w14:textId="77777777" w:rsidR="00000000" w:rsidRDefault="00EB4933">
            <w:pPr>
              <w:pStyle w:val="NormalWeb"/>
              <w:spacing w:before="0" w:beforeAutospacing="0" w:after="0" w:afterAutospacing="0"/>
              <w:rPr>
                <w:sz w:val="20"/>
                <w:szCs w:val="20"/>
              </w:rPr>
            </w:pPr>
            <w:r>
              <w:rPr>
                <w:sz w:val="20"/>
                <w:szCs w:val="20"/>
              </w:rPr>
              <w:t>Proceeds from disposal of property and equipment</w:t>
            </w:r>
          </w:p>
        </w:tc>
        <w:tc>
          <w:tcPr>
            <w:tcW w:w="50" w:type="pct"/>
            <w:shd w:val="clear" w:color="auto" w:fill="CCEEFF"/>
            <w:noWrap/>
            <w:vAlign w:val="center"/>
            <w:hideMark/>
          </w:tcPr>
          <w:p w14:paraId="798E0D3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9DD9E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7BCAA51"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BDE988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8E483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7613C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2E21F19"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7CFDF7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BBD85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66E60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F93A0BD" w14:textId="77777777" w:rsidR="00000000" w:rsidRDefault="00EB4933">
            <w:pPr>
              <w:jc w:val="right"/>
              <w:rPr>
                <w:rFonts w:eastAsia="Times New Roman"/>
                <w:sz w:val="20"/>
                <w:szCs w:val="20"/>
              </w:rPr>
            </w:pPr>
            <w:r>
              <w:rPr>
                <w:rFonts w:eastAsia="Times New Roman"/>
                <w:sz w:val="20"/>
                <w:szCs w:val="20"/>
              </w:rPr>
              <w:t>195</w:t>
            </w:r>
          </w:p>
        </w:tc>
        <w:tc>
          <w:tcPr>
            <w:tcW w:w="50" w:type="pct"/>
            <w:shd w:val="clear" w:color="auto" w:fill="CCEEFF"/>
            <w:noWrap/>
            <w:vAlign w:val="center"/>
            <w:hideMark/>
          </w:tcPr>
          <w:p w14:paraId="0D8A58CA" w14:textId="77777777" w:rsidR="00000000" w:rsidRDefault="00EB4933">
            <w:pPr>
              <w:pStyle w:val="NormalWeb"/>
              <w:spacing w:before="0" w:beforeAutospacing="0" w:after="0" w:afterAutospacing="0"/>
              <w:rPr>
                <w:sz w:val="20"/>
                <w:szCs w:val="20"/>
              </w:rPr>
            </w:pPr>
            <w:r>
              <w:rPr>
                <w:sz w:val="20"/>
                <w:szCs w:val="20"/>
              </w:rPr>
              <w:t> </w:t>
            </w:r>
          </w:p>
        </w:tc>
      </w:tr>
      <w:tr w:rsidR="00000000" w14:paraId="0E1BBD4B" w14:textId="77777777">
        <w:trPr>
          <w:divId w:val="98525094"/>
          <w:trHeight w:val="225"/>
          <w:tblCellSpacing w:w="15" w:type="dxa"/>
        </w:trPr>
        <w:tc>
          <w:tcPr>
            <w:tcW w:w="0" w:type="auto"/>
            <w:shd w:val="clear" w:color="auto" w:fill="FFFFFF"/>
            <w:hideMark/>
          </w:tcPr>
          <w:p w14:paraId="4A83D350" w14:textId="77777777" w:rsidR="00000000" w:rsidRDefault="00EB4933">
            <w:pPr>
              <w:pStyle w:val="NormalWeb"/>
              <w:spacing w:before="0" w:beforeAutospacing="0" w:after="0" w:afterAutospacing="0"/>
              <w:rPr>
                <w:sz w:val="20"/>
                <w:szCs w:val="20"/>
              </w:rPr>
            </w:pPr>
            <w:r>
              <w:rPr>
                <w:sz w:val="20"/>
                <w:szCs w:val="20"/>
              </w:rPr>
              <w:t>Payment for property and equipment</w:t>
            </w:r>
          </w:p>
        </w:tc>
        <w:tc>
          <w:tcPr>
            <w:tcW w:w="50" w:type="pct"/>
            <w:shd w:val="clear" w:color="auto" w:fill="FFFFFF"/>
            <w:noWrap/>
            <w:vAlign w:val="center"/>
            <w:hideMark/>
          </w:tcPr>
          <w:p w14:paraId="3E4E853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5A8BE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DB67B87"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CADDCF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037B7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A3C4B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2BD92F1" w14:textId="77777777" w:rsidR="00000000" w:rsidRDefault="00EB4933">
            <w:pPr>
              <w:jc w:val="right"/>
              <w:rPr>
                <w:rFonts w:eastAsia="Times New Roman"/>
                <w:sz w:val="20"/>
                <w:szCs w:val="20"/>
              </w:rPr>
            </w:pPr>
            <w:r>
              <w:rPr>
                <w:rFonts w:eastAsia="Times New Roman"/>
                <w:sz w:val="20"/>
                <w:szCs w:val="20"/>
              </w:rPr>
              <w:t>(18,376</w:t>
            </w:r>
          </w:p>
        </w:tc>
        <w:tc>
          <w:tcPr>
            <w:tcW w:w="50" w:type="pct"/>
            <w:shd w:val="clear" w:color="auto" w:fill="FFFFFF"/>
            <w:noWrap/>
            <w:vAlign w:val="bottom"/>
            <w:hideMark/>
          </w:tcPr>
          <w:p w14:paraId="5DBAFCD1"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981D2E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843D0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027462F" w14:textId="77777777" w:rsidR="00000000" w:rsidRDefault="00EB4933">
            <w:pPr>
              <w:jc w:val="right"/>
              <w:rPr>
                <w:rFonts w:eastAsia="Times New Roman"/>
                <w:sz w:val="20"/>
                <w:szCs w:val="20"/>
              </w:rPr>
            </w:pPr>
            <w:r>
              <w:rPr>
                <w:rFonts w:eastAsia="Times New Roman"/>
                <w:sz w:val="20"/>
                <w:szCs w:val="20"/>
              </w:rPr>
              <w:t>(271</w:t>
            </w:r>
          </w:p>
        </w:tc>
        <w:tc>
          <w:tcPr>
            <w:tcW w:w="50" w:type="pct"/>
            <w:shd w:val="clear" w:color="auto" w:fill="FFFFFF"/>
            <w:noWrap/>
            <w:vAlign w:val="bottom"/>
            <w:hideMark/>
          </w:tcPr>
          <w:p w14:paraId="0DBC5BD5" w14:textId="77777777" w:rsidR="00000000" w:rsidRDefault="00EB4933">
            <w:pPr>
              <w:rPr>
                <w:rFonts w:eastAsia="Times New Roman"/>
                <w:sz w:val="20"/>
                <w:szCs w:val="20"/>
              </w:rPr>
            </w:pPr>
            <w:r>
              <w:rPr>
                <w:rFonts w:eastAsia="Times New Roman"/>
                <w:sz w:val="20"/>
                <w:szCs w:val="20"/>
              </w:rPr>
              <w:t>)</w:t>
            </w:r>
          </w:p>
        </w:tc>
      </w:tr>
      <w:tr w:rsidR="00000000" w14:paraId="4585E118" w14:textId="77777777">
        <w:trPr>
          <w:divId w:val="98525094"/>
          <w:trHeight w:val="225"/>
          <w:tblCellSpacing w:w="15" w:type="dxa"/>
        </w:trPr>
        <w:tc>
          <w:tcPr>
            <w:tcW w:w="0" w:type="auto"/>
            <w:shd w:val="clear" w:color="auto" w:fill="CCEEFF"/>
            <w:hideMark/>
          </w:tcPr>
          <w:p w14:paraId="5939A197" w14:textId="77777777" w:rsidR="00000000" w:rsidRDefault="00EB4933">
            <w:pPr>
              <w:pStyle w:val="NormalWeb"/>
              <w:spacing w:before="0" w:beforeAutospacing="0" w:after="0" w:afterAutospacing="0"/>
              <w:rPr>
                <w:sz w:val="20"/>
                <w:szCs w:val="20"/>
              </w:rPr>
            </w:pPr>
            <w:r>
              <w:rPr>
                <w:sz w:val="20"/>
                <w:szCs w:val="20"/>
              </w:rPr>
              <w:t>Prepayment for a property</w:t>
            </w:r>
          </w:p>
        </w:tc>
        <w:tc>
          <w:tcPr>
            <w:tcW w:w="50" w:type="pct"/>
            <w:shd w:val="clear" w:color="auto" w:fill="CCEEFF"/>
            <w:noWrap/>
            <w:vAlign w:val="center"/>
            <w:hideMark/>
          </w:tcPr>
          <w:p w14:paraId="12F8F24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37442A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E2DA981" w14:textId="77777777" w:rsidR="00000000" w:rsidRDefault="00EB4933">
            <w:pPr>
              <w:jc w:val="right"/>
              <w:rPr>
                <w:rFonts w:eastAsia="Times New Roman"/>
                <w:sz w:val="20"/>
                <w:szCs w:val="20"/>
              </w:rPr>
            </w:pPr>
            <w:r>
              <w:rPr>
                <w:rFonts w:eastAsia="Times New Roman"/>
                <w:sz w:val="20"/>
                <w:szCs w:val="20"/>
              </w:rPr>
              <w:t>(14,928</w:t>
            </w:r>
          </w:p>
        </w:tc>
        <w:tc>
          <w:tcPr>
            <w:tcW w:w="50" w:type="pct"/>
            <w:shd w:val="clear" w:color="auto" w:fill="CCEEFF"/>
            <w:noWrap/>
            <w:tcMar>
              <w:top w:w="0" w:type="dxa"/>
              <w:left w:w="0" w:type="dxa"/>
              <w:bottom w:w="15" w:type="dxa"/>
              <w:right w:w="0" w:type="dxa"/>
            </w:tcMar>
            <w:vAlign w:val="bottom"/>
            <w:hideMark/>
          </w:tcPr>
          <w:p w14:paraId="48CC938D"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B45725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23F956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C541DC9"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020781C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0AC6B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97684B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2CE6BC6"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1409581C" w14:textId="77777777" w:rsidR="00000000" w:rsidRDefault="00EB4933">
            <w:pPr>
              <w:pStyle w:val="NormalWeb"/>
              <w:spacing w:before="0" w:beforeAutospacing="0" w:after="0" w:afterAutospacing="0"/>
              <w:rPr>
                <w:sz w:val="20"/>
                <w:szCs w:val="20"/>
              </w:rPr>
            </w:pPr>
            <w:r>
              <w:rPr>
                <w:sz w:val="20"/>
                <w:szCs w:val="20"/>
              </w:rPr>
              <w:t> </w:t>
            </w:r>
          </w:p>
        </w:tc>
      </w:tr>
      <w:tr w:rsidR="00000000" w14:paraId="105CB087" w14:textId="77777777">
        <w:trPr>
          <w:divId w:val="98525094"/>
          <w:trHeight w:val="225"/>
          <w:tblCellSpacing w:w="15" w:type="dxa"/>
        </w:trPr>
        <w:tc>
          <w:tcPr>
            <w:tcW w:w="0" w:type="auto"/>
            <w:shd w:val="clear" w:color="auto" w:fill="FFFFFF"/>
            <w:hideMark/>
          </w:tcPr>
          <w:p w14:paraId="3C193507" w14:textId="77777777" w:rsidR="00000000" w:rsidRDefault="00EB4933">
            <w:pPr>
              <w:pStyle w:val="NormalWeb"/>
              <w:spacing w:before="0" w:beforeAutospacing="0" w:after="0" w:afterAutospacing="0"/>
              <w:rPr>
                <w:sz w:val="20"/>
                <w:szCs w:val="20"/>
              </w:rPr>
            </w:pPr>
            <w:r>
              <w:rPr>
                <w:rStyle w:val="Strong"/>
                <w:sz w:val="20"/>
                <w:szCs w:val="20"/>
              </w:rPr>
              <w:t>Net cash used in investing activities</w:t>
            </w:r>
          </w:p>
        </w:tc>
        <w:tc>
          <w:tcPr>
            <w:tcW w:w="50" w:type="pct"/>
            <w:shd w:val="clear" w:color="auto" w:fill="FFFFFF"/>
            <w:noWrap/>
            <w:vAlign w:val="center"/>
            <w:hideMark/>
          </w:tcPr>
          <w:p w14:paraId="2E14292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67CA92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772C033" w14:textId="77777777" w:rsidR="00000000" w:rsidRDefault="00EB4933">
            <w:pPr>
              <w:jc w:val="right"/>
              <w:rPr>
                <w:rFonts w:eastAsia="Times New Roman"/>
                <w:sz w:val="20"/>
                <w:szCs w:val="20"/>
              </w:rPr>
            </w:pPr>
            <w:r>
              <w:rPr>
                <w:rFonts w:eastAsia="Times New Roman"/>
                <w:sz w:val="20"/>
                <w:szCs w:val="20"/>
              </w:rPr>
              <w:t>(14,928</w:t>
            </w:r>
          </w:p>
        </w:tc>
        <w:tc>
          <w:tcPr>
            <w:tcW w:w="50" w:type="pct"/>
            <w:shd w:val="clear" w:color="auto" w:fill="FFFFFF"/>
            <w:noWrap/>
            <w:tcMar>
              <w:top w:w="0" w:type="dxa"/>
              <w:left w:w="0" w:type="dxa"/>
              <w:bottom w:w="15" w:type="dxa"/>
              <w:right w:w="0" w:type="dxa"/>
            </w:tcMar>
            <w:vAlign w:val="bottom"/>
            <w:hideMark/>
          </w:tcPr>
          <w:p w14:paraId="58441561"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6F5149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322A87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3A68486" w14:textId="77777777" w:rsidR="00000000" w:rsidRDefault="00EB4933">
            <w:pPr>
              <w:jc w:val="right"/>
              <w:rPr>
                <w:rFonts w:eastAsia="Times New Roman"/>
                <w:sz w:val="20"/>
                <w:szCs w:val="20"/>
              </w:rPr>
            </w:pPr>
            <w:r>
              <w:rPr>
                <w:rFonts w:eastAsia="Times New Roman"/>
                <w:sz w:val="20"/>
                <w:szCs w:val="20"/>
              </w:rPr>
              <w:t>(18,385</w:t>
            </w:r>
          </w:p>
        </w:tc>
        <w:tc>
          <w:tcPr>
            <w:tcW w:w="50" w:type="pct"/>
            <w:shd w:val="clear" w:color="auto" w:fill="FFFFFF"/>
            <w:noWrap/>
            <w:tcMar>
              <w:top w:w="0" w:type="dxa"/>
              <w:left w:w="0" w:type="dxa"/>
              <w:bottom w:w="15" w:type="dxa"/>
              <w:right w:w="0" w:type="dxa"/>
            </w:tcMar>
            <w:vAlign w:val="bottom"/>
            <w:hideMark/>
          </w:tcPr>
          <w:p w14:paraId="4636DC99"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1B9C43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EA8EAF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149D02F" w14:textId="77777777" w:rsidR="00000000" w:rsidRDefault="00EB4933">
            <w:pPr>
              <w:jc w:val="right"/>
              <w:rPr>
                <w:rFonts w:eastAsia="Times New Roman"/>
                <w:sz w:val="20"/>
                <w:szCs w:val="20"/>
              </w:rPr>
            </w:pPr>
            <w:r>
              <w:rPr>
                <w:rFonts w:eastAsia="Times New Roman"/>
                <w:sz w:val="20"/>
                <w:szCs w:val="20"/>
              </w:rPr>
              <w:t>(76</w:t>
            </w:r>
          </w:p>
        </w:tc>
        <w:tc>
          <w:tcPr>
            <w:tcW w:w="50" w:type="pct"/>
            <w:shd w:val="clear" w:color="auto" w:fill="FFFFFF"/>
            <w:noWrap/>
            <w:tcMar>
              <w:top w:w="0" w:type="dxa"/>
              <w:left w:w="0" w:type="dxa"/>
              <w:bottom w:w="15" w:type="dxa"/>
              <w:right w:w="0" w:type="dxa"/>
            </w:tcMar>
            <w:vAlign w:val="bottom"/>
            <w:hideMark/>
          </w:tcPr>
          <w:p w14:paraId="07C44A22" w14:textId="77777777" w:rsidR="00000000" w:rsidRDefault="00EB4933">
            <w:pPr>
              <w:rPr>
                <w:rFonts w:eastAsia="Times New Roman"/>
                <w:sz w:val="20"/>
                <w:szCs w:val="20"/>
              </w:rPr>
            </w:pPr>
            <w:r>
              <w:rPr>
                <w:rFonts w:eastAsia="Times New Roman"/>
                <w:sz w:val="20"/>
                <w:szCs w:val="20"/>
              </w:rPr>
              <w:t>)</w:t>
            </w:r>
          </w:p>
        </w:tc>
      </w:tr>
      <w:tr w:rsidR="00000000" w14:paraId="16967E99" w14:textId="77777777">
        <w:trPr>
          <w:divId w:val="98525094"/>
          <w:trHeight w:val="225"/>
          <w:tblCellSpacing w:w="15" w:type="dxa"/>
        </w:trPr>
        <w:tc>
          <w:tcPr>
            <w:tcW w:w="0" w:type="auto"/>
            <w:shd w:val="clear" w:color="auto" w:fill="CCEEFF"/>
            <w:hideMark/>
          </w:tcPr>
          <w:p w14:paraId="4EECF688" w14:textId="77777777" w:rsidR="00000000" w:rsidRDefault="00EB4933">
            <w:pPr>
              <w:pStyle w:val="NormalWeb"/>
              <w:spacing w:before="0" w:beforeAutospacing="0" w:after="0" w:afterAutospacing="0"/>
              <w:rPr>
                <w:sz w:val="20"/>
                <w:szCs w:val="20"/>
              </w:rPr>
            </w:pPr>
            <w:r>
              <w:rPr>
                <w:rStyle w:val="Strong"/>
                <w:sz w:val="20"/>
                <w:szCs w:val="20"/>
              </w:rPr>
              <w:t>Cash flow from financing activities</w:t>
            </w:r>
          </w:p>
        </w:tc>
        <w:tc>
          <w:tcPr>
            <w:tcW w:w="50" w:type="pct"/>
            <w:shd w:val="clear" w:color="auto" w:fill="CCEEFF"/>
            <w:noWrap/>
            <w:vAlign w:val="center"/>
            <w:hideMark/>
          </w:tcPr>
          <w:p w14:paraId="73BAAC8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7A064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350554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E412B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AF61A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4330A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2ADFB0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83907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49C7B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7EE6C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9686EE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72A0FB" w14:textId="77777777" w:rsidR="00000000" w:rsidRDefault="00EB4933">
            <w:pPr>
              <w:pStyle w:val="NormalWeb"/>
              <w:spacing w:before="0" w:beforeAutospacing="0" w:after="0" w:afterAutospacing="0"/>
              <w:rPr>
                <w:sz w:val="20"/>
                <w:szCs w:val="20"/>
              </w:rPr>
            </w:pPr>
            <w:r>
              <w:rPr>
                <w:sz w:val="20"/>
                <w:szCs w:val="20"/>
              </w:rPr>
              <w:t> </w:t>
            </w:r>
          </w:p>
        </w:tc>
      </w:tr>
      <w:tr w:rsidR="00000000" w14:paraId="66EEABC2" w14:textId="77777777">
        <w:trPr>
          <w:divId w:val="98525094"/>
          <w:trHeight w:val="225"/>
          <w:tblCellSpacing w:w="15" w:type="dxa"/>
        </w:trPr>
        <w:tc>
          <w:tcPr>
            <w:tcW w:w="0" w:type="auto"/>
            <w:shd w:val="clear" w:color="auto" w:fill="FFFFFF"/>
            <w:hideMark/>
          </w:tcPr>
          <w:p w14:paraId="26837D03" w14:textId="77777777" w:rsidR="00000000" w:rsidRDefault="00EB4933">
            <w:pPr>
              <w:pStyle w:val="NormalWeb"/>
              <w:spacing w:before="0" w:beforeAutospacing="0" w:after="0" w:afterAutospacing="0"/>
              <w:rPr>
                <w:sz w:val="20"/>
                <w:szCs w:val="20"/>
              </w:rPr>
            </w:pPr>
            <w:r>
              <w:rPr>
                <w:sz w:val="20"/>
                <w:szCs w:val="20"/>
              </w:rPr>
              <w:t>Share issuance expenses</w:t>
            </w:r>
          </w:p>
        </w:tc>
        <w:tc>
          <w:tcPr>
            <w:tcW w:w="50" w:type="pct"/>
            <w:shd w:val="clear" w:color="auto" w:fill="FFFFFF"/>
            <w:noWrap/>
            <w:vAlign w:val="center"/>
            <w:hideMark/>
          </w:tcPr>
          <w:p w14:paraId="1D5FB63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BDEBC9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AF6C24E" w14:textId="77777777" w:rsidR="00000000" w:rsidRDefault="00EB4933">
            <w:pPr>
              <w:jc w:val="right"/>
              <w:rPr>
                <w:rFonts w:eastAsia="Times New Roman"/>
                <w:sz w:val="20"/>
                <w:szCs w:val="20"/>
              </w:rPr>
            </w:pPr>
            <w:r>
              <w:rPr>
                <w:rFonts w:eastAsia="Times New Roman"/>
                <w:sz w:val="20"/>
                <w:szCs w:val="20"/>
              </w:rPr>
              <w:t>(15,627</w:t>
            </w:r>
          </w:p>
        </w:tc>
        <w:tc>
          <w:tcPr>
            <w:tcW w:w="50" w:type="pct"/>
            <w:shd w:val="clear" w:color="auto" w:fill="FFFFFF"/>
            <w:noWrap/>
            <w:vAlign w:val="bottom"/>
            <w:hideMark/>
          </w:tcPr>
          <w:p w14:paraId="5788FA22"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CF0D55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359FD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A427D4E"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3CE172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5A98F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AA3FB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85B84CE"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A02C28E" w14:textId="77777777" w:rsidR="00000000" w:rsidRDefault="00EB4933">
            <w:pPr>
              <w:pStyle w:val="NormalWeb"/>
              <w:spacing w:before="0" w:beforeAutospacing="0" w:after="0" w:afterAutospacing="0"/>
              <w:rPr>
                <w:sz w:val="20"/>
                <w:szCs w:val="20"/>
              </w:rPr>
            </w:pPr>
            <w:r>
              <w:rPr>
                <w:sz w:val="20"/>
                <w:szCs w:val="20"/>
              </w:rPr>
              <w:t> </w:t>
            </w:r>
          </w:p>
        </w:tc>
      </w:tr>
      <w:tr w:rsidR="00000000" w14:paraId="4633C894" w14:textId="77777777">
        <w:trPr>
          <w:divId w:val="98525094"/>
          <w:trHeight w:val="225"/>
          <w:tblCellSpacing w:w="15" w:type="dxa"/>
        </w:trPr>
        <w:tc>
          <w:tcPr>
            <w:tcW w:w="0" w:type="auto"/>
            <w:shd w:val="clear" w:color="auto" w:fill="CCEEFF"/>
            <w:hideMark/>
          </w:tcPr>
          <w:p w14:paraId="6D401A13" w14:textId="77777777" w:rsidR="00000000" w:rsidRDefault="00EB4933">
            <w:pPr>
              <w:pStyle w:val="NormalWeb"/>
              <w:spacing w:before="0" w:beforeAutospacing="0" w:after="0" w:afterAutospacing="0"/>
              <w:rPr>
                <w:sz w:val="20"/>
                <w:szCs w:val="20"/>
              </w:rPr>
            </w:pPr>
            <w:r>
              <w:rPr>
                <w:sz w:val="20"/>
                <w:szCs w:val="20"/>
              </w:rPr>
              <w:t>Proceeds received from related party loans</w:t>
            </w:r>
          </w:p>
        </w:tc>
        <w:tc>
          <w:tcPr>
            <w:tcW w:w="50" w:type="pct"/>
            <w:shd w:val="clear" w:color="auto" w:fill="CCEEFF"/>
            <w:noWrap/>
            <w:vAlign w:val="center"/>
            <w:hideMark/>
          </w:tcPr>
          <w:p w14:paraId="4F353A9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16B90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AC45400"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8D7486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01B7C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F3A8F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0A56ECF" w14:textId="77777777" w:rsidR="00000000" w:rsidRDefault="00EB4933">
            <w:pPr>
              <w:jc w:val="right"/>
              <w:rPr>
                <w:rFonts w:eastAsia="Times New Roman"/>
                <w:sz w:val="20"/>
                <w:szCs w:val="20"/>
              </w:rPr>
            </w:pPr>
            <w:r>
              <w:rPr>
                <w:rFonts w:eastAsia="Times New Roman"/>
                <w:sz w:val="20"/>
                <w:szCs w:val="20"/>
              </w:rPr>
              <w:t>88,000</w:t>
            </w:r>
          </w:p>
        </w:tc>
        <w:tc>
          <w:tcPr>
            <w:tcW w:w="50" w:type="pct"/>
            <w:shd w:val="clear" w:color="auto" w:fill="CCEEFF"/>
            <w:noWrap/>
            <w:vAlign w:val="center"/>
            <w:hideMark/>
          </w:tcPr>
          <w:p w14:paraId="2598D0B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8AF9C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9E361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88D091C" w14:textId="77777777" w:rsidR="00000000" w:rsidRDefault="00EB4933">
            <w:pPr>
              <w:jc w:val="right"/>
              <w:rPr>
                <w:rFonts w:eastAsia="Times New Roman"/>
                <w:sz w:val="20"/>
                <w:szCs w:val="20"/>
              </w:rPr>
            </w:pPr>
            <w:r>
              <w:rPr>
                <w:rFonts w:eastAsia="Times New Roman"/>
                <w:sz w:val="20"/>
                <w:szCs w:val="20"/>
              </w:rPr>
              <w:t>17,434</w:t>
            </w:r>
          </w:p>
        </w:tc>
        <w:tc>
          <w:tcPr>
            <w:tcW w:w="50" w:type="pct"/>
            <w:shd w:val="clear" w:color="auto" w:fill="CCEEFF"/>
            <w:noWrap/>
            <w:vAlign w:val="center"/>
            <w:hideMark/>
          </w:tcPr>
          <w:p w14:paraId="65A35654" w14:textId="77777777" w:rsidR="00000000" w:rsidRDefault="00EB4933">
            <w:pPr>
              <w:pStyle w:val="NormalWeb"/>
              <w:spacing w:before="0" w:beforeAutospacing="0" w:after="0" w:afterAutospacing="0"/>
              <w:rPr>
                <w:sz w:val="20"/>
                <w:szCs w:val="20"/>
              </w:rPr>
            </w:pPr>
            <w:r>
              <w:rPr>
                <w:sz w:val="20"/>
                <w:szCs w:val="20"/>
              </w:rPr>
              <w:t> </w:t>
            </w:r>
          </w:p>
        </w:tc>
      </w:tr>
      <w:tr w:rsidR="00000000" w14:paraId="0F33EE3C" w14:textId="77777777">
        <w:trPr>
          <w:divId w:val="98525094"/>
          <w:trHeight w:val="225"/>
          <w:tblCellSpacing w:w="15" w:type="dxa"/>
        </w:trPr>
        <w:tc>
          <w:tcPr>
            <w:tcW w:w="0" w:type="auto"/>
            <w:shd w:val="clear" w:color="auto" w:fill="FFFFFF"/>
            <w:hideMark/>
          </w:tcPr>
          <w:p w14:paraId="4BA2BD77" w14:textId="77777777" w:rsidR="00000000" w:rsidRDefault="00EB4933">
            <w:pPr>
              <w:pStyle w:val="NormalWeb"/>
              <w:spacing w:before="0" w:beforeAutospacing="0" w:after="0" w:afterAutospacing="0"/>
              <w:rPr>
                <w:sz w:val="20"/>
                <w:szCs w:val="20"/>
              </w:rPr>
            </w:pPr>
            <w:r>
              <w:rPr>
                <w:sz w:val="20"/>
                <w:szCs w:val="20"/>
              </w:rPr>
              <w:t>Repayments of related party loans</w:t>
            </w:r>
          </w:p>
        </w:tc>
        <w:tc>
          <w:tcPr>
            <w:tcW w:w="50" w:type="pct"/>
            <w:shd w:val="clear" w:color="auto" w:fill="FFFFFF"/>
            <w:noWrap/>
            <w:vAlign w:val="center"/>
            <w:hideMark/>
          </w:tcPr>
          <w:p w14:paraId="3D4B670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BD625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C72B724"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7E8AC8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2EB53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E9FAF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14D60E6" w14:textId="77777777" w:rsidR="00000000" w:rsidRDefault="00EB4933">
            <w:pPr>
              <w:jc w:val="right"/>
              <w:rPr>
                <w:rFonts w:eastAsia="Times New Roman"/>
                <w:sz w:val="20"/>
                <w:szCs w:val="20"/>
              </w:rPr>
            </w:pPr>
            <w:r>
              <w:rPr>
                <w:rFonts w:eastAsia="Times New Roman"/>
                <w:sz w:val="20"/>
                <w:szCs w:val="20"/>
              </w:rPr>
              <w:t>(8,500</w:t>
            </w:r>
          </w:p>
        </w:tc>
        <w:tc>
          <w:tcPr>
            <w:tcW w:w="50" w:type="pct"/>
            <w:shd w:val="clear" w:color="auto" w:fill="FFFFFF"/>
            <w:noWrap/>
            <w:vAlign w:val="bottom"/>
            <w:hideMark/>
          </w:tcPr>
          <w:p w14:paraId="308B0D94"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194BF2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772E7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13D59A6" w14:textId="77777777" w:rsidR="00000000" w:rsidRDefault="00EB4933">
            <w:pPr>
              <w:jc w:val="right"/>
              <w:rPr>
                <w:rFonts w:eastAsia="Times New Roman"/>
                <w:sz w:val="20"/>
                <w:szCs w:val="20"/>
              </w:rPr>
            </w:pPr>
            <w:r>
              <w:rPr>
                <w:rFonts w:eastAsia="Times New Roman"/>
                <w:sz w:val="20"/>
                <w:szCs w:val="20"/>
              </w:rPr>
              <w:t>(14,693</w:t>
            </w:r>
          </w:p>
        </w:tc>
        <w:tc>
          <w:tcPr>
            <w:tcW w:w="50" w:type="pct"/>
            <w:shd w:val="clear" w:color="auto" w:fill="FFFFFF"/>
            <w:noWrap/>
            <w:vAlign w:val="bottom"/>
            <w:hideMark/>
          </w:tcPr>
          <w:p w14:paraId="39A522C7" w14:textId="77777777" w:rsidR="00000000" w:rsidRDefault="00EB4933">
            <w:pPr>
              <w:rPr>
                <w:rFonts w:eastAsia="Times New Roman"/>
                <w:sz w:val="20"/>
                <w:szCs w:val="20"/>
              </w:rPr>
            </w:pPr>
            <w:r>
              <w:rPr>
                <w:rFonts w:eastAsia="Times New Roman"/>
                <w:sz w:val="20"/>
                <w:szCs w:val="20"/>
              </w:rPr>
              <w:t>)</w:t>
            </w:r>
          </w:p>
        </w:tc>
      </w:tr>
      <w:tr w:rsidR="00000000" w14:paraId="72A8AD2F" w14:textId="77777777">
        <w:trPr>
          <w:divId w:val="98525094"/>
          <w:trHeight w:val="225"/>
          <w:tblCellSpacing w:w="15" w:type="dxa"/>
        </w:trPr>
        <w:tc>
          <w:tcPr>
            <w:tcW w:w="0" w:type="auto"/>
            <w:shd w:val="clear" w:color="auto" w:fill="CCEEFF"/>
            <w:hideMark/>
          </w:tcPr>
          <w:p w14:paraId="56472147" w14:textId="77777777" w:rsidR="00000000" w:rsidRDefault="00EB4933">
            <w:pPr>
              <w:pStyle w:val="NormalWeb"/>
              <w:spacing w:before="0" w:beforeAutospacing="0" w:after="0" w:afterAutospacing="0"/>
              <w:rPr>
                <w:sz w:val="20"/>
                <w:szCs w:val="20"/>
              </w:rPr>
            </w:pPr>
            <w:r>
              <w:rPr>
                <w:sz w:val="20"/>
                <w:szCs w:val="20"/>
              </w:rPr>
              <w:t>Proceeds received from shareholders’ loans</w:t>
            </w:r>
          </w:p>
        </w:tc>
        <w:tc>
          <w:tcPr>
            <w:tcW w:w="50" w:type="pct"/>
            <w:shd w:val="clear" w:color="auto" w:fill="CCEEFF"/>
            <w:noWrap/>
            <w:vAlign w:val="center"/>
            <w:hideMark/>
          </w:tcPr>
          <w:p w14:paraId="01D4847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E9F99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B189FC0" w14:textId="77777777" w:rsidR="00000000" w:rsidRDefault="00EB4933">
            <w:pPr>
              <w:jc w:val="right"/>
              <w:rPr>
                <w:rFonts w:eastAsia="Times New Roman"/>
                <w:sz w:val="20"/>
                <w:szCs w:val="20"/>
              </w:rPr>
            </w:pPr>
            <w:r>
              <w:rPr>
                <w:rFonts w:eastAsia="Times New Roman"/>
                <w:sz w:val="20"/>
                <w:szCs w:val="20"/>
              </w:rPr>
              <w:t>52,600</w:t>
            </w:r>
          </w:p>
        </w:tc>
        <w:tc>
          <w:tcPr>
            <w:tcW w:w="50" w:type="pct"/>
            <w:shd w:val="clear" w:color="auto" w:fill="CCEEFF"/>
            <w:noWrap/>
            <w:vAlign w:val="center"/>
            <w:hideMark/>
          </w:tcPr>
          <w:p w14:paraId="3AB5525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24489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01AE2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B83248D" w14:textId="77777777" w:rsidR="00000000" w:rsidRDefault="00EB4933">
            <w:pPr>
              <w:jc w:val="right"/>
              <w:rPr>
                <w:rFonts w:eastAsia="Times New Roman"/>
                <w:sz w:val="20"/>
                <w:szCs w:val="20"/>
              </w:rPr>
            </w:pPr>
            <w:r>
              <w:rPr>
                <w:rFonts w:eastAsia="Times New Roman"/>
                <w:sz w:val="20"/>
                <w:szCs w:val="20"/>
              </w:rPr>
              <w:t>5,000</w:t>
            </w:r>
          </w:p>
        </w:tc>
        <w:tc>
          <w:tcPr>
            <w:tcW w:w="50" w:type="pct"/>
            <w:shd w:val="clear" w:color="auto" w:fill="CCEEFF"/>
            <w:noWrap/>
            <w:vAlign w:val="center"/>
            <w:hideMark/>
          </w:tcPr>
          <w:p w14:paraId="311DFDE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A2681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80777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E74487A" w14:textId="77777777" w:rsidR="00000000" w:rsidRDefault="00EB4933">
            <w:pPr>
              <w:jc w:val="right"/>
              <w:rPr>
                <w:rFonts w:eastAsia="Times New Roman"/>
                <w:sz w:val="20"/>
                <w:szCs w:val="20"/>
              </w:rPr>
            </w:pPr>
            <w:r>
              <w:rPr>
                <w:rFonts w:eastAsia="Times New Roman"/>
                <w:sz w:val="20"/>
                <w:szCs w:val="20"/>
              </w:rPr>
              <w:t>13,000</w:t>
            </w:r>
          </w:p>
        </w:tc>
        <w:tc>
          <w:tcPr>
            <w:tcW w:w="50" w:type="pct"/>
            <w:shd w:val="clear" w:color="auto" w:fill="CCEEFF"/>
            <w:noWrap/>
            <w:vAlign w:val="center"/>
            <w:hideMark/>
          </w:tcPr>
          <w:p w14:paraId="4E0D6356" w14:textId="77777777" w:rsidR="00000000" w:rsidRDefault="00EB4933">
            <w:pPr>
              <w:pStyle w:val="NormalWeb"/>
              <w:spacing w:before="0" w:beforeAutospacing="0" w:after="0" w:afterAutospacing="0"/>
              <w:rPr>
                <w:sz w:val="20"/>
                <w:szCs w:val="20"/>
              </w:rPr>
            </w:pPr>
            <w:r>
              <w:rPr>
                <w:sz w:val="20"/>
                <w:szCs w:val="20"/>
              </w:rPr>
              <w:t> </w:t>
            </w:r>
          </w:p>
        </w:tc>
      </w:tr>
      <w:tr w:rsidR="00000000" w14:paraId="4FD7B6A3" w14:textId="77777777">
        <w:trPr>
          <w:divId w:val="98525094"/>
          <w:trHeight w:val="225"/>
          <w:tblCellSpacing w:w="15" w:type="dxa"/>
        </w:trPr>
        <w:tc>
          <w:tcPr>
            <w:tcW w:w="0" w:type="auto"/>
            <w:shd w:val="clear" w:color="auto" w:fill="FFFFFF"/>
            <w:hideMark/>
          </w:tcPr>
          <w:p w14:paraId="4C08E733" w14:textId="77777777" w:rsidR="00000000" w:rsidRDefault="00EB4933">
            <w:pPr>
              <w:pStyle w:val="NormalWeb"/>
              <w:spacing w:before="0" w:beforeAutospacing="0" w:after="0" w:afterAutospacing="0"/>
              <w:rPr>
                <w:sz w:val="20"/>
                <w:szCs w:val="20"/>
              </w:rPr>
            </w:pPr>
            <w:r>
              <w:rPr>
                <w:sz w:val="20"/>
                <w:szCs w:val="20"/>
              </w:rPr>
              <w:t>Repayments of shareholders’ loans</w:t>
            </w:r>
          </w:p>
        </w:tc>
        <w:tc>
          <w:tcPr>
            <w:tcW w:w="50" w:type="pct"/>
            <w:shd w:val="clear" w:color="auto" w:fill="FFFFFF"/>
            <w:noWrap/>
            <w:vAlign w:val="center"/>
            <w:hideMark/>
          </w:tcPr>
          <w:p w14:paraId="0C9A649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11151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C6334AE" w14:textId="77777777" w:rsidR="00000000" w:rsidRDefault="00EB4933">
            <w:pPr>
              <w:jc w:val="right"/>
              <w:rPr>
                <w:rFonts w:eastAsia="Times New Roman"/>
                <w:sz w:val="20"/>
                <w:szCs w:val="20"/>
              </w:rPr>
            </w:pPr>
            <w:r>
              <w:rPr>
                <w:rFonts w:eastAsia="Times New Roman"/>
                <w:sz w:val="20"/>
                <w:szCs w:val="20"/>
              </w:rPr>
              <w:t>(42,600</w:t>
            </w:r>
          </w:p>
        </w:tc>
        <w:tc>
          <w:tcPr>
            <w:tcW w:w="50" w:type="pct"/>
            <w:shd w:val="clear" w:color="auto" w:fill="FFFFFF"/>
            <w:noWrap/>
            <w:vAlign w:val="bottom"/>
            <w:hideMark/>
          </w:tcPr>
          <w:p w14:paraId="24E8AD76"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D534ED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03CF0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D29A88A" w14:textId="77777777" w:rsidR="00000000" w:rsidRDefault="00EB4933">
            <w:pPr>
              <w:jc w:val="right"/>
              <w:rPr>
                <w:rFonts w:eastAsia="Times New Roman"/>
                <w:sz w:val="20"/>
                <w:szCs w:val="20"/>
              </w:rPr>
            </w:pPr>
            <w:r>
              <w:rPr>
                <w:rFonts w:eastAsia="Times New Roman"/>
                <w:sz w:val="20"/>
                <w:szCs w:val="20"/>
              </w:rPr>
              <w:t>(5,000</w:t>
            </w:r>
          </w:p>
        </w:tc>
        <w:tc>
          <w:tcPr>
            <w:tcW w:w="50" w:type="pct"/>
            <w:shd w:val="clear" w:color="auto" w:fill="FFFFFF"/>
            <w:noWrap/>
            <w:vAlign w:val="bottom"/>
            <w:hideMark/>
          </w:tcPr>
          <w:p w14:paraId="0233990B"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082E57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AA792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EF69301" w14:textId="77777777" w:rsidR="00000000" w:rsidRDefault="00EB4933">
            <w:pPr>
              <w:jc w:val="right"/>
              <w:rPr>
                <w:rFonts w:eastAsia="Times New Roman"/>
                <w:sz w:val="20"/>
                <w:szCs w:val="20"/>
              </w:rPr>
            </w:pPr>
            <w:r>
              <w:rPr>
                <w:rFonts w:eastAsia="Times New Roman"/>
                <w:sz w:val="20"/>
                <w:szCs w:val="20"/>
              </w:rPr>
              <w:t>(3,000</w:t>
            </w:r>
          </w:p>
        </w:tc>
        <w:tc>
          <w:tcPr>
            <w:tcW w:w="50" w:type="pct"/>
            <w:shd w:val="clear" w:color="auto" w:fill="FFFFFF"/>
            <w:noWrap/>
            <w:vAlign w:val="bottom"/>
            <w:hideMark/>
          </w:tcPr>
          <w:p w14:paraId="24724BEE" w14:textId="77777777" w:rsidR="00000000" w:rsidRDefault="00EB4933">
            <w:pPr>
              <w:rPr>
                <w:rFonts w:eastAsia="Times New Roman"/>
                <w:sz w:val="20"/>
                <w:szCs w:val="20"/>
              </w:rPr>
            </w:pPr>
            <w:r>
              <w:rPr>
                <w:rFonts w:eastAsia="Times New Roman"/>
                <w:sz w:val="20"/>
                <w:szCs w:val="20"/>
              </w:rPr>
              <w:t>)</w:t>
            </w:r>
          </w:p>
        </w:tc>
      </w:tr>
      <w:tr w:rsidR="00000000" w14:paraId="5503D27C" w14:textId="77777777">
        <w:trPr>
          <w:divId w:val="98525094"/>
          <w:trHeight w:val="225"/>
          <w:tblCellSpacing w:w="15" w:type="dxa"/>
        </w:trPr>
        <w:tc>
          <w:tcPr>
            <w:tcW w:w="0" w:type="auto"/>
            <w:shd w:val="clear" w:color="auto" w:fill="CCEEFF"/>
            <w:hideMark/>
          </w:tcPr>
          <w:p w14:paraId="21866881" w14:textId="77777777" w:rsidR="00000000" w:rsidRDefault="00EB4933">
            <w:pPr>
              <w:pStyle w:val="NormalWeb"/>
              <w:spacing w:before="0" w:beforeAutospacing="0" w:after="0" w:afterAutospacing="0"/>
              <w:rPr>
                <w:sz w:val="20"/>
                <w:szCs w:val="20"/>
              </w:rPr>
            </w:pPr>
            <w:r>
              <w:rPr>
                <w:sz w:val="20"/>
                <w:szCs w:val="20"/>
              </w:rPr>
              <w:t>Proceeds received from loans payable</w:t>
            </w:r>
          </w:p>
        </w:tc>
        <w:tc>
          <w:tcPr>
            <w:tcW w:w="50" w:type="pct"/>
            <w:shd w:val="clear" w:color="auto" w:fill="CCEEFF"/>
            <w:noWrap/>
            <w:vAlign w:val="center"/>
            <w:hideMark/>
          </w:tcPr>
          <w:p w14:paraId="3C63D5C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0E41D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7008E34" w14:textId="77777777" w:rsidR="00000000" w:rsidRDefault="00EB4933">
            <w:pPr>
              <w:jc w:val="right"/>
              <w:rPr>
                <w:rFonts w:eastAsia="Times New Roman"/>
                <w:sz w:val="20"/>
                <w:szCs w:val="20"/>
              </w:rPr>
            </w:pPr>
            <w:r>
              <w:rPr>
                <w:rFonts w:eastAsia="Times New Roman"/>
                <w:sz w:val="20"/>
                <w:szCs w:val="20"/>
              </w:rPr>
              <w:t>363,700</w:t>
            </w:r>
          </w:p>
        </w:tc>
        <w:tc>
          <w:tcPr>
            <w:tcW w:w="50" w:type="pct"/>
            <w:shd w:val="clear" w:color="auto" w:fill="CCEEFF"/>
            <w:noWrap/>
            <w:vAlign w:val="center"/>
            <w:hideMark/>
          </w:tcPr>
          <w:p w14:paraId="3B5C241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E1D0A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0ECDB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4F6DC04" w14:textId="77777777" w:rsidR="00000000" w:rsidRDefault="00EB4933">
            <w:pPr>
              <w:jc w:val="right"/>
              <w:rPr>
                <w:rFonts w:eastAsia="Times New Roman"/>
                <w:sz w:val="20"/>
                <w:szCs w:val="20"/>
              </w:rPr>
            </w:pPr>
            <w:r>
              <w:rPr>
                <w:rFonts w:eastAsia="Times New Roman"/>
                <w:sz w:val="20"/>
                <w:szCs w:val="20"/>
              </w:rPr>
              <w:t>308,629</w:t>
            </w:r>
          </w:p>
        </w:tc>
        <w:tc>
          <w:tcPr>
            <w:tcW w:w="50" w:type="pct"/>
            <w:shd w:val="clear" w:color="auto" w:fill="CCEEFF"/>
            <w:noWrap/>
            <w:vAlign w:val="center"/>
            <w:hideMark/>
          </w:tcPr>
          <w:p w14:paraId="1D636CE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56BA6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3905D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2A2B4F7" w14:textId="77777777" w:rsidR="00000000" w:rsidRDefault="00EB4933">
            <w:pPr>
              <w:jc w:val="right"/>
              <w:rPr>
                <w:rFonts w:eastAsia="Times New Roman"/>
                <w:sz w:val="20"/>
                <w:szCs w:val="20"/>
              </w:rPr>
            </w:pPr>
            <w:r>
              <w:rPr>
                <w:rFonts w:eastAsia="Times New Roman"/>
                <w:sz w:val="20"/>
                <w:szCs w:val="20"/>
              </w:rPr>
              <w:t>48,142</w:t>
            </w:r>
          </w:p>
        </w:tc>
        <w:tc>
          <w:tcPr>
            <w:tcW w:w="50" w:type="pct"/>
            <w:shd w:val="clear" w:color="auto" w:fill="CCEEFF"/>
            <w:noWrap/>
            <w:vAlign w:val="center"/>
            <w:hideMark/>
          </w:tcPr>
          <w:p w14:paraId="67056515" w14:textId="77777777" w:rsidR="00000000" w:rsidRDefault="00EB4933">
            <w:pPr>
              <w:pStyle w:val="NormalWeb"/>
              <w:spacing w:before="0" w:beforeAutospacing="0" w:after="0" w:afterAutospacing="0"/>
              <w:rPr>
                <w:sz w:val="20"/>
                <w:szCs w:val="20"/>
              </w:rPr>
            </w:pPr>
            <w:r>
              <w:rPr>
                <w:sz w:val="20"/>
                <w:szCs w:val="20"/>
              </w:rPr>
              <w:t> </w:t>
            </w:r>
          </w:p>
        </w:tc>
      </w:tr>
      <w:tr w:rsidR="00000000" w14:paraId="472BA4E3" w14:textId="77777777">
        <w:trPr>
          <w:divId w:val="98525094"/>
          <w:trHeight w:val="225"/>
          <w:tblCellSpacing w:w="15" w:type="dxa"/>
        </w:trPr>
        <w:tc>
          <w:tcPr>
            <w:tcW w:w="0" w:type="auto"/>
            <w:shd w:val="clear" w:color="auto" w:fill="FFFFFF"/>
            <w:hideMark/>
          </w:tcPr>
          <w:p w14:paraId="0EAEC28E" w14:textId="77777777" w:rsidR="00000000" w:rsidRDefault="00EB4933">
            <w:pPr>
              <w:pStyle w:val="NormalWeb"/>
              <w:spacing w:before="0" w:beforeAutospacing="0" w:after="0" w:afterAutospacing="0"/>
              <w:rPr>
                <w:sz w:val="20"/>
                <w:szCs w:val="20"/>
              </w:rPr>
            </w:pPr>
            <w:r>
              <w:rPr>
                <w:sz w:val="20"/>
                <w:szCs w:val="20"/>
              </w:rPr>
              <w:t>Repayments of loans payable</w:t>
            </w:r>
          </w:p>
        </w:tc>
        <w:tc>
          <w:tcPr>
            <w:tcW w:w="50" w:type="pct"/>
            <w:shd w:val="clear" w:color="auto" w:fill="FFFFFF"/>
            <w:noWrap/>
            <w:vAlign w:val="center"/>
            <w:hideMark/>
          </w:tcPr>
          <w:p w14:paraId="616A7D7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D5BAA0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0959A31" w14:textId="77777777" w:rsidR="00000000" w:rsidRDefault="00EB4933">
            <w:pPr>
              <w:jc w:val="right"/>
              <w:rPr>
                <w:rFonts w:eastAsia="Times New Roman"/>
                <w:sz w:val="20"/>
                <w:szCs w:val="20"/>
              </w:rPr>
            </w:pPr>
            <w:r>
              <w:rPr>
                <w:rFonts w:eastAsia="Times New Roman"/>
                <w:sz w:val="20"/>
                <w:szCs w:val="20"/>
              </w:rPr>
              <w:t>(347,800</w:t>
            </w:r>
          </w:p>
        </w:tc>
        <w:tc>
          <w:tcPr>
            <w:tcW w:w="50" w:type="pct"/>
            <w:shd w:val="clear" w:color="auto" w:fill="FFFFFF"/>
            <w:noWrap/>
            <w:tcMar>
              <w:top w:w="0" w:type="dxa"/>
              <w:left w:w="0" w:type="dxa"/>
              <w:bottom w:w="15" w:type="dxa"/>
              <w:right w:w="0" w:type="dxa"/>
            </w:tcMar>
            <w:vAlign w:val="bottom"/>
            <w:hideMark/>
          </w:tcPr>
          <w:p w14:paraId="16491BA0"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DB58A1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87F5A5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8B9881C" w14:textId="77777777" w:rsidR="00000000" w:rsidRDefault="00EB4933">
            <w:pPr>
              <w:jc w:val="right"/>
              <w:rPr>
                <w:rFonts w:eastAsia="Times New Roman"/>
                <w:sz w:val="20"/>
                <w:szCs w:val="20"/>
              </w:rPr>
            </w:pPr>
            <w:r>
              <w:rPr>
                <w:rFonts w:eastAsia="Times New Roman"/>
                <w:sz w:val="20"/>
                <w:szCs w:val="20"/>
              </w:rPr>
              <w:t>(414,924</w:t>
            </w:r>
          </w:p>
        </w:tc>
        <w:tc>
          <w:tcPr>
            <w:tcW w:w="50" w:type="pct"/>
            <w:shd w:val="clear" w:color="auto" w:fill="FFFFFF"/>
            <w:noWrap/>
            <w:tcMar>
              <w:top w:w="0" w:type="dxa"/>
              <w:left w:w="0" w:type="dxa"/>
              <w:bottom w:w="15" w:type="dxa"/>
              <w:right w:w="0" w:type="dxa"/>
            </w:tcMar>
            <w:vAlign w:val="bottom"/>
            <w:hideMark/>
          </w:tcPr>
          <w:p w14:paraId="20A75F1C"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FF86CD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87472B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6626F15" w14:textId="77777777" w:rsidR="00000000" w:rsidRDefault="00EB4933">
            <w:pPr>
              <w:jc w:val="right"/>
              <w:rPr>
                <w:rFonts w:eastAsia="Times New Roman"/>
                <w:sz w:val="20"/>
                <w:szCs w:val="20"/>
              </w:rPr>
            </w:pPr>
            <w:r>
              <w:rPr>
                <w:rFonts w:eastAsia="Times New Roman"/>
                <w:sz w:val="20"/>
                <w:szCs w:val="20"/>
              </w:rPr>
              <w:t>(79,345</w:t>
            </w:r>
          </w:p>
        </w:tc>
        <w:tc>
          <w:tcPr>
            <w:tcW w:w="50" w:type="pct"/>
            <w:shd w:val="clear" w:color="auto" w:fill="FFFFFF"/>
            <w:noWrap/>
            <w:tcMar>
              <w:top w:w="0" w:type="dxa"/>
              <w:left w:w="0" w:type="dxa"/>
              <w:bottom w:w="15" w:type="dxa"/>
              <w:right w:w="0" w:type="dxa"/>
            </w:tcMar>
            <w:vAlign w:val="bottom"/>
            <w:hideMark/>
          </w:tcPr>
          <w:p w14:paraId="394C8233" w14:textId="77777777" w:rsidR="00000000" w:rsidRDefault="00EB4933">
            <w:pPr>
              <w:rPr>
                <w:rFonts w:eastAsia="Times New Roman"/>
                <w:sz w:val="20"/>
                <w:szCs w:val="20"/>
              </w:rPr>
            </w:pPr>
            <w:r>
              <w:rPr>
                <w:rFonts w:eastAsia="Times New Roman"/>
                <w:sz w:val="20"/>
                <w:szCs w:val="20"/>
              </w:rPr>
              <w:t>)</w:t>
            </w:r>
          </w:p>
        </w:tc>
      </w:tr>
      <w:tr w:rsidR="00000000" w14:paraId="3CC8F535" w14:textId="77777777">
        <w:trPr>
          <w:divId w:val="98525094"/>
          <w:trHeight w:val="225"/>
          <w:tblCellSpacing w:w="15" w:type="dxa"/>
        </w:trPr>
        <w:tc>
          <w:tcPr>
            <w:tcW w:w="0" w:type="auto"/>
            <w:shd w:val="clear" w:color="auto" w:fill="CCEEFF"/>
            <w:hideMark/>
          </w:tcPr>
          <w:p w14:paraId="70616171" w14:textId="77777777" w:rsidR="00000000" w:rsidRDefault="00EB4933">
            <w:pPr>
              <w:pStyle w:val="NormalWeb"/>
              <w:spacing w:before="0" w:beforeAutospacing="0" w:after="0" w:afterAutospacing="0"/>
              <w:rPr>
                <w:sz w:val="20"/>
                <w:szCs w:val="20"/>
              </w:rPr>
            </w:pPr>
            <w:r>
              <w:rPr>
                <w:rStyle w:val="Strong"/>
                <w:sz w:val="20"/>
                <w:szCs w:val="20"/>
              </w:rPr>
              <w:t>Net cash generated/(used) by financing activities</w:t>
            </w:r>
          </w:p>
        </w:tc>
        <w:tc>
          <w:tcPr>
            <w:tcW w:w="50" w:type="pct"/>
            <w:shd w:val="clear" w:color="auto" w:fill="CCEEFF"/>
            <w:noWrap/>
            <w:vAlign w:val="center"/>
            <w:hideMark/>
          </w:tcPr>
          <w:p w14:paraId="62E4291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609D0C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19BC960" w14:textId="77777777" w:rsidR="00000000" w:rsidRDefault="00EB4933">
            <w:pPr>
              <w:jc w:val="right"/>
              <w:rPr>
                <w:rFonts w:eastAsia="Times New Roman"/>
                <w:sz w:val="20"/>
                <w:szCs w:val="20"/>
              </w:rPr>
            </w:pPr>
            <w:r>
              <w:rPr>
                <w:rFonts w:eastAsia="Times New Roman"/>
                <w:sz w:val="20"/>
                <w:szCs w:val="20"/>
              </w:rPr>
              <w:t>10,273</w:t>
            </w:r>
          </w:p>
        </w:tc>
        <w:tc>
          <w:tcPr>
            <w:tcW w:w="50" w:type="pct"/>
            <w:shd w:val="clear" w:color="auto" w:fill="CCEEFF"/>
            <w:noWrap/>
            <w:tcMar>
              <w:top w:w="0" w:type="dxa"/>
              <w:left w:w="0" w:type="dxa"/>
              <w:bottom w:w="15" w:type="dxa"/>
              <w:right w:w="0" w:type="dxa"/>
            </w:tcMar>
            <w:vAlign w:val="center"/>
            <w:hideMark/>
          </w:tcPr>
          <w:p w14:paraId="7089223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F3917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62086A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8D9A6C2" w14:textId="77777777" w:rsidR="00000000" w:rsidRDefault="00EB4933">
            <w:pPr>
              <w:jc w:val="right"/>
              <w:rPr>
                <w:rFonts w:eastAsia="Times New Roman"/>
                <w:sz w:val="20"/>
                <w:szCs w:val="20"/>
              </w:rPr>
            </w:pPr>
            <w:r>
              <w:rPr>
                <w:rFonts w:eastAsia="Times New Roman"/>
                <w:sz w:val="20"/>
                <w:szCs w:val="20"/>
              </w:rPr>
              <w:t>(26,795</w:t>
            </w:r>
          </w:p>
        </w:tc>
        <w:tc>
          <w:tcPr>
            <w:tcW w:w="50" w:type="pct"/>
            <w:shd w:val="clear" w:color="auto" w:fill="CCEEFF"/>
            <w:noWrap/>
            <w:tcMar>
              <w:top w:w="0" w:type="dxa"/>
              <w:left w:w="0" w:type="dxa"/>
              <w:bottom w:w="15" w:type="dxa"/>
              <w:right w:w="0" w:type="dxa"/>
            </w:tcMar>
            <w:vAlign w:val="bottom"/>
            <w:hideMark/>
          </w:tcPr>
          <w:p w14:paraId="70DF12E7"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8E50B2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5E890F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60EDC88" w14:textId="77777777" w:rsidR="00000000" w:rsidRDefault="00EB4933">
            <w:pPr>
              <w:jc w:val="right"/>
              <w:rPr>
                <w:rFonts w:eastAsia="Times New Roman"/>
                <w:sz w:val="20"/>
                <w:szCs w:val="20"/>
              </w:rPr>
            </w:pPr>
            <w:r>
              <w:rPr>
                <w:rFonts w:eastAsia="Times New Roman"/>
                <w:sz w:val="20"/>
                <w:szCs w:val="20"/>
              </w:rPr>
              <w:t>(18,462</w:t>
            </w:r>
          </w:p>
        </w:tc>
        <w:tc>
          <w:tcPr>
            <w:tcW w:w="50" w:type="pct"/>
            <w:shd w:val="clear" w:color="auto" w:fill="CCEEFF"/>
            <w:noWrap/>
            <w:tcMar>
              <w:top w:w="0" w:type="dxa"/>
              <w:left w:w="0" w:type="dxa"/>
              <w:bottom w:w="15" w:type="dxa"/>
              <w:right w:w="0" w:type="dxa"/>
            </w:tcMar>
            <w:vAlign w:val="bottom"/>
            <w:hideMark/>
          </w:tcPr>
          <w:p w14:paraId="032EFDBD" w14:textId="77777777" w:rsidR="00000000" w:rsidRDefault="00EB4933">
            <w:pPr>
              <w:rPr>
                <w:rFonts w:eastAsia="Times New Roman"/>
                <w:sz w:val="20"/>
                <w:szCs w:val="20"/>
              </w:rPr>
            </w:pPr>
            <w:r>
              <w:rPr>
                <w:rFonts w:eastAsia="Times New Roman"/>
                <w:sz w:val="20"/>
                <w:szCs w:val="20"/>
              </w:rPr>
              <w:t>)</w:t>
            </w:r>
          </w:p>
        </w:tc>
      </w:tr>
      <w:tr w:rsidR="00000000" w14:paraId="0171D1C8" w14:textId="77777777">
        <w:trPr>
          <w:divId w:val="98525094"/>
          <w:trHeight w:val="225"/>
          <w:tblCellSpacing w:w="15" w:type="dxa"/>
        </w:trPr>
        <w:tc>
          <w:tcPr>
            <w:tcW w:w="0" w:type="auto"/>
            <w:shd w:val="clear" w:color="auto" w:fill="FFFFFF"/>
            <w:vAlign w:val="center"/>
            <w:hideMark/>
          </w:tcPr>
          <w:p w14:paraId="0473B8E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89BE8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5E180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DCBC09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A8661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60E57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4F8B6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1A3B65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975C8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C6A6D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FAD46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5B4496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705B77" w14:textId="77777777" w:rsidR="00000000" w:rsidRDefault="00EB4933">
            <w:pPr>
              <w:pStyle w:val="NormalWeb"/>
              <w:spacing w:before="0" w:beforeAutospacing="0" w:after="0" w:afterAutospacing="0"/>
              <w:rPr>
                <w:sz w:val="20"/>
                <w:szCs w:val="20"/>
              </w:rPr>
            </w:pPr>
            <w:r>
              <w:rPr>
                <w:sz w:val="20"/>
                <w:szCs w:val="20"/>
              </w:rPr>
              <w:t> </w:t>
            </w:r>
          </w:p>
        </w:tc>
      </w:tr>
      <w:tr w:rsidR="00000000" w14:paraId="192B746B" w14:textId="77777777">
        <w:trPr>
          <w:divId w:val="98525094"/>
          <w:trHeight w:val="225"/>
          <w:tblCellSpacing w:w="15" w:type="dxa"/>
        </w:trPr>
        <w:tc>
          <w:tcPr>
            <w:tcW w:w="0" w:type="auto"/>
            <w:shd w:val="clear" w:color="auto" w:fill="CCEEFF"/>
            <w:hideMark/>
          </w:tcPr>
          <w:p w14:paraId="06898834" w14:textId="77777777" w:rsidR="00000000" w:rsidRDefault="00EB4933">
            <w:pPr>
              <w:pStyle w:val="NormalWeb"/>
              <w:spacing w:before="0" w:beforeAutospacing="0" w:after="0" w:afterAutospacing="0"/>
              <w:rPr>
                <w:sz w:val="20"/>
                <w:szCs w:val="20"/>
              </w:rPr>
            </w:pPr>
            <w:r>
              <w:rPr>
                <w:sz w:val="20"/>
                <w:szCs w:val="20"/>
              </w:rPr>
              <w:t>Net decrease in cash, cash equivalents and restricted cash</w:t>
            </w:r>
          </w:p>
        </w:tc>
        <w:tc>
          <w:tcPr>
            <w:tcW w:w="50" w:type="pct"/>
            <w:shd w:val="clear" w:color="auto" w:fill="CCEEFF"/>
            <w:noWrap/>
            <w:vAlign w:val="center"/>
            <w:hideMark/>
          </w:tcPr>
          <w:p w14:paraId="653ADC4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2072C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DE0099E" w14:textId="77777777" w:rsidR="00000000" w:rsidRDefault="00EB4933">
            <w:pPr>
              <w:jc w:val="right"/>
              <w:rPr>
                <w:rFonts w:eastAsia="Times New Roman"/>
                <w:sz w:val="20"/>
                <w:szCs w:val="20"/>
              </w:rPr>
            </w:pPr>
            <w:r>
              <w:rPr>
                <w:rFonts w:eastAsia="Times New Roman"/>
                <w:sz w:val="20"/>
                <w:szCs w:val="20"/>
              </w:rPr>
              <w:t>(75,074</w:t>
            </w:r>
          </w:p>
        </w:tc>
        <w:tc>
          <w:tcPr>
            <w:tcW w:w="50" w:type="pct"/>
            <w:shd w:val="clear" w:color="auto" w:fill="CCEEFF"/>
            <w:noWrap/>
            <w:vAlign w:val="bottom"/>
            <w:hideMark/>
          </w:tcPr>
          <w:p w14:paraId="76DDDD9E"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88BF3D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15E88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F874F94" w14:textId="77777777" w:rsidR="00000000" w:rsidRDefault="00EB4933">
            <w:pPr>
              <w:jc w:val="right"/>
              <w:rPr>
                <w:rFonts w:eastAsia="Times New Roman"/>
                <w:sz w:val="20"/>
                <w:szCs w:val="20"/>
              </w:rPr>
            </w:pPr>
            <w:r>
              <w:rPr>
                <w:rFonts w:eastAsia="Times New Roman"/>
                <w:sz w:val="20"/>
                <w:szCs w:val="20"/>
              </w:rPr>
              <w:t>(17,914</w:t>
            </w:r>
          </w:p>
        </w:tc>
        <w:tc>
          <w:tcPr>
            <w:tcW w:w="50" w:type="pct"/>
            <w:shd w:val="clear" w:color="auto" w:fill="CCEEFF"/>
            <w:noWrap/>
            <w:vAlign w:val="bottom"/>
            <w:hideMark/>
          </w:tcPr>
          <w:p w14:paraId="2504990A"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C6FD7E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BB308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D429DCB" w14:textId="77777777" w:rsidR="00000000" w:rsidRDefault="00EB4933">
            <w:pPr>
              <w:jc w:val="right"/>
              <w:rPr>
                <w:rFonts w:eastAsia="Times New Roman"/>
                <w:sz w:val="20"/>
                <w:szCs w:val="20"/>
              </w:rPr>
            </w:pPr>
            <w:r>
              <w:rPr>
                <w:rFonts w:eastAsia="Times New Roman"/>
                <w:sz w:val="20"/>
                <w:szCs w:val="20"/>
              </w:rPr>
              <w:t>(3,461</w:t>
            </w:r>
          </w:p>
        </w:tc>
        <w:tc>
          <w:tcPr>
            <w:tcW w:w="50" w:type="pct"/>
            <w:shd w:val="clear" w:color="auto" w:fill="CCEEFF"/>
            <w:noWrap/>
            <w:vAlign w:val="bottom"/>
            <w:hideMark/>
          </w:tcPr>
          <w:p w14:paraId="4FAC1EEE" w14:textId="77777777" w:rsidR="00000000" w:rsidRDefault="00EB4933">
            <w:pPr>
              <w:rPr>
                <w:rFonts w:eastAsia="Times New Roman"/>
                <w:sz w:val="20"/>
                <w:szCs w:val="20"/>
              </w:rPr>
            </w:pPr>
            <w:r>
              <w:rPr>
                <w:rFonts w:eastAsia="Times New Roman"/>
                <w:sz w:val="20"/>
                <w:szCs w:val="20"/>
              </w:rPr>
              <w:t>)</w:t>
            </w:r>
          </w:p>
        </w:tc>
      </w:tr>
      <w:tr w:rsidR="00000000" w14:paraId="77FE0668" w14:textId="77777777">
        <w:trPr>
          <w:divId w:val="98525094"/>
          <w:trHeight w:val="225"/>
          <w:tblCellSpacing w:w="15" w:type="dxa"/>
        </w:trPr>
        <w:tc>
          <w:tcPr>
            <w:tcW w:w="0" w:type="auto"/>
            <w:shd w:val="clear" w:color="auto" w:fill="FFFFFF"/>
            <w:hideMark/>
          </w:tcPr>
          <w:p w14:paraId="331DEC30" w14:textId="77777777" w:rsidR="00000000" w:rsidRDefault="00EB4933">
            <w:pPr>
              <w:pStyle w:val="NormalWeb"/>
              <w:spacing w:before="0" w:beforeAutospacing="0" w:after="0" w:afterAutospacing="0"/>
              <w:rPr>
                <w:sz w:val="20"/>
                <w:szCs w:val="20"/>
              </w:rPr>
            </w:pPr>
            <w:r>
              <w:rPr>
                <w:sz w:val="20"/>
                <w:szCs w:val="20"/>
              </w:rPr>
              <w:lastRenderedPageBreak/>
              <w:t>Cash and cash equivalents at beginning of year</w:t>
            </w:r>
          </w:p>
        </w:tc>
        <w:tc>
          <w:tcPr>
            <w:tcW w:w="50" w:type="pct"/>
            <w:shd w:val="clear" w:color="auto" w:fill="FFFFFF"/>
            <w:noWrap/>
            <w:vAlign w:val="center"/>
            <w:hideMark/>
          </w:tcPr>
          <w:p w14:paraId="1DFAB39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C7C27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B7CA560" w14:textId="77777777" w:rsidR="00000000" w:rsidRDefault="00EB4933">
            <w:pPr>
              <w:jc w:val="right"/>
              <w:rPr>
                <w:rFonts w:eastAsia="Times New Roman"/>
                <w:sz w:val="20"/>
                <w:szCs w:val="20"/>
              </w:rPr>
            </w:pPr>
            <w:r>
              <w:rPr>
                <w:rFonts w:eastAsia="Times New Roman"/>
                <w:sz w:val="20"/>
                <w:szCs w:val="20"/>
              </w:rPr>
              <w:t>96,791</w:t>
            </w:r>
          </w:p>
        </w:tc>
        <w:tc>
          <w:tcPr>
            <w:tcW w:w="50" w:type="pct"/>
            <w:shd w:val="clear" w:color="auto" w:fill="FFFFFF"/>
            <w:noWrap/>
            <w:vAlign w:val="center"/>
            <w:hideMark/>
          </w:tcPr>
          <w:p w14:paraId="07E132A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614E9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11D95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4CBC590" w14:textId="77777777" w:rsidR="00000000" w:rsidRDefault="00EB4933">
            <w:pPr>
              <w:jc w:val="right"/>
              <w:rPr>
                <w:rFonts w:eastAsia="Times New Roman"/>
                <w:sz w:val="20"/>
                <w:szCs w:val="20"/>
              </w:rPr>
            </w:pPr>
            <w:r>
              <w:rPr>
                <w:rFonts w:eastAsia="Times New Roman"/>
                <w:sz w:val="20"/>
                <w:szCs w:val="20"/>
              </w:rPr>
              <w:t>21,717</w:t>
            </w:r>
          </w:p>
        </w:tc>
        <w:tc>
          <w:tcPr>
            <w:tcW w:w="50" w:type="pct"/>
            <w:shd w:val="clear" w:color="auto" w:fill="FFFFFF"/>
            <w:noWrap/>
            <w:vAlign w:val="center"/>
            <w:hideMark/>
          </w:tcPr>
          <w:p w14:paraId="1866C87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24EB4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61B95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10EFB59" w14:textId="77777777" w:rsidR="00000000" w:rsidRDefault="00EB4933">
            <w:pPr>
              <w:jc w:val="right"/>
              <w:rPr>
                <w:rFonts w:eastAsia="Times New Roman"/>
                <w:sz w:val="20"/>
                <w:szCs w:val="20"/>
              </w:rPr>
            </w:pPr>
            <w:r>
              <w:rPr>
                <w:rFonts w:eastAsia="Times New Roman"/>
                <w:sz w:val="20"/>
                <w:szCs w:val="20"/>
              </w:rPr>
              <w:t>3,188</w:t>
            </w:r>
          </w:p>
        </w:tc>
        <w:tc>
          <w:tcPr>
            <w:tcW w:w="50" w:type="pct"/>
            <w:shd w:val="clear" w:color="auto" w:fill="FFFFFF"/>
            <w:noWrap/>
            <w:vAlign w:val="center"/>
            <w:hideMark/>
          </w:tcPr>
          <w:p w14:paraId="36CD2B2C" w14:textId="77777777" w:rsidR="00000000" w:rsidRDefault="00EB4933">
            <w:pPr>
              <w:pStyle w:val="NormalWeb"/>
              <w:spacing w:before="0" w:beforeAutospacing="0" w:after="0" w:afterAutospacing="0"/>
              <w:rPr>
                <w:sz w:val="20"/>
                <w:szCs w:val="20"/>
              </w:rPr>
            </w:pPr>
            <w:r>
              <w:rPr>
                <w:sz w:val="20"/>
                <w:szCs w:val="20"/>
              </w:rPr>
              <w:t> </w:t>
            </w:r>
          </w:p>
        </w:tc>
      </w:tr>
      <w:tr w:rsidR="00000000" w14:paraId="42FFD92C" w14:textId="77777777">
        <w:trPr>
          <w:divId w:val="98525094"/>
          <w:trHeight w:val="225"/>
          <w:tblCellSpacing w:w="15" w:type="dxa"/>
        </w:trPr>
        <w:tc>
          <w:tcPr>
            <w:tcW w:w="0" w:type="auto"/>
            <w:shd w:val="clear" w:color="auto" w:fill="CCEEFF"/>
            <w:hideMark/>
          </w:tcPr>
          <w:p w14:paraId="6748BDC3" w14:textId="77777777" w:rsidR="00000000" w:rsidRDefault="00EB4933">
            <w:pPr>
              <w:pStyle w:val="NormalWeb"/>
              <w:spacing w:before="0" w:beforeAutospacing="0" w:after="0" w:afterAutospacing="0"/>
              <w:rPr>
                <w:sz w:val="20"/>
                <w:szCs w:val="20"/>
              </w:rPr>
            </w:pPr>
            <w:r>
              <w:rPr>
                <w:sz w:val="20"/>
                <w:szCs w:val="20"/>
              </w:rPr>
              <w:t>Exchange losses on cash, cash equivalents and restricted cash</w:t>
            </w:r>
          </w:p>
        </w:tc>
        <w:tc>
          <w:tcPr>
            <w:tcW w:w="50" w:type="pct"/>
            <w:shd w:val="clear" w:color="auto" w:fill="CCEEFF"/>
            <w:noWrap/>
            <w:vAlign w:val="center"/>
            <w:hideMark/>
          </w:tcPr>
          <w:p w14:paraId="6CA4D6F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AD724D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AABEED7"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30F69F8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53980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1FAFF2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51C76FB" w14:textId="77777777" w:rsidR="00000000" w:rsidRDefault="00EB4933">
            <w:pPr>
              <w:jc w:val="right"/>
              <w:rPr>
                <w:rFonts w:eastAsia="Times New Roman"/>
                <w:sz w:val="20"/>
                <w:szCs w:val="20"/>
              </w:rPr>
            </w:pPr>
            <w:r>
              <w:rPr>
                <w:rFonts w:eastAsia="Times New Roman"/>
                <w:sz w:val="20"/>
                <w:szCs w:val="20"/>
              </w:rPr>
              <w:t>(615</w:t>
            </w:r>
          </w:p>
        </w:tc>
        <w:tc>
          <w:tcPr>
            <w:tcW w:w="50" w:type="pct"/>
            <w:shd w:val="clear" w:color="auto" w:fill="CCEEFF"/>
            <w:noWrap/>
            <w:tcMar>
              <w:top w:w="0" w:type="dxa"/>
              <w:left w:w="0" w:type="dxa"/>
              <w:bottom w:w="15" w:type="dxa"/>
              <w:right w:w="0" w:type="dxa"/>
            </w:tcMar>
            <w:vAlign w:val="bottom"/>
            <w:hideMark/>
          </w:tcPr>
          <w:p w14:paraId="200D594C"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B27717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339505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8CC7046" w14:textId="77777777" w:rsidR="00000000" w:rsidRDefault="00EB4933">
            <w:pPr>
              <w:jc w:val="right"/>
              <w:rPr>
                <w:rFonts w:eastAsia="Times New Roman"/>
                <w:sz w:val="20"/>
                <w:szCs w:val="20"/>
              </w:rPr>
            </w:pPr>
            <w:r>
              <w:rPr>
                <w:rFonts w:eastAsia="Times New Roman"/>
                <w:sz w:val="20"/>
                <w:szCs w:val="20"/>
              </w:rPr>
              <w:t>405</w:t>
            </w:r>
          </w:p>
        </w:tc>
        <w:tc>
          <w:tcPr>
            <w:tcW w:w="50" w:type="pct"/>
            <w:shd w:val="clear" w:color="auto" w:fill="CCEEFF"/>
            <w:noWrap/>
            <w:tcMar>
              <w:top w:w="0" w:type="dxa"/>
              <w:left w:w="0" w:type="dxa"/>
              <w:bottom w:w="15" w:type="dxa"/>
              <w:right w:w="0" w:type="dxa"/>
            </w:tcMar>
            <w:vAlign w:val="center"/>
            <w:hideMark/>
          </w:tcPr>
          <w:p w14:paraId="55FC16B4" w14:textId="77777777" w:rsidR="00000000" w:rsidRDefault="00EB4933">
            <w:pPr>
              <w:pStyle w:val="NormalWeb"/>
              <w:spacing w:before="0" w:beforeAutospacing="0" w:after="0" w:afterAutospacing="0"/>
              <w:rPr>
                <w:sz w:val="20"/>
                <w:szCs w:val="20"/>
              </w:rPr>
            </w:pPr>
            <w:r>
              <w:rPr>
                <w:sz w:val="20"/>
                <w:szCs w:val="20"/>
              </w:rPr>
              <w:t> </w:t>
            </w:r>
          </w:p>
        </w:tc>
      </w:tr>
      <w:tr w:rsidR="00000000" w14:paraId="08892F07" w14:textId="77777777">
        <w:trPr>
          <w:divId w:val="98525094"/>
          <w:trHeight w:val="225"/>
          <w:tblCellSpacing w:w="15" w:type="dxa"/>
        </w:trPr>
        <w:tc>
          <w:tcPr>
            <w:tcW w:w="0" w:type="auto"/>
            <w:shd w:val="clear" w:color="auto" w:fill="FFFFFF"/>
            <w:hideMark/>
          </w:tcPr>
          <w:p w14:paraId="6C3B4865" w14:textId="77777777" w:rsidR="00000000" w:rsidRDefault="00EB4933">
            <w:pPr>
              <w:pStyle w:val="NormalWeb"/>
              <w:spacing w:before="0" w:beforeAutospacing="0" w:after="0" w:afterAutospacing="0"/>
              <w:rPr>
                <w:sz w:val="20"/>
                <w:szCs w:val="20"/>
              </w:rPr>
            </w:pPr>
            <w:r>
              <w:rPr>
                <w:sz w:val="20"/>
                <w:szCs w:val="20"/>
              </w:rPr>
              <w:t>Cash, cash equivalents and restricted cash at end of year</w:t>
            </w:r>
          </w:p>
        </w:tc>
        <w:tc>
          <w:tcPr>
            <w:tcW w:w="50" w:type="pct"/>
            <w:shd w:val="clear" w:color="auto" w:fill="FFFFFF"/>
            <w:noWrap/>
            <w:vAlign w:val="center"/>
            <w:hideMark/>
          </w:tcPr>
          <w:p w14:paraId="39553B9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15DC9F5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4BD8E9D9" w14:textId="77777777" w:rsidR="00000000" w:rsidRDefault="00EB4933">
            <w:pPr>
              <w:jc w:val="right"/>
              <w:rPr>
                <w:rFonts w:eastAsia="Times New Roman"/>
                <w:sz w:val="20"/>
                <w:szCs w:val="20"/>
              </w:rPr>
            </w:pPr>
            <w:r>
              <w:rPr>
                <w:rFonts w:eastAsia="Times New Roman"/>
                <w:sz w:val="20"/>
                <w:szCs w:val="20"/>
              </w:rPr>
              <w:t>21,717</w:t>
            </w:r>
          </w:p>
        </w:tc>
        <w:tc>
          <w:tcPr>
            <w:tcW w:w="50" w:type="pct"/>
            <w:shd w:val="clear" w:color="auto" w:fill="FFFFFF"/>
            <w:noWrap/>
            <w:tcMar>
              <w:top w:w="0" w:type="dxa"/>
              <w:left w:w="0" w:type="dxa"/>
              <w:bottom w:w="45" w:type="dxa"/>
              <w:right w:w="0" w:type="dxa"/>
            </w:tcMar>
            <w:vAlign w:val="center"/>
            <w:hideMark/>
          </w:tcPr>
          <w:p w14:paraId="5B901A9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59479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761BFD7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2AD78C02" w14:textId="77777777" w:rsidR="00000000" w:rsidRDefault="00EB4933">
            <w:pPr>
              <w:jc w:val="right"/>
              <w:rPr>
                <w:rFonts w:eastAsia="Times New Roman"/>
                <w:sz w:val="20"/>
                <w:szCs w:val="20"/>
              </w:rPr>
            </w:pPr>
            <w:r>
              <w:rPr>
                <w:rFonts w:eastAsia="Times New Roman"/>
                <w:sz w:val="20"/>
                <w:szCs w:val="20"/>
              </w:rPr>
              <w:t>3,188</w:t>
            </w:r>
          </w:p>
        </w:tc>
        <w:tc>
          <w:tcPr>
            <w:tcW w:w="50" w:type="pct"/>
            <w:shd w:val="clear" w:color="auto" w:fill="FFFFFF"/>
            <w:noWrap/>
            <w:tcMar>
              <w:top w:w="0" w:type="dxa"/>
              <w:left w:w="0" w:type="dxa"/>
              <w:bottom w:w="45" w:type="dxa"/>
              <w:right w:w="0" w:type="dxa"/>
            </w:tcMar>
            <w:vAlign w:val="center"/>
            <w:hideMark/>
          </w:tcPr>
          <w:p w14:paraId="2A22F12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8B645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1395A71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6F37E163" w14:textId="77777777" w:rsidR="00000000" w:rsidRDefault="00EB4933">
            <w:pPr>
              <w:jc w:val="right"/>
              <w:rPr>
                <w:rFonts w:eastAsia="Times New Roman"/>
                <w:sz w:val="20"/>
                <w:szCs w:val="20"/>
              </w:rPr>
            </w:pPr>
            <w:r>
              <w:rPr>
                <w:rFonts w:eastAsia="Times New Roman"/>
                <w:sz w:val="20"/>
                <w:szCs w:val="20"/>
              </w:rPr>
              <w:t>132</w:t>
            </w:r>
          </w:p>
        </w:tc>
        <w:tc>
          <w:tcPr>
            <w:tcW w:w="50" w:type="pct"/>
            <w:shd w:val="clear" w:color="auto" w:fill="FFFFFF"/>
            <w:noWrap/>
            <w:tcMar>
              <w:top w:w="0" w:type="dxa"/>
              <w:left w:w="0" w:type="dxa"/>
              <w:bottom w:w="45" w:type="dxa"/>
              <w:right w:w="0" w:type="dxa"/>
            </w:tcMar>
            <w:vAlign w:val="center"/>
            <w:hideMark/>
          </w:tcPr>
          <w:p w14:paraId="4DCE9078" w14:textId="77777777" w:rsidR="00000000" w:rsidRDefault="00EB4933">
            <w:pPr>
              <w:pStyle w:val="NormalWeb"/>
              <w:spacing w:before="0" w:beforeAutospacing="0" w:after="0" w:afterAutospacing="0"/>
              <w:rPr>
                <w:sz w:val="20"/>
                <w:szCs w:val="20"/>
              </w:rPr>
            </w:pPr>
            <w:r>
              <w:rPr>
                <w:sz w:val="20"/>
                <w:szCs w:val="20"/>
              </w:rPr>
              <w:t> </w:t>
            </w:r>
          </w:p>
        </w:tc>
      </w:tr>
      <w:tr w:rsidR="00000000" w14:paraId="20DE0A64" w14:textId="77777777">
        <w:trPr>
          <w:divId w:val="98525094"/>
          <w:trHeight w:val="225"/>
          <w:tblCellSpacing w:w="15" w:type="dxa"/>
        </w:trPr>
        <w:tc>
          <w:tcPr>
            <w:tcW w:w="0" w:type="auto"/>
            <w:shd w:val="clear" w:color="auto" w:fill="CCEEFF"/>
            <w:vAlign w:val="center"/>
            <w:hideMark/>
          </w:tcPr>
          <w:p w14:paraId="11DDD47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2BD60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BEC8B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427368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6494C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ACF3D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13F6A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6EADD5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3AC0B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00832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B4320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9EF2B1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555D02" w14:textId="77777777" w:rsidR="00000000" w:rsidRDefault="00EB4933">
            <w:pPr>
              <w:pStyle w:val="NormalWeb"/>
              <w:spacing w:before="0" w:beforeAutospacing="0" w:after="0" w:afterAutospacing="0"/>
              <w:rPr>
                <w:sz w:val="20"/>
                <w:szCs w:val="20"/>
              </w:rPr>
            </w:pPr>
            <w:r>
              <w:rPr>
                <w:sz w:val="20"/>
                <w:szCs w:val="20"/>
              </w:rPr>
              <w:t> </w:t>
            </w:r>
          </w:p>
        </w:tc>
      </w:tr>
      <w:tr w:rsidR="00000000" w14:paraId="78A773E2" w14:textId="77777777">
        <w:trPr>
          <w:divId w:val="98525094"/>
          <w:trHeight w:val="225"/>
          <w:tblCellSpacing w:w="15" w:type="dxa"/>
        </w:trPr>
        <w:tc>
          <w:tcPr>
            <w:tcW w:w="0" w:type="auto"/>
            <w:shd w:val="clear" w:color="auto" w:fill="FFFFFF"/>
            <w:hideMark/>
          </w:tcPr>
          <w:p w14:paraId="01417121" w14:textId="77777777" w:rsidR="00000000" w:rsidRDefault="00EB4933">
            <w:pPr>
              <w:pStyle w:val="NormalWeb"/>
              <w:spacing w:before="0" w:beforeAutospacing="0" w:after="0" w:afterAutospacing="0"/>
              <w:rPr>
                <w:sz w:val="20"/>
                <w:szCs w:val="20"/>
              </w:rPr>
            </w:pPr>
            <w:r>
              <w:rPr>
                <w:sz w:val="20"/>
                <w:szCs w:val="20"/>
              </w:rPr>
              <w:t xml:space="preserve">Net cash (used)/generated by operating activities include </w:t>
            </w:r>
          </w:p>
        </w:tc>
        <w:tc>
          <w:tcPr>
            <w:tcW w:w="50" w:type="pct"/>
            <w:shd w:val="clear" w:color="auto" w:fill="FFFFFF"/>
            <w:noWrap/>
            <w:vAlign w:val="center"/>
            <w:hideMark/>
          </w:tcPr>
          <w:p w14:paraId="469DA77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2DC3E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BC1C4D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A96E5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FA80E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2F14F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743869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903B3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3D2C7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E07A0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BB5FE1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E17DE4" w14:textId="77777777" w:rsidR="00000000" w:rsidRDefault="00EB4933">
            <w:pPr>
              <w:pStyle w:val="NormalWeb"/>
              <w:spacing w:before="0" w:beforeAutospacing="0" w:after="0" w:afterAutospacing="0"/>
              <w:rPr>
                <w:sz w:val="20"/>
                <w:szCs w:val="20"/>
              </w:rPr>
            </w:pPr>
            <w:r>
              <w:rPr>
                <w:sz w:val="20"/>
                <w:szCs w:val="20"/>
              </w:rPr>
              <w:t> </w:t>
            </w:r>
          </w:p>
        </w:tc>
      </w:tr>
      <w:tr w:rsidR="00000000" w14:paraId="76986ABF" w14:textId="77777777">
        <w:trPr>
          <w:divId w:val="98525094"/>
          <w:trHeight w:val="225"/>
          <w:tblCellSpacing w:w="15" w:type="dxa"/>
        </w:trPr>
        <w:tc>
          <w:tcPr>
            <w:tcW w:w="0" w:type="auto"/>
            <w:shd w:val="clear" w:color="auto" w:fill="CCEEFF"/>
            <w:hideMark/>
          </w:tcPr>
          <w:p w14:paraId="4B15A00F" w14:textId="77777777" w:rsidR="00000000" w:rsidRDefault="00EB4933">
            <w:pPr>
              <w:pStyle w:val="NormalWeb"/>
              <w:spacing w:before="0" w:beforeAutospacing="0" w:after="0" w:afterAutospacing="0"/>
              <w:ind w:left="200"/>
              <w:rPr>
                <w:sz w:val="20"/>
                <w:szCs w:val="20"/>
              </w:rPr>
            </w:pPr>
            <w:r>
              <w:rPr>
                <w:sz w:val="20"/>
                <w:szCs w:val="20"/>
              </w:rPr>
              <w:t>Interest received</w:t>
            </w:r>
          </w:p>
        </w:tc>
        <w:tc>
          <w:tcPr>
            <w:tcW w:w="50" w:type="pct"/>
            <w:shd w:val="clear" w:color="auto" w:fill="CCEEFF"/>
            <w:noWrap/>
            <w:vAlign w:val="center"/>
            <w:hideMark/>
          </w:tcPr>
          <w:p w14:paraId="17AA3C2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D1D8A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570E1D3" w14:textId="77777777" w:rsidR="00000000" w:rsidRDefault="00EB4933">
            <w:pPr>
              <w:jc w:val="right"/>
              <w:rPr>
                <w:rFonts w:eastAsia="Times New Roman"/>
                <w:sz w:val="20"/>
                <w:szCs w:val="20"/>
              </w:rPr>
            </w:pPr>
            <w:r>
              <w:rPr>
                <w:rFonts w:eastAsia="Times New Roman"/>
                <w:sz w:val="20"/>
                <w:szCs w:val="20"/>
              </w:rPr>
              <w:t>107,086</w:t>
            </w:r>
          </w:p>
        </w:tc>
        <w:tc>
          <w:tcPr>
            <w:tcW w:w="50" w:type="pct"/>
            <w:shd w:val="clear" w:color="auto" w:fill="CCEEFF"/>
            <w:noWrap/>
            <w:vAlign w:val="center"/>
            <w:hideMark/>
          </w:tcPr>
          <w:p w14:paraId="769411D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7CB20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C5AF0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DD75649" w14:textId="77777777" w:rsidR="00000000" w:rsidRDefault="00EB4933">
            <w:pPr>
              <w:jc w:val="right"/>
              <w:rPr>
                <w:rFonts w:eastAsia="Times New Roman"/>
                <w:sz w:val="20"/>
                <w:szCs w:val="20"/>
              </w:rPr>
            </w:pPr>
            <w:r>
              <w:rPr>
                <w:rFonts w:eastAsia="Times New Roman"/>
                <w:sz w:val="20"/>
                <w:szCs w:val="20"/>
              </w:rPr>
              <w:t>98,185</w:t>
            </w:r>
          </w:p>
        </w:tc>
        <w:tc>
          <w:tcPr>
            <w:tcW w:w="50" w:type="pct"/>
            <w:shd w:val="clear" w:color="auto" w:fill="CCEEFF"/>
            <w:noWrap/>
            <w:vAlign w:val="center"/>
            <w:hideMark/>
          </w:tcPr>
          <w:p w14:paraId="59160CB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F23B9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E506C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D417128" w14:textId="77777777" w:rsidR="00000000" w:rsidRDefault="00EB4933">
            <w:pPr>
              <w:jc w:val="right"/>
              <w:rPr>
                <w:rFonts w:eastAsia="Times New Roman"/>
                <w:sz w:val="20"/>
                <w:szCs w:val="20"/>
              </w:rPr>
            </w:pPr>
            <w:r>
              <w:rPr>
                <w:rFonts w:eastAsia="Times New Roman"/>
                <w:sz w:val="20"/>
                <w:szCs w:val="20"/>
              </w:rPr>
              <w:t>3,307</w:t>
            </w:r>
          </w:p>
        </w:tc>
        <w:tc>
          <w:tcPr>
            <w:tcW w:w="50" w:type="pct"/>
            <w:shd w:val="clear" w:color="auto" w:fill="CCEEFF"/>
            <w:noWrap/>
            <w:vAlign w:val="center"/>
            <w:hideMark/>
          </w:tcPr>
          <w:p w14:paraId="129EF136" w14:textId="77777777" w:rsidR="00000000" w:rsidRDefault="00EB4933">
            <w:pPr>
              <w:pStyle w:val="NormalWeb"/>
              <w:spacing w:before="0" w:beforeAutospacing="0" w:after="0" w:afterAutospacing="0"/>
              <w:rPr>
                <w:sz w:val="20"/>
                <w:szCs w:val="20"/>
              </w:rPr>
            </w:pPr>
            <w:r>
              <w:rPr>
                <w:sz w:val="20"/>
                <w:szCs w:val="20"/>
              </w:rPr>
              <w:t> </w:t>
            </w:r>
          </w:p>
        </w:tc>
      </w:tr>
      <w:tr w:rsidR="00000000" w14:paraId="0C5952CD" w14:textId="77777777">
        <w:trPr>
          <w:divId w:val="98525094"/>
          <w:trHeight w:val="225"/>
          <w:tblCellSpacing w:w="15" w:type="dxa"/>
        </w:trPr>
        <w:tc>
          <w:tcPr>
            <w:tcW w:w="0" w:type="auto"/>
            <w:shd w:val="clear" w:color="auto" w:fill="FFFFFF"/>
            <w:hideMark/>
          </w:tcPr>
          <w:p w14:paraId="50442230" w14:textId="77777777" w:rsidR="00000000" w:rsidRDefault="00EB4933">
            <w:pPr>
              <w:pStyle w:val="NormalWeb"/>
              <w:spacing w:before="0" w:beforeAutospacing="0" w:after="0" w:afterAutospacing="0"/>
              <w:ind w:left="200"/>
              <w:rPr>
                <w:sz w:val="20"/>
                <w:szCs w:val="20"/>
              </w:rPr>
            </w:pPr>
            <w:r>
              <w:rPr>
                <w:sz w:val="20"/>
                <w:szCs w:val="20"/>
              </w:rPr>
              <w:t>Interest paid</w:t>
            </w:r>
          </w:p>
        </w:tc>
        <w:tc>
          <w:tcPr>
            <w:tcW w:w="50" w:type="pct"/>
            <w:shd w:val="clear" w:color="auto" w:fill="FFFFFF"/>
            <w:noWrap/>
            <w:vAlign w:val="center"/>
            <w:hideMark/>
          </w:tcPr>
          <w:p w14:paraId="60E06E9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FE966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DDDC70F" w14:textId="77777777" w:rsidR="00000000" w:rsidRDefault="00EB4933">
            <w:pPr>
              <w:jc w:val="right"/>
              <w:rPr>
                <w:rFonts w:eastAsia="Times New Roman"/>
                <w:sz w:val="20"/>
                <w:szCs w:val="20"/>
              </w:rPr>
            </w:pPr>
            <w:r>
              <w:rPr>
                <w:rFonts w:eastAsia="Times New Roman"/>
                <w:sz w:val="20"/>
                <w:szCs w:val="20"/>
              </w:rPr>
              <w:t>(27,202</w:t>
            </w:r>
          </w:p>
        </w:tc>
        <w:tc>
          <w:tcPr>
            <w:tcW w:w="50" w:type="pct"/>
            <w:shd w:val="clear" w:color="auto" w:fill="FFFFFF"/>
            <w:noWrap/>
            <w:vAlign w:val="bottom"/>
            <w:hideMark/>
          </w:tcPr>
          <w:p w14:paraId="702A8721"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A8EE06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44443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3F98F34" w14:textId="77777777" w:rsidR="00000000" w:rsidRDefault="00EB4933">
            <w:pPr>
              <w:jc w:val="right"/>
              <w:rPr>
                <w:rFonts w:eastAsia="Times New Roman"/>
                <w:sz w:val="20"/>
                <w:szCs w:val="20"/>
              </w:rPr>
            </w:pPr>
            <w:r>
              <w:rPr>
                <w:rFonts w:eastAsia="Times New Roman"/>
                <w:sz w:val="20"/>
                <w:szCs w:val="20"/>
              </w:rPr>
              <w:t>(25,769</w:t>
            </w:r>
          </w:p>
        </w:tc>
        <w:tc>
          <w:tcPr>
            <w:tcW w:w="50" w:type="pct"/>
            <w:shd w:val="clear" w:color="auto" w:fill="FFFFFF"/>
            <w:noWrap/>
            <w:vAlign w:val="bottom"/>
            <w:hideMark/>
          </w:tcPr>
          <w:p w14:paraId="57F79196"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F98FD3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36D2A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13C99A0" w14:textId="77777777" w:rsidR="00000000" w:rsidRDefault="00EB4933">
            <w:pPr>
              <w:jc w:val="right"/>
              <w:rPr>
                <w:rFonts w:eastAsia="Times New Roman"/>
                <w:sz w:val="20"/>
                <w:szCs w:val="20"/>
              </w:rPr>
            </w:pPr>
            <w:r>
              <w:rPr>
                <w:rFonts w:eastAsia="Times New Roman"/>
                <w:sz w:val="20"/>
                <w:szCs w:val="20"/>
              </w:rPr>
              <w:t>(3,709</w:t>
            </w:r>
          </w:p>
        </w:tc>
        <w:tc>
          <w:tcPr>
            <w:tcW w:w="50" w:type="pct"/>
            <w:shd w:val="clear" w:color="auto" w:fill="FFFFFF"/>
            <w:noWrap/>
            <w:vAlign w:val="bottom"/>
            <w:hideMark/>
          </w:tcPr>
          <w:p w14:paraId="4CDE6F1C" w14:textId="77777777" w:rsidR="00000000" w:rsidRDefault="00EB4933">
            <w:pPr>
              <w:rPr>
                <w:rFonts w:eastAsia="Times New Roman"/>
                <w:sz w:val="20"/>
                <w:szCs w:val="20"/>
              </w:rPr>
            </w:pPr>
            <w:r>
              <w:rPr>
                <w:rFonts w:eastAsia="Times New Roman"/>
                <w:sz w:val="20"/>
                <w:szCs w:val="20"/>
              </w:rPr>
              <w:t>)</w:t>
            </w:r>
          </w:p>
        </w:tc>
      </w:tr>
      <w:tr w:rsidR="00000000" w14:paraId="208C03B0" w14:textId="77777777">
        <w:trPr>
          <w:divId w:val="98525094"/>
          <w:trHeight w:val="225"/>
          <w:tblCellSpacing w:w="15" w:type="dxa"/>
        </w:trPr>
        <w:tc>
          <w:tcPr>
            <w:tcW w:w="0" w:type="auto"/>
            <w:shd w:val="clear" w:color="auto" w:fill="CCEEFF"/>
            <w:hideMark/>
          </w:tcPr>
          <w:p w14:paraId="59CA3CD7" w14:textId="77777777" w:rsidR="00000000" w:rsidRDefault="00EB4933">
            <w:pPr>
              <w:pStyle w:val="NormalWeb"/>
              <w:spacing w:before="0" w:beforeAutospacing="0" w:after="0" w:afterAutospacing="0"/>
              <w:ind w:left="200"/>
              <w:rPr>
                <w:sz w:val="20"/>
                <w:szCs w:val="20"/>
              </w:rPr>
            </w:pPr>
            <w:r>
              <w:rPr>
                <w:sz w:val="20"/>
                <w:szCs w:val="20"/>
              </w:rPr>
              <w:t>Foreclosure of a pledged property</w:t>
            </w:r>
          </w:p>
        </w:tc>
        <w:tc>
          <w:tcPr>
            <w:tcW w:w="50" w:type="pct"/>
            <w:shd w:val="clear" w:color="auto" w:fill="CCEEFF"/>
            <w:noWrap/>
            <w:vAlign w:val="center"/>
            <w:hideMark/>
          </w:tcPr>
          <w:p w14:paraId="3E8CF10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085D9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BFBF401"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BCC850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18665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1BCB3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C4EBC43" w14:textId="77777777" w:rsidR="00000000" w:rsidRDefault="00EB4933">
            <w:pPr>
              <w:jc w:val="right"/>
              <w:rPr>
                <w:rFonts w:eastAsia="Times New Roman"/>
                <w:sz w:val="20"/>
                <w:szCs w:val="20"/>
              </w:rPr>
            </w:pPr>
            <w:r>
              <w:rPr>
                <w:rFonts w:eastAsia="Times New Roman"/>
                <w:sz w:val="20"/>
                <w:szCs w:val="20"/>
              </w:rPr>
              <w:t>(18,000</w:t>
            </w:r>
          </w:p>
        </w:tc>
        <w:tc>
          <w:tcPr>
            <w:tcW w:w="50" w:type="pct"/>
            <w:shd w:val="clear" w:color="auto" w:fill="CCEEFF"/>
            <w:noWrap/>
            <w:vAlign w:val="bottom"/>
            <w:hideMark/>
          </w:tcPr>
          <w:p w14:paraId="73994FA5"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B91702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87F10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B35FB6B"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0FB3779" w14:textId="77777777" w:rsidR="00000000" w:rsidRDefault="00EB4933">
            <w:pPr>
              <w:pStyle w:val="NormalWeb"/>
              <w:spacing w:before="0" w:beforeAutospacing="0" w:after="0" w:afterAutospacing="0"/>
              <w:rPr>
                <w:sz w:val="20"/>
                <w:szCs w:val="20"/>
              </w:rPr>
            </w:pPr>
            <w:r>
              <w:rPr>
                <w:sz w:val="20"/>
                <w:szCs w:val="20"/>
              </w:rPr>
              <w:t> </w:t>
            </w:r>
          </w:p>
        </w:tc>
      </w:tr>
      <w:tr w:rsidR="00000000" w14:paraId="78AC3F41" w14:textId="77777777">
        <w:trPr>
          <w:divId w:val="98525094"/>
          <w:trHeight w:val="225"/>
          <w:tblCellSpacing w:w="15" w:type="dxa"/>
        </w:trPr>
        <w:tc>
          <w:tcPr>
            <w:tcW w:w="0" w:type="auto"/>
            <w:shd w:val="clear" w:color="auto" w:fill="FFFFFF"/>
            <w:hideMark/>
          </w:tcPr>
          <w:p w14:paraId="36762B8A" w14:textId="77777777" w:rsidR="00000000" w:rsidRDefault="00EB4933">
            <w:pPr>
              <w:pStyle w:val="NormalWeb"/>
              <w:spacing w:before="0" w:beforeAutospacing="0" w:after="0" w:afterAutospacing="0"/>
              <w:rPr>
                <w:sz w:val="20"/>
                <w:szCs w:val="20"/>
              </w:rPr>
            </w:pPr>
            <w:r>
              <w:rPr>
                <w:sz w:val="20"/>
                <w:szCs w:val="20"/>
              </w:rPr>
              <w:t>Net cash generated/(used) by financing activities</w:t>
            </w:r>
          </w:p>
        </w:tc>
        <w:tc>
          <w:tcPr>
            <w:tcW w:w="50" w:type="pct"/>
            <w:shd w:val="clear" w:color="auto" w:fill="FFFFFF"/>
            <w:noWrap/>
            <w:vAlign w:val="center"/>
            <w:hideMark/>
          </w:tcPr>
          <w:p w14:paraId="6E71143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22507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67592B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8A33C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F113B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8F073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C147C6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F4864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D13BD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F1C1A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5A025D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D8D690" w14:textId="77777777" w:rsidR="00000000" w:rsidRDefault="00EB4933">
            <w:pPr>
              <w:pStyle w:val="NormalWeb"/>
              <w:spacing w:before="0" w:beforeAutospacing="0" w:after="0" w:afterAutospacing="0"/>
              <w:rPr>
                <w:sz w:val="20"/>
                <w:szCs w:val="20"/>
              </w:rPr>
            </w:pPr>
            <w:r>
              <w:rPr>
                <w:sz w:val="20"/>
                <w:szCs w:val="20"/>
              </w:rPr>
              <w:t> </w:t>
            </w:r>
          </w:p>
        </w:tc>
      </w:tr>
      <w:tr w:rsidR="00000000" w14:paraId="33E8894D" w14:textId="77777777">
        <w:trPr>
          <w:divId w:val="98525094"/>
          <w:trHeight w:val="225"/>
          <w:tblCellSpacing w:w="15" w:type="dxa"/>
        </w:trPr>
        <w:tc>
          <w:tcPr>
            <w:tcW w:w="0" w:type="auto"/>
            <w:shd w:val="clear" w:color="auto" w:fill="CCEEFF"/>
            <w:hideMark/>
          </w:tcPr>
          <w:p w14:paraId="0303A504" w14:textId="77777777" w:rsidR="00000000" w:rsidRDefault="00EB4933">
            <w:pPr>
              <w:pStyle w:val="NormalWeb"/>
              <w:spacing w:before="0" w:beforeAutospacing="0" w:after="0" w:afterAutospacing="0"/>
              <w:ind w:left="200"/>
              <w:rPr>
                <w:sz w:val="20"/>
                <w:szCs w:val="20"/>
              </w:rPr>
            </w:pPr>
            <w:r>
              <w:rPr>
                <w:sz w:val="20"/>
                <w:szCs w:val="20"/>
              </w:rPr>
              <w:t>Loans receivable novated to a related party to offset its related party loans to the Company</w:t>
            </w:r>
          </w:p>
        </w:tc>
        <w:tc>
          <w:tcPr>
            <w:tcW w:w="50" w:type="pct"/>
            <w:shd w:val="clear" w:color="auto" w:fill="CCEEFF"/>
            <w:noWrap/>
            <w:vAlign w:val="center"/>
            <w:hideMark/>
          </w:tcPr>
          <w:p w14:paraId="3DDE3C6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C127B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A1DB3EE"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08C957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4FC90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E1067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2C1B7AD"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CB06DB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6F02A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C527A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E8EA528" w14:textId="77777777" w:rsidR="00000000" w:rsidRDefault="00EB4933">
            <w:pPr>
              <w:jc w:val="right"/>
              <w:rPr>
                <w:rFonts w:eastAsia="Times New Roman"/>
                <w:sz w:val="20"/>
                <w:szCs w:val="20"/>
              </w:rPr>
            </w:pPr>
            <w:r>
              <w:rPr>
                <w:rFonts w:eastAsia="Times New Roman"/>
                <w:sz w:val="20"/>
                <w:szCs w:val="20"/>
              </w:rPr>
              <w:t>40,216</w:t>
            </w:r>
          </w:p>
        </w:tc>
        <w:tc>
          <w:tcPr>
            <w:tcW w:w="50" w:type="pct"/>
            <w:shd w:val="clear" w:color="auto" w:fill="CCEEFF"/>
            <w:noWrap/>
            <w:vAlign w:val="center"/>
            <w:hideMark/>
          </w:tcPr>
          <w:p w14:paraId="3162BC8F" w14:textId="77777777" w:rsidR="00000000" w:rsidRDefault="00EB4933">
            <w:pPr>
              <w:pStyle w:val="NormalWeb"/>
              <w:spacing w:before="0" w:beforeAutospacing="0" w:after="0" w:afterAutospacing="0"/>
              <w:rPr>
                <w:sz w:val="20"/>
                <w:szCs w:val="20"/>
              </w:rPr>
            </w:pPr>
            <w:r>
              <w:rPr>
                <w:sz w:val="20"/>
                <w:szCs w:val="20"/>
              </w:rPr>
              <w:t> </w:t>
            </w:r>
          </w:p>
        </w:tc>
      </w:tr>
    </w:tbl>
    <w:p w14:paraId="7AE8102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3C0CFC9" w14:textId="77777777" w:rsidR="00000000" w:rsidRDefault="00EB4933">
      <w:pPr>
        <w:pStyle w:val="NormalWeb"/>
        <w:spacing w:before="0" w:beforeAutospacing="0" w:after="0" w:afterAutospacing="0"/>
        <w:jc w:val="center"/>
        <w:divId w:val="98525094"/>
        <w:rPr>
          <w:sz w:val="20"/>
          <w:szCs w:val="20"/>
        </w:rPr>
      </w:pPr>
      <w:r>
        <w:rPr>
          <w:sz w:val="20"/>
          <w:szCs w:val="20"/>
        </w:rPr>
        <w:t>The Annexed notes form an integral part of and should be read in conjunction with the consolidated financial statements.</w:t>
      </w:r>
    </w:p>
    <w:p w14:paraId="06F0123D" w14:textId="77777777" w:rsidR="00000000" w:rsidRDefault="00EB4933">
      <w:pPr>
        <w:pStyle w:val="NormalWeb"/>
        <w:spacing w:before="0" w:beforeAutospacing="0" w:after="0" w:afterAutospacing="0"/>
        <w:jc w:val="center"/>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BDAF200" w14:textId="77777777">
        <w:trPr>
          <w:divId w:val="98525094"/>
          <w:trHeight w:val="225"/>
          <w:tblCellSpacing w:w="15" w:type="dxa"/>
        </w:trPr>
        <w:tc>
          <w:tcPr>
            <w:tcW w:w="0" w:type="auto"/>
            <w:vAlign w:val="center"/>
            <w:hideMark/>
          </w:tcPr>
          <w:p w14:paraId="42F854D3" w14:textId="77777777" w:rsidR="00000000" w:rsidRDefault="00EB4933">
            <w:pPr>
              <w:rPr>
                <w:rFonts w:eastAsia="Times New Roman"/>
                <w:sz w:val="20"/>
                <w:szCs w:val="20"/>
              </w:rPr>
            </w:pPr>
            <w:r>
              <w:rPr>
                <w:rFonts w:eastAsia="Times New Roman"/>
                <w:sz w:val="20"/>
                <w:szCs w:val="20"/>
              </w:rPr>
              <w:t> </w:t>
            </w:r>
          </w:p>
        </w:tc>
      </w:tr>
      <w:tr w:rsidR="00000000" w14:paraId="1AADE91D" w14:textId="77777777">
        <w:trPr>
          <w:divId w:val="98525094"/>
          <w:trHeight w:val="225"/>
          <w:tblCellSpacing w:w="15" w:type="dxa"/>
        </w:trPr>
        <w:tc>
          <w:tcPr>
            <w:tcW w:w="0" w:type="auto"/>
            <w:tcBorders>
              <w:bottom w:val="single" w:sz="6" w:space="0" w:color="000000"/>
            </w:tcBorders>
            <w:vAlign w:val="center"/>
            <w:hideMark/>
          </w:tcPr>
          <w:p w14:paraId="2982D18D" w14:textId="77777777" w:rsidR="00000000" w:rsidRDefault="00EB4933">
            <w:pPr>
              <w:jc w:val="center"/>
              <w:rPr>
                <w:rFonts w:eastAsia="Times New Roman"/>
                <w:sz w:val="20"/>
                <w:szCs w:val="20"/>
              </w:rPr>
            </w:pPr>
            <w:r>
              <w:rPr>
                <w:rFonts w:eastAsia="Times New Roman"/>
                <w:sz w:val="20"/>
                <w:szCs w:val="20"/>
              </w:rPr>
              <w:t>F-8</w:t>
            </w:r>
          </w:p>
        </w:tc>
      </w:tr>
      <w:tr w:rsidR="00000000" w14:paraId="287D5BE8" w14:textId="77777777">
        <w:trPr>
          <w:divId w:val="98525094"/>
          <w:trHeight w:val="225"/>
          <w:tblCellSpacing w:w="15" w:type="dxa"/>
        </w:trPr>
        <w:tc>
          <w:tcPr>
            <w:tcW w:w="0" w:type="auto"/>
            <w:vAlign w:val="center"/>
            <w:hideMark/>
          </w:tcPr>
          <w:p w14:paraId="1CD4BDAD" w14:textId="77777777" w:rsidR="00000000" w:rsidRDefault="00EB4933">
            <w:pPr>
              <w:rPr>
                <w:rFonts w:eastAsia="Times New Roman"/>
                <w:sz w:val="20"/>
                <w:szCs w:val="20"/>
              </w:rPr>
            </w:pPr>
          </w:p>
        </w:tc>
      </w:tr>
      <w:tr w:rsidR="00000000" w14:paraId="4778FAED" w14:textId="77777777">
        <w:trPr>
          <w:divId w:val="98525094"/>
          <w:trHeight w:val="225"/>
          <w:tblCellSpacing w:w="15" w:type="dxa"/>
        </w:trPr>
        <w:tc>
          <w:tcPr>
            <w:tcW w:w="0" w:type="auto"/>
            <w:vAlign w:val="center"/>
            <w:hideMark/>
          </w:tcPr>
          <w:p w14:paraId="6C3BA6C0" w14:textId="77777777" w:rsidR="00000000" w:rsidRDefault="00EB4933">
            <w:pPr>
              <w:rPr>
                <w:rFonts w:eastAsia="Times New Roman"/>
                <w:sz w:val="20"/>
                <w:szCs w:val="20"/>
              </w:rPr>
            </w:pPr>
            <w:hyperlink r:id="rId225" w:anchor="finindex" w:history="1">
              <w:r>
                <w:rPr>
                  <w:rStyle w:val="Hyperlink"/>
                  <w:rFonts w:eastAsia="Times New Roman"/>
                  <w:i/>
                  <w:iCs/>
                  <w:sz w:val="20"/>
                  <w:szCs w:val="20"/>
                </w:rPr>
                <w:t>Table of Contents</w:t>
              </w:r>
            </w:hyperlink>
          </w:p>
        </w:tc>
      </w:tr>
    </w:tbl>
    <w:p w14:paraId="073F349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ED113D8" w14:textId="77777777" w:rsidR="00000000" w:rsidRDefault="00EB4933">
      <w:pPr>
        <w:pStyle w:val="NormalWeb"/>
        <w:spacing w:before="0" w:beforeAutospacing="0" w:after="0" w:afterAutospacing="0"/>
        <w:jc w:val="both"/>
        <w:divId w:val="98525094"/>
        <w:rPr>
          <w:sz w:val="20"/>
          <w:szCs w:val="20"/>
        </w:rPr>
      </w:pPr>
      <w:bookmarkStart w:id="40" w:name="n"/>
      <w:r>
        <w:rPr>
          <w:rStyle w:val="Strong"/>
          <w:sz w:val="20"/>
          <w:szCs w:val="20"/>
        </w:rPr>
        <w:t>DUNXIN FINANCIAL HOLDINGS LIMITED</w:t>
      </w:r>
      <w:bookmarkEnd w:id="40"/>
    </w:p>
    <w:p w14:paraId="55F30588"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672817DB"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08282A8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7F3CA65" w14:textId="77777777" w:rsidR="00000000" w:rsidRDefault="00EB4933">
      <w:pPr>
        <w:pStyle w:val="NormalWeb"/>
        <w:spacing w:before="0" w:beforeAutospacing="0" w:after="0" w:afterAutospacing="0"/>
        <w:jc w:val="both"/>
        <w:divId w:val="98525094"/>
        <w:rPr>
          <w:sz w:val="20"/>
          <w:szCs w:val="20"/>
        </w:rPr>
      </w:pPr>
      <w:r>
        <w:rPr>
          <w:rStyle w:val="Strong"/>
          <w:sz w:val="20"/>
          <w:szCs w:val="20"/>
        </w:rPr>
        <w:t>1.</w:t>
      </w:r>
      <w:r>
        <w:rPr>
          <w:rStyle w:val="Strong"/>
          <w:sz w:val="14"/>
          <w:szCs w:val="14"/>
        </w:rPr>
        <w:t> </w:t>
      </w:r>
      <w:r>
        <w:rPr>
          <w:rStyle w:val="Strong"/>
          <w:sz w:val="20"/>
          <w:szCs w:val="20"/>
        </w:rPr>
        <w:t>Organization and principal activities</w:t>
      </w:r>
    </w:p>
    <w:p w14:paraId="2EA8404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7B60D54" w14:textId="77777777" w:rsidR="00000000" w:rsidRDefault="00EB4933">
      <w:pPr>
        <w:pStyle w:val="NormalWeb"/>
        <w:spacing w:before="0" w:beforeAutospacing="0" w:after="0" w:afterAutospacing="0"/>
        <w:jc w:val="both"/>
        <w:divId w:val="98525094"/>
        <w:rPr>
          <w:sz w:val="20"/>
          <w:szCs w:val="20"/>
        </w:rPr>
      </w:pPr>
      <w:r>
        <w:rPr>
          <w:sz w:val="20"/>
          <w:szCs w:val="20"/>
        </w:rPr>
        <w:t>Dunxin Financial Holdings Limited (the “Company”), formerly known as China Xiniya</w:t>
      </w:r>
      <w:r>
        <w:rPr>
          <w:sz w:val="20"/>
          <w:szCs w:val="20"/>
        </w:rPr>
        <w:t xml:space="preserve"> Fashion Limited, was incorporated in the Cayman Islands as an exempted limited liability company on June 24, 2010. On December 28, 2017, the Company completed the Divestiture and Acquisition transactions (the “Transactions”). In connection with the Divest</w:t>
      </w:r>
      <w:r>
        <w:rPr>
          <w:sz w:val="20"/>
          <w:szCs w:val="20"/>
        </w:rPr>
        <w:t>iture transaction, the Company divested its wholly-owned subsidiary, Xiniya Holdings Limited, a Hong Kong company, to Qiming Investment Limited, a British Virgin Islands company, in exchange for a purchase consideration of RMB228,000,000 ($34,588,428). Aft</w:t>
      </w:r>
      <w:r>
        <w:rPr>
          <w:sz w:val="20"/>
          <w:szCs w:val="20"/>
        </w:rPr>
        <w:t>er the divestiture transaction, the Company did not meet the definition of a business for accounting and financial reporting purposes. In connection with the Acquisition transaction, the Company purchased all of the issued and outstanding ordinary shares o</w:t>
      </w:r>
      <w:r>
        <w:rPr>
          <w:sz w:val="20"/>
          <w:szCs w:val="20"/>
        </w:rPr>
        <w:t xml:space="preserve">f True Silver Limited (“True Silver”) for a cash payment of RMB228,000,000 ($34,588,428) and the issuance of 772,283,308 of the ordinary shares at RMB1.00 ($0.15) per share to the shareholders of True Silver. True Silver became the wholly owned subsidiary </w:t>
      </w:r>
      <w:r>
        <w:rPr>
          <w:sz w:val="20"/>
          <w:szCs w:val="20"/>
        </w:rPr>
        <w:t>of the Company. True Silver utilizes a variable interest entity structure to operate and consolidate 80% of the financial results of Hubei Chutian Microfinance Co., Ltd (“Chutian”). Chutian, with a registered capital of RMB450 million, is a joint stock com</w:t>
      </w:r>
      <w:r>
        <w:rPr>
          <w:sz w:val="20"/>
          <w:szCs w:val="20"/>
        </w:rPr>
        <w:t>pany incorporated under the laws of China specializing in providing loan facilities to micro, small and medium enterprises and sole proprietors in Hubei Province, China.</w:t>
      </w:r>
    </w:p>
    <w:p w14:paraId="6E2A11D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EFAC256" w14:textId="77777777" w:rsidR="00000000" w:rsidRDefault="00EB4933">
      <w:pPr>
        <w:pStyle w:val="NormalWeb"/>
        <w:spacing w:before="0" w:beforeAutospacing="0" w:after="0" w:afterAutospacing="0"/>
        <w:jc w:val="both"/>
        <w:divId w:val="98525094"/>
        <w:rPr>
          <w:sz w:val="20"/>
          <w:szCs w:val="20"/>
        </w:rPr>
      </w:pPr>
      <w:r>
        <w:rPr>
          <w:sz w:val="20"/>
          <w:szCs w:val="20"/>
        </w:rPr>
        <w:t xml:space="preserve">The Transactions were accounted for as a “reverse acquisition” </w:t>
      </w:r>
      <w:r>
        <w:rPr>
          <w:sz w:val="20"/>
          <w:szCs w:val="20"/>
        </w:rPr>
        <w:t>since, immediately following the consummation of the Transactions, the shareholders and management of Chutian having effectuated control of the combined company. The former shareholders of Chutian, whose shares were acquired by the Company, own and control</w:t>
      </w:r>
      <w:r>
        <w:rPr>
          <w:sz w:val="20"/>
          <w:szCs w:val="20"/>
        </w:rPr>
        <w:t xml:space="preserve"> 88.7% of shares and votes in the Company. The management of the Company is drawn predominantly from Chutian. For accounting purposes, the legal subsidiaries of True Silver were deemed to be the accounting acquirer in the transaction and the Company, the l</w:t>
      </w:r>
      <w:r>
        <w:rPr>
          <w:sz w:val="20"/>
          <w:szCs w:val="20"/>
        </w:rPr>
        <w:t>egal acquirer, was deemed to be the accounting acquiree.</w:t>
      </w:r>
    </w:p>
    <w:p w14:paraId="54FE52A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BB5C2B6" w14:textId="77777777" w:rsidR="00000000" w:rsidRDefault="00EB4933">
      <w:pPr>
        <w:pStyle w:val="NormalWeb"/>
        <w:spacing w:before="0" w:beforeAutospacing="0" w:after="0" w:afterAutospacing="0"/>
        <w:jc w:val="both"/>
        <w:divId w:val="98525094"/>
        <w:rPr>
          <w:sz w:val="20"/>
          <w:szCs w:val="20"/>
        </w:rPr>
      </w:pPr>
      <w:r>
        <w:rPr>
          <w:sz w:val="20"/>
          <w:szCs w:val="20"/>
        </w:rPr>
        <w:t>The consolidated financial statements represent a continuation of the consolidated financial statements of True Silver and its subsidiaries (the “True Silver Group”) and reflect the following:</w:t>
      </w:r>
    </w:p>
    <w:p w14:paraId="46FB8520"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45"/>
        <w:gridCol w:w="8815"/>
      </w:tblGrid>
      <w:tr w:rsidR="00000000" w14:paraId="156E8D05" w14:textId="77777777">
        <w:trPr>
          <w:divId w:val="98525094"/>
          <w:trHeight w:val="225"/>
          <w:tblCellSpacing w:w="15" w:type="dxa"/>
        </w:trPr>
        <w:tc>
          <w:tcPr>
            <w:tcW w:w="200" w:type="pct"/>
            <w:hideMark/>
          </w:tcPr>
          <w:p w14:paraId="3A2F01A1" w14:textId="77777777" w:rsidR="00000000" w:rsidRDefault="00EB4933">
            <w:pPr>
              <w:pStyle w:val="NormalWeb"/>
              <w:spacing w:before="0" w:beforeAutospacing="0" w:after="0" w:afterAutospacing="0"/>
              <w:jc w:val="both"/>
              <w:rPr>
                <w:sz w:val="20"/>
                <w:szCs w:val="20"/>
              </w:rPr>
            </w:pPr>
            <w:r>
              <w:rPr>
                <w:sz w:val="20"/>
                <w:szCs w:val="20"/>
              </w:rPr>
              <w:t>(a</w:t>
            </w:r>
            <w:r>
              <w:rPr>
                <w:sz w:val="20"/>
                <w:szCs w:val="20"/>
              </w:rPr>
              <w:t xml:space="preserve">) </w:t>
            </w:r>
          </w:p>
        </w:tc>
        <w:tc>
          <w:tcPr>
            <w:tcW w:w="0" w:type="auto"/>
            <w:hideMark/>
          </w:tcPr>
          <w:p w14:paraId="385E51A2" w14:textId="77777777" w:rsidR="00000000" w:rsidRDefault="00EB4933">
            <w:pPr>
              <w:jc w:val="both"/>
              <w:rPr>
                <w:rFonts w:eastAsia="Times New Roman"/>
                <w:sz w:val="20"/>
                <w:szCs w:val="20"/>
              </w:rPr>
            </w:pPr>
            <w:r>
              <w:rPr>
                <w:rFonts w:eastAsia="Times New Roman"/>
                <w:sz w:val="20"/>
                <w:szCs w:val="20"/>
              </w:rPr>
              <w:t>the assets and liabilities of the True Silver Group were recognized and measured in the consolidated statement of financial position at their carrying amount before the Acquisition;</w:t>
            </w:r>
          </w:p>
        </w:tc>
      </w:tr>
      <w:tr w:rsidR="00000000" w14:paraId="173C763C" w14:textId="77777777">
        <w:trPr>
          <w:divId w:val="98525094"/>
          <w:trHeight w:val="225"/>
          <w:tblCellSpacing w:w="15" w:type="dxa"/>
        </w:trPr>
        <w:tc>
          <w:tcPr>
            <w:tcW w:w="0" w:type="auto"/>
            <w:vAlign w:val="center"/>
            <w:hideMark/>
          </w:tcPr>
          <w:p w14:paraId="4D24B223" w14:textId="77777777" w:rsidR="00000000" w:rsidRDefault="00EB4933">
            <w:pPr>
              <w:pStyle w:val="NormalWeb"/>
              <w:spacing w:before="0" w:beforeAutospacing="0" w:after="0" w:afterAutospacing="0"/>
              <w:ind w:firstLine="450"/>
              <w:jc w:val="both"/>
              <w:rPr>
                <w:sz w:val="20"/>
                <w:szCs w:val="20"/>
              </w:rPr>
            </w:pPr>
            <w:r>
              <w:rPr>
                <w:sz w:val="20"/>
                <w:szCs w:val="20"/>
              </w:rPr>
              <w:lastRenderedPageBreak/>
              <w:t> </w:t>
            </w:r>
          </w:p>
        </w:tc>
        <w:tc>
          <w:tcPr>
            <w:tcW w:w="0" w:type="auto"/>
            <w:vAlign w:val="center"/>
            <w:hideMark/>
          </w:tcPr>
          <w:p w14:paraId="13D2C0D5"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6BF8ED23" w14:textId="77777777">
        <w:trPr>
          <w:divId w:val="98525094"/>
          <w:trHeight w:val="225"/>
          <w:tblCellSpacing w:w="15" w:type="dxa"/>
        </w:trPr>
        <w:tc>
          <w:tcPr>
            <w:tcW w:w="0" w:type="auto"/>
            <w:hideMark/>
          </w:tcPr>
          <w:p w14:paraId="0590A0E2" w14:textId="77777777" w:rsidR="00000000" w:rsidRDefault="00EB4933">
            <w:pPr>
              <w:pStyle w:val="NormalWeb"/>
              <w:spacing w:before="0" w:beforeAutospacing="0" w:after="0" w:afterAutospacing="0"/>
              <w:jc w:val="both"/>
              <w:rPr>
                <w:sz w:val="20"/>
                <w:szCs w:val="20"/>
              </w:rPr>
            </w:pPr>
            <w:r>
              <w:rPr>
                <w:sz w:val="20"/>
                <w:szCs w:val="20"/>
              </w:rPr>
              <w:t xml:space="preserve">(b) </w:t>
            </w:r>
          </w:p>
        </w:tc>
        <w:tc>
          <w:tcPr>
            <w:tcW w:w="0" w:type="auto"/>
            <w:hideMark/>
          </w:tcPr>
          <w:p w14:paraId="1878C3B6" w14:textId="77777777" w:rsidR="00000000" w:rsidRDefault="00EB4933">
            <w:pPr>
              <w:jc w:val="both"/>
              <w:rPr>
                <w:rFonts w:eastAsia="Times New Roman"/>
                <w:sz w:val="20"/>
                <w:szCs w:val="20"/>
              </w:rPr>
            </w:pPr>
            <w:r>
              <w:rPr>
                <w:rFonts w:eastAsia="Times New Roman"/>
                <w:sz w:val="20"/>
                <w:szCs w:val="20"/>
              </w:rPr>
              <w:t xml:space="preserve">the identifiable assets and liabilities of the Company were </w:t>
            </w:r>
            <w:r>
              <w:rPr>
                <w:rFonts w:eastAsia="Times New Roman"/>
                <w:sz w:val="20"/>
                <w:szCs w:val="20"/>
              </w:rPr>
              <w:t>recognized and measured in the consolidated financial statements at their acquisition date fair values;</w:t>
            </w:r>
          </w:p>
        </w:tc>
      </w:tr>
      <w:tr w:rsidR="00000000" w14:paraId="4ADE4BB1" w14:textId="77777777">
        <w:trPr>
          <w:divId w:val="98525094"/>
          <w:trHeight w:val="225"/>
          <w:tblCellSpacing w:w="15" w:type="dxa"/>
        </w:trPr>
        <w:tc>
          <w:tcPr>
            <w:tcW w:w="0" w:type="auto"/>
            <w:vAlign w:val="center"/>
            <w:hideMark/>
          </w:tcPr>
          <w:p w14:paraId="47AE579E"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066424A4"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1415B94F" w14:textId="77777777">
        <w:trPr>
          <w:divId w:val="98525094"/>
          <w:trHeight w:val="225"/>
          <w:tblCellSpacing w:w="15" w:type="dxa"/>
        </w:trPr>
        <w:tc>
          <w:tcPr>
            <w:tcW w:w="0" w:type="auto"/>
            <w:hideMark/>
          </w:tcPr>
          <w:p w14:paraId="4D0AB445" w14:textId="77777777" w:rsidR="00000000" w:rsidRDefault="00EB4933">
            <w:pPr>
              <w:pStyle w:val="NormalWeb"/>
              <w:spacing w:before="0" w:beforeAutospacing="0" w:after="0" w:afterAutospacing="0"/>
              <w:jc w:val="both"/>
              <w:rPr>
                <w:sz w:val="20"/>
                <w:szCs w:val="20"/>
              </w:rPr>
            </w:pPr>
            <w:r>
              <w:rPr>
                <w:sz w:val="20"/>
                <w:szCs w:val="20"/>
              </w:rPr>
              <w:t xml:space="preserve">(c) </w:t>
            </w:r>
          </w:p>
        </w:tc>
        <w:tc>
          <w:tcPr>
            <w:tcW w:w="0" w:type="auto"/>
            <w:hideMark/>
          </w:tcPr>
          <w:p w14:paraId="2EB29548" w14:textId="77777777" w:rsidR="00000000" w:rsidRDefault="00EB4933">
            <w:pPr>
              <w:jc w:val="both"/>
              <w:rPr>
                <w:rFonts w:eastAsia="Times New Roman"/>
                <w:sz w:val="20"/>
                <w:szCs w:val="20"/>
              </w:rPr>
            </w:pPr>
            <w:r>
              <w:rPr>
                <w:rFonts w:eastAsia="Times New Roman"/>
                <w:sz w:val="20"/>
                <w:szCs w:val="20"/>
              </w:rPr>
              <w:t>the excess of the fair value of purchase consideration over the identifiable net assets of the Company at fair value is recognized as a reduction of additional paid-in capital in the consolidated statement of financial position;</w:t>
            </w:r>
          </w:p>
        </w:tc>
      </w:tr>
      <w:tr w:rsidR="00000000" w14:paraId="0C2D6CF4" w14:textId="77777777">
        <w:trPr>
          <w:divId w:val="98525094"/>
          <w:trHeight w:val="225"/>
          <w:tblCellSpacing w:w="15" w:type="dxa"/>
        </w:trPr>
        <w:tc>
          <w:tcPr>
            <w:tcW w:w="0" w:type="auto"/>
            <w:vAlign w:val="center"/>
            <w:hideMark/>
          </w:tcPr>
          <w:p w14:paraId="2072D07C"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FB4F525"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5DD85D0D" w14:textId="77777777">
        <w:trPr>
          <w:divId w:val="98525094"/>
          <w:trHeight w:val="225"/>
          <w:tblCellSpacing w:w="15" w:type="dxa"/>
        </w:trPr>
        <w:tc>
          <w:tcPr>
            <w:tcW w:w="0" w:type="auto"/>
            <w:hideMark/>
          </w:tcPr>
          <w:p w14:paraId="45B97E51" w14:textId="77777777" w:rsidR="00000000" w:rsidRDefault="00EB4933">
            <w:pPr>
              <w:pStyle w:val="NormalWeb"/>
              <w:spacing w:before="0" w:beforeAutospacing="0" w:after="0" w:afterAutospacing="0"/>
              <w:jc w:val="both"/>
              <w:rPr>
                <w:sz w:val="20"/>
                <w:szCs w:val="20"/>
              </w:rPr>
            </w:pPr>
            <w:r>
              <w:rPr>
                <w:sz w:val="20"/>
                <w:szCs w:val="20"/>
              </w:rPr>
              <w:t xml:space="preserve">(d) </w:t>
            </w:r>
          </w:p>
        </w:tc>
        <w:tc>
          <w:tcPr>
            <w:tcW w:w="0" w:type="auto"/>
            <w:hideMark/>
          </w:tcPr>
          <w:p w14:paraId="782FD3AC" w14:textId="77777777" w:rsidR="00000000" w:rsidRDefault="00EB4933">
            <w:pPr>
              <w:jc w:val="both"/>
              <w:rPr>
                <w:rFonts w:eastAsia="Times New Roman"/>
                <w:sz w:val="20"/>
                <w:szCs w:val="20"/>
              </w:rPr>
            </w:pPr>
            <w:r>
              <w:rPr>
                <w:rFonts w:eastAsia="Times New Roman"/>
                <w:sz w:val="20"/>
                <w:szCs w:val="20"/>
              </w:rPr>
              <w:t>the retained ear</w:t>
            </w:r>
            <w:r>
              <w:rPr>
                <w:rFonts w:eastAsia="Times New Roman"/>
                <w:sz w:val="20"/>
                <w:szCs w:val="20"/>
              </w:rPr>
              <w:t>nings and other equity balances recognized in the consolidated financial statement are the retained earnings and other equity balances of the True Silver Group immediately before the Acquisition;</w:t>
            </w:r>
          </w:p>
        </w:tc>
      </w:tr>
      <w:tr w:rsidR="00000000" w14:paraId="7B41BCE9" w14:textId="77777777">
        <w:trPr>
          <w:divId w:val="98525094"/>
          <w:trHeight w:val="225"/>
          <w:tblCellSpacing w:w="15" w:type="dxa"/>
        </w:trPr>
        <w:tc>
          <w:tcPr>
            <w:tcW w:w="0" w:type="auto"/>
            <w:vAlign w:val="center"/>
            <w:hideMark/>
          </w:tcPr>
          <w:p w14:paraId="5076A765"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7300A834"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6635A8CF" w14:textId="77777777">
        <w:trPr>
          <w:divId w:val="98525094"/>
          <w:trHeight w:val="225"/>
          <w:tblCellSpacing w:w="15" w:type="dxa"/>
        </w:trPr>
        <w:tc>
          <w:tcPr>
            <w:tcW w:w="0" w:type="auto"/>
            <w:hideMark/>
          </w:tcPr>
          <w:p w14:paraId="23F937BF" w14:textId="77777777" w:rsidR="00000000" w:rsidRDefault="00EB4933">
            <w:pPr>
              <w:pStyle w:val="NormalWeb"/>
              <w:spacing w:before="0" w:beforeAutospacing="0" w:after="0" w:afterAutospacing="0"/>
              <w:jc w:val="both"/>
              <w:rPr>
                <w:sz w:val="20"/>
                <w:szCs w:val="20"/>
              </w:rPr>
            </w:pPr>
            <w:r>
              <w:rPr>
                <w:sz w:val="20"/>
                <w:szCs w:val="20"/>
              </w:rPr>
              <w:t xml:space="preserve">(e) </w:t>
            </w:r>
          </w:p>
        </w:tc>
        <w:tc>
          <w:tcPr>
            <w:tcW w:w="0" w:type="auto"/>
            <w:hideMark/>
          </w:tcPr>
          <w:p w14:paraId="2ADC7307" w14:textId="77777777" w:rsidR="00000000" w:rsidRDefault="00EB4933">
            <w:pPr>
              <w:jc w:val="both"/>
              <w:rPr>
                <w:rFonts w:eastAsia="Times New Roman"/>
                <w:sz w:val="20"/>
                <w:szCs w:val="20"/>
              </w:rPr>
            </w:pPr>
            <w:r>
              <w:rPr>
                <w:rFonts w:eastAsia="Times New Roman"/>
                <w:sz w:val="20"/>
                <w:szCs w:val="20"/>
              </w:rPr>
              <w:t>the amount recognized as issued equity interest i</w:t>
            </w:r>
            <w:r>
              <w:rPr>
                <w:rFonts w:eastAsia="Times New Roman"/>
                <w:sz w:val="20"/>
                <w:szCs w:val="20"/>
              </w:rPr>
              <w:t>n the consolidated financial statements were determined by adding the issued equity of the True Silver Group outstanding immediately before the Acquisition to the fair value of purchase consideration of the Acquisition. The fair value of purchase considera</w:t>
            </w:r>
            <w:r>
              <w:rPr>
                <w:rFonts w:eastAsia="Times New Roman"/>
                <w:sz w:val="20"/>
                <w:szCs w:val="20"/>
              </w:rPr>
              <w:t>tion is based on the fair value of the Company at the completion date. However, the equity structure appearing in the consolidated financial statement shall reflect the equity structure of the Company, including the equity instruments issued by the Company</w:t>
            </w:r>
            <w:r>
              <w:rPr>
                <w:rFonts w:eastAsia="Times New Roman"/>
                <w:sz w:val="20"/>
                <w:szCs w:val="20"/>
              </w:rPr>
              <w:t xml:space="preserve"> to effect the Acquisition;</w:t>
            </w:r>
          </w:p>
        </w:tc>
      </w:tr>
      <w:tr w:rsidR="00000000" w14:paraId="7B451224" w14:textId="77777777">
        <w:trPr>
          <w:divId w:val="98525094"/>
          <w:trHeight w:val="225"/>
          <w:tblCellSpacing w:w="15" w:type="dxa"/>
        </w:trPr>
        <w:tc>
          <w:tcPr>
            <w:tcW w:w="0" w:type="auto"/>
            <w:vAlign w:val="center"/>
            <w:hideMark/>
          </w:tcPr>
          <w:p w14:paraId="339A022A"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651CD7D"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1BEE8D23" w14:textId="77777777">
        <w:trPr>
          <w:divId w:val="98525094"/>
          <w:trHeight w:val="225"/>
          <w:tblCellSpacing w:w="15" w:type="dxa"/>
        </w:trPr>
        <w:tc>
          <w:tcPr>
            <w:tcW w:w="0" w:type="auto"/>
            <w:hideMark/>
          </w:tcPr>
          <w:p w14:paraId="23D5F833" w14:textId="77777777" w:rsidR="00000000" w:rsidRDefault="00EB4933">
            <w:pPr>
              <w:pStyle w:val="NormalWeb"/>
              <w:spacing w:before="0" w:beforeAutospacing="0" w:after="0" w:afterAutospacing="0"/>
              <w:jc w:val="both"/>
              <w:rPr>
                <w:sz w:val="20"/>
                <w:szCs w:val="20"/>
              </w:rPr>
            </w:pPr>
            <w:r>
              <w:rPr>
                <w:sz w:val="20"/>
                <w:szCs w:val="20"/>
              </w:rPr>
              <w:t xml:space="preserve">(f) </w:t>
            </w:r>
          </w:p>
        </w:tc>
        <w:tc>
          <w:tcPr>
            <w:tcW w:w="0" w:type="auto"/>
            <w:hideMark/>
          </w:tcPr>
          <w:p w14:paraId="629F7F96" w14:textId="77777777" w:rsidR="00000000" w:rsidRDefault="00EB4933">
            <w:pPr>
              <w:jc w:val="both"/>
              <w:rPr>
                <w:rFonts w:eastAsia="Times New Roman"/>
                <w:sz w:val="20"/>
                <w:szCs w:val="20"/>
              </w:rPr>
            </w:pPr>
            <w:r>
              <w:rPr>
                <w:rFonts w:eastAsia="Times New Roman"/>
                <w:sz w:val="20"/>
                <w:szCs w:val="20"/>
              </w:rPr>
              <w:t xml:space="preserve">the consolidated statement of profit and other comprehensive income for the financial year ended December 31, 2017 reflects that of the True Silver Group for the full period together with the post-acquisition results </w:t>
            </w:r>
            <w:r>
              <w:rPr>
                <w:rFonts w:eastAsia="Times New Roman"/>
                <w:sz w:val="20"/>
                <w:szCs w:val="20"/>
              </w:rPr>
              <w:t>of the Company;</w:t>
            </w:r>
          </w:p>
        </w:tc>
      </w:tr>
    </w:tbl>
    <w:p w14:paraId="29A943EB"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5DE2344" w14:textId="77777777">
        <w:trPr>
          <w:divId w:val="98525094"/>
          <w:trHeight w:val="225"/>
          <w:tblCellSpacing w:w="15" w:type="dxa"/>
        </w:trPr>
        <w:tc>
          <w:tcPr>
            <w:tcW w:w="0" w:type="auto"/>
            <w:vAlign w:val="center"/>
            <w:hideMark/>
          </w:tcPr>
          <w:p w14:paraId="5D9F5DCB" w14:textId="77777777" w:rsidR="00000000" w:rsidRDefault="00EB4933">
            <w:pPr>
              <w:rPr>
                <w:rFonts w:eastAsia="Times New Roman"/>
                <w:sz w:val="20"/>
                <w:szCs w:val="20"/>
              </w:rPr>
            </w:pPr>
            <w:r>
              <w:rPr>
                <w:rFonts w:eastAsia="Times New Roman"/>
                <w:sz w:val="20"/>
                <w:szCs w:val="20"/>
              </w:rPr>
              <w:t> </w:t>
            </w:r>
          </w:p>
        </w:tc>
      </w:tr>
      <w:tr w:rsidR="00000000" w14:paraId="55C6E878" w14:textId="77777777">
        <w:trPr>
          <w:divId w:val="98525094"/>
          <w:trHeight w:val="225"/>
          <w:tblCellSpacing w:w="15" w:type="dxa"/>
        </w:trPr>
        <w:tc>
          <w:tcPr>
            <w:tcW w:w="0" w:type="auto"/>
            <w:tcBorders>
              <w:bottom w:val="single" w:sz="6" w:space="0" w:color="000000"/>
            </w:tcBorders>
            <w:vAlign w:val="center"/>
            <w:hideMark/>
          </w:tcPr>
          <w:p w14:paraId="75FBBE78" w14:textId="77777777" w:rsidR="00000000" w:rsidRDefault="00EB4933">
            <w:pPr>
              <w:jc w:val="center"/>
              <w:rPr>
                <w:rFonts w:eastAsia="Times New Roman"/>
                <w:sz w:val="20"/>
                <w:szCs w:val="20"/>
              </w:rPr>
            </w:pPr>
            <w:r>
              <w:rPr>
                <w:rFonts w:eastAsia="Times New Roman"/>
                <w:sz w:val="20"/>
                <w:szCs w:val="20"/>
              </w:rPr>
              <w:t>F-9</w:t>
            </w:r>
          </w:p>
        </w:tc>
      </w:tr>
      <w:tr w:rsidR="00000000" w14:paraId="55A7A2DF" w14:textId="77777777">
        <w:trPr>
          <w:divId w:val="98525094"/>
          <w:trHeight w:val="225"/>
          <w:tblCellSpacing w:w="15" w:type="dxa"/>
        </w:trPr>
        <w:tc>
          <w:tcPr>
            <w:tcW w:w="0" w:type="auto"/>
            <w:vAlign w:val="center"/>
            <w:hideMark/>
          </w:tcPr>
          <w:p w14:paraId="4AD12C91" w14:textId="77777777" w:rsidR="00000000" w:rsidRDefault="00EB4933">
            <w:pPr>
              <w:rPr>
                <w:rFonts w:eastAsia="Times New Roman"/>
                <w:sz w:val="20"/>
                <w:szCs w:val="20"/>
              </w:rPr>
            </w:pPr>
          </w:p>
        </w:tc>
      </w:tr>
      <w:tr w:rsidR="00000000" w14:paraId="3BF5CFBA" w14:textId="77777777">
        <w:trPr>
          <w:divId w:val="98525094"/>
          <w:trHeight w:val="225"/>
          <w:tblCellSpacing w:w="15" w:type="dxa"/>
        </w:trPr>
        <w:tc>
          <w:tcPr>
            <w:tcW w:w="0" w:type="auto"/>
            <w:vAlign w:val="center"/>
            <w:hideMark/>
          </w:tcPr>
          <w:p w14:paraId="1B2029F1" w14:textId="77777777" w:rsidR="00000000" w:rsidRDefault="00EB4933">
            <w:pPr>
              <w:rPr>
                <w:rFonts w:eastAsia="Times New Roman"/>
                <w:sz w:val="20"/>
                <w:szCs w:val="20"/>
              </w:rPr>
            </w:pPr>
            <w:hyperlink r:id="rId226" w:anchor="finindex" w:history="1">
              <w:r>
                <w:rPr>
                  <w:rStyle w:val="Hyperlink"/>
                  <w:rFonts w:eastAsia="Times New Roman"/>
                  <w:i/>
                  <w:iCs/>
                  <w:sz w:val="20"/>
                  <w:szCs w:val="20"/>
                </w:rPr>
                <w:t>Table of Contents</w:t>
              </w:r>
            </w:hyperlink>
          </w:p>
        </w:tc>
      </w:tr>
    </w:tbl>
    <w:p w14:paraId="602EEFDB"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03B483DF"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3F33B749"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3E0B4AFB"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FOR THE FINANCIAL YEAR ENDED 2017, 2018 AND 2019 </w:t>
      </w:r>
    </w:p>
    <w:p w14:paraId="52484265"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3927F3E9" w14:textId="77777777" w:rsidR="00000000" w:rsidRDefault="00EB4933">
      <w:pPr>
        <w:pStyle w:val="NormalWeb"/>
        <w:spacing w:before="0" w:beforeAutospacing="0" w:after="0" w:afterAutospacing="0"/>
        <w:jc w:val="both"/>
        <w:divId w:val="98525094"/>
        <w:rPr>
          <w:sz w:val="20"/>
          <w:szCs w:val="20"/>
        </w:rPr>
      </w:pPr>
      <w:r>
        <w:rPr>
          <w:rStyle w:val="Strong"/>
          <w:sz w:val="20"/>
          <w:szCs w:val="20"/>
        </w:rPr>
        <w:t>1.</w:t>
      </w:r>
      <w:r>
        <w:rPr>
          <w:rStyle w:val="Strong"/>
          <w:sz w:val="14"/>
          <w:szCs w:val="14"/>
        </w:rPr>
        <w:t xml:space="preserve"> </w:t>
      </w:r>
      <w:r>
        <w:rPr>
          <w:rStyle w:val="Strong"/>
          <w:sz w:val="20"/>
          <w:szCs w:val="20"/>
        </w:rPr>
        <w:t>Organization and principal activities – continued</w:t>
      </w:r>
    </w:p>
    <w:p w14:paraId="4CC4F59B"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545"/>
        <w:gridCol w:w="8815"/>
      </w:tblGrid>
      <w:tr w:rsidR="00000000" w14:paraId="4B27D9D0" w14:textId="77777777">
        <w:trPr>
          <w:divId w:val="98525094"/>
          <w:trHeight w:val="225"/>
          <w:tblCellSpacing w:w="15" w:type="dxa"/>
        </w:trPr>
        <w:tc>
          <w:tcPr>
            <w:tcW w:w="200" w:type="pct"/>
            <w:hideMark/>
          </w:tcPr>
          <w:p w14:paraId="3B0F0B7C" w14:textId="77777777" w:rsidR="00000000" w:rsidRDefault="00EB4933">
            <w:pPr>
              <w:pStyle w:val="NormalWeb"/>
              <w:spacing w:before="0" w:beforeAutospacing="0" w:after="0" w:afterAutospacing="0"/>
              <w:rPr>
                <w:sz w:val="20"/>
                <w:szCs w:val="20"/>
              </w:rPr>
            </w:pPr>
            <w:r>
              <w:rPr>
                <w:sz w:val="20"/>
                <w:szCs w:val="20"/>
              </w:rPr>
              <w:t xml:space="preserve">(g) </w:t>
            </w:r>
          </w:p>
        </w:tc>
        <w:tc>
          <w:tcPr>
            <w:tcW w:w="0" w:type="auto"/>
            <w:hideMark/>
          </w:tcPr>
          <w:p w14:paraId="4B385529" w14:textId="77777777" w:rsidR="00000000" w:rsidRDefault="00EB4933">
            <w:pPr>
              <w:rPr>
                <w:rFonts w:eastAsia="Times New Roman"/>
                <w:sz w:val="20"/>
                <w:szCs w:val="20"/>
              </w:rPr>
            </w:pPr>
            <w:r>
              <w:rPr>
                <w:rFonts w:eastAsia="Times New Roman"/>
                <w:sz w:val="20"/>
                <w:szCs w:val="20"/>
              </w:rPr>
              <w:t xml:space="preserve">the comparative figures presented in the consolidated financial statements were that of the True Silver Group; and </w:t>
            </w:r>
          </w:p>
        </w:tc>
      </w:tr>
      <w:tr w:rsidR="00000000" w14:paraId="2826BA41" w14:textId="77777777">
        <w:trPr>
          <w:divId w:val="98525094"/>
          <w:trHeight w:val="225"/>
          <w:tblCellSpacing w:w="15" w:type="dxa"/>
        </w:trPr>
        <w:tc>
          <w:tcPr>
            <w:tcW w:w="0" w:type="auto"/>
            <w:vAlign w:val="center"/>
            <w:hideMark/>
          </w:tcPr>
          <w:p w14:paraId="52DBEB2F"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59DA561F" w14:textId="77777777" w:rsidR="00000000" w:rsidRDefault="00EB4933">
            <w:pPr>
              <w:pStyle w:val="NormalWeb"/>
              <w:spacing w:before="0" w:beforeAutospacing="0" w:after="0" w:afterAutospacing="0"/>
              <w:rPr>
                <w:sz w:val="20"/>
                <w:szCs w:val="20"/>
              </w:rPr>
            </w:pPr>
            <w:r>
              <w:rPr>
                <w:sz w:val="20"/>
                <w:szCs w:val="20"/>
              </w:rPr>
              <w:t> </w:t>
            </w:r>
          </w:p>
        </w:tc>
      </w:tr>
      <w:tr w:rsidR="00000000" w14:paraId="79C55579" w14:textId="77777777">
        <w:trPr>
          <w:divId w:val="98525094"/>
          <w:trHeight w:val="225"/>
          <w:tblCellSpacing w:w="15" w:type="dxa"/>
        </w:trPr>
        <w:tc>
          <w:tcPr>
            <w:tcW w:w="0" w:type="auto"/>
            <w:hideMark/>
          </w:tcPr>
          <w:p w14:paraId="70C42507" w14:textId="77777777" w:rsidR="00000000" w:rsidRDefault="00EB4933">
            <w:pPr>
              <w:pStyle w:val="NormalWeb"/>
              <w:spacing w:before="0" w:beforeAutospacing="0" w:after="0" w:afterAutospacing="0"/>
              <w:rPr>
                <w:sz w:val="20"/>
                <w:szCs w:val="20"/>
              </w:rPr>
            </w:pPr>
            <w:r>
              <w:rPr>
                <w:sz w:val="20"/>
                <w:szCs w:val="20"/>
              </w:rPr>
              <w:t xml:space="preserve">(h) </w:t>
            </w:r>
          </w:p>
        </w:tc>
        <w:tc>
          <w:tcPr>
            <w:tcW w:w="0" w:type="auto"/>
            <w:hideMark/>
          </w:tcPr>
          <w:p w14:paraId="2FCD8072" w14:textId="77777777" w:rsidR="00000000" w:rsidRDefault="00EB4933">
            <w:pPr>
              <w:rPr>
                <w:rFonts w:eastAsia="Times New Roman"/>
                <w:sz w:val="20"/>
                <w:szCs w:val="20"/>
              </w:rPr>
            </w:pPr>
            <w:r>
              <w:rPr>
                <w:rFonts w:eastAsia="Times New Roman"/>
                <w:sz w:val="20"/>
                <w:szCs w:val="20"/>
              </w:rPr>
              <w:t>earnings per share for the financial year ended December 31, 2017 reflects the results of the True Silver Group until the date of acquisition and the results of the enlarged Group from the acquisition date.</w:t>
            </w:r>
          </w:p>
        </w:tc>
      </w:tr>
    </w:tbl>
    <w:p w14:paraId="226D0EC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CDC99AC" w14:textId="77777777" w:rsidR="00000000" w:rsidRDefault="00EB4933">
      <w:pPr>
        <w:pStyle w:val="NormalWeb"/>
        <w:spacing w:before="0" w:beforeAutospacing="0" w:after="0" w:afterAutospacing="0"/>
        <w:jc w:val="both"/>
        <w:divId w:val="98525094"/>
        <w:rPr>
          <w:sz w:val="20"/>
          <w:szCs w:val="20"/>
        </w:rPr>
      </w:pPr>
      <w:r>
        <w:rPr>
          <w:sz w:val="20"/>
          <w:szCs w:val="20"/>
        </w:rPr>
        <w:t>The principal place of business is 23th Floor,</w:t>
      </w:r>
      <w:r>
        <w:rPr>
          <w:sz w:val="20"/>
          <w:szCs w:val="20"/>
        </w:rPr>
        <w:t xml:space="preserve"> Lian Fa International Building, No 128 Xu Dong Road, Wuchang District, Wuhan City, Hubei Province, People’s Republic of China 430063. </w:t>
      </w:r>
    </w:p>
    <w:p w14:paraId="460029D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F52B69D" w14:textId="77777777" w:rsidR="00000000" w:rsidRDefault="00EB4933">
      <w:pPr>
        <w:pStyle w:val="NormalWeb"/>
        <w:spacing w:before="0" w:beforeAutospacing="0" w:after="0" w:afterAutospacing="0"/>
        <w:jc w:val="both"/>
        <w:divId w:val="98525094"/>
        <w:rPr>
          <w:sz w:val="20"/>
          <w:szCs w:val="20"/>
        </w:rPr>
      </w:pPr>
      <w:r>
        <w:rPr>
          <w:sz w:val="20"/>
          <w:szCs w:val="20"/>
        </w:rPr>
        <w:t>The Company is listed on the New York Stock Exchange American, the ticker symbol is DXF.</w:t>
      </w:r>
    </w:p>
    <w:p w14:paraId="733468C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CA42F33" w14:textId="77777777" w:rsidR="00000000" w:rsidRDefault="00EB4933">
      <w:pPr>
        <w:pStyle w:val="NormalWeb"/>
        <w:spacing w:before="0" w:beforeAutospacing="0" w:after="0" w:afterAutospacing="0"/>
        <w:jc w:val="both"/>
        <w:divId w:val="98525094"/>
        <w:rPr>
          <w:sz w:val="20"/>
          <w:szCs w:val="20"/>
        </w:rPr>
      </w:pPr>
      <w:r>
        <w:rPr>
          <w:sz w:val="20"/>
          <w:szCs w:val="20"/>
        </w:rPr>
        <w:t xml:space="preserve">These financial statements </w:t>
      </w:r>
      <w:r>
        <w:rPr>
          <w:sz w:val="20"/>
          <w:szCs w:val="20"/>
        </w:rPr>
        <w:t>are presented in Renminbi, unless otherwise stated.</w:t>
      </w:r>
    </w:p>
    <w:p w14:paraId="01B3851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F052A07" w14:textId="77777777" w:rsidR="00000000" w:rsidRDefault="00EB4933">
      <w:pPr>
        <w:pStyle w:val="NormalWeb"/>
        <w:spacing w:before="0" w:beforeAutospacing="0" w:after="0" w:afterAutospacing="0"/>
        <w:jc w:val="both"/>
        <w:divId w:val="98525094"/>
        <w:rPr>
          <w:sz w:val="20"/>
          <w:szCs w:val="20"/>
        </w:rPr>
      </w:pPr>
      <w:r>
        <w:rPr>
          <w:sz w:val="20"/>
          <w:szCs w:val="20"/>
        </w:rPr>
        <w:t>The consolidated financial statements for the three years ended December 31, 2017, 2018 and 2019 were authorized for issue by resolution of the board of directors on November 9, 2020.</w:t>
      </w:r>
    </w:p>
    <w:p w14:paraId="642A3F9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3D7382F" w14:textId="77777777" w:rsidR="00000000" w:rsidRDefault="00EB4933">
      <w:pPr>
        <w:pStyle w:val="NormalWeb"/>
        <w:spacing w:before="0" w:beforeAutospacing="0" w:after="0" w:afterAutospacing="0"/>
        <w:jc w:val="both"/>
        <w:divId w:val="98525094"/>
        <w:rPr>
          <w:sz w:val="20"/>
          <w:szCs w:val="20"/>
        </w:rPr>
      </w:pPr>
      <w:r>
        <w:rPr>
          <w:rStyle w:val="Emphasis"/>
          <w:sz w:val="20"/>
          <w:szCs w:val="20"/>
        </w:rPr>
        <w:t>Reporting entiti</w:t>
      </w:r>
      <w:r>
        <w:rPr>
          <w:rStyle w:val="Emphasis"/>
          <w:sz w:val="20"/>
          <w:szCs w:val="20"/>
        </w:rPr>
        <w:t>es</w:t>
      </w:r>
    </w:p>
    <w:p w14:paraId="32934E3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82CB0CE" w14:textId="77777777" w:rsidR="00000000" w:rsidRDefault="00EB4933">
      <w:pPr>
        <w:pStyle w:val="NormalWeb"/>
        <w:spacing w:before="0" w:beforeAutospacing="0" w:after="0" w:afterAutospacing="0"/>
        <w:jc w:val="both"/>
        <w:divId w:val="98525094"/>
        <w:rPr>
          <w:sz w:val="20"/>
          <w:szCs w:val="20"/>
        </w:rPr>
      </w:pPr>
      <w:r>
        <w:rPr>
          <w:sz w:val="20"/>
          <w:szCs w:val="20"/>
        </w:rPr>
        <w:t>Dunxin Financial Holdings Limited (the “Company”</w:t>
      </w:r>
      <w:r>
        <w:rPr>
          <w:sz w:val="20"/>
          <w:szCs w:val="20"/>
        </w:rPr>
        <w:t xml:space="preserve">) is a holding company. The Company, its wholly-owned subsidiaries and variable interest entity are collectively referred to as the “Group”. </w:t>
      </w:r>
    </w:p>
    <w:p w14:paraId="4587AF58"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p w14:paraId="015E9B03" w14:textId="77777777" w:rsidR="00000000" w:rsidRDefault="00EB4933">
      <w:pPr>
        <w:pStyle w:val="NormalWeb"/>
        <w:spacing w:before="0" w:beforeAutospacing="0" w:after="0" w:afterAutospacing="0"/>
        <w:jc w:val="both"/>
        <w:divId w:val="98525094"/>
        <w:rPr>
          <w:sz w:val="20"/>
          <w:szCs w:val="20"/>
        </w:rPr>
      </w:pPr>
      <w:r>
        <w:rPr>
          <w:sz w:val="20"/>
          <w:szCs w:val="20"/>
        </w:rPr>
        <w:t>The Group is principally engaged in the business of providing loan facilities to micro, small and medium sized e</w:t>
      </w:r>
      <w:r>
        <w:rPr>
          <w:sz w:val="20"/>
          <w:szCs w:val="20"/>
        </w:rPr>
        <w:t>nterprises and sole proprietors in Hubei province of the People’s Republic of China (“PRC”). The Group operates its microfinance lending business through the 80% variable interest entity (“VIE”) operating company, Hubei Chutian Microfinance Co., Ltd (“Chut</w:t>
      </w:r>
      <w:r>
        <w:rPr>
          <w:sz w:val="20"/>
          <w:szCs w:val="20"/>
        </w:rPr>
        <w:t>ian”). All of the Group’s operations are conducted in the PRC through Chutian. The Group operates the microfinance lending business in the PRC on the basis of the approval certificates, business license and other requisite licenses held by Chutian. The Gro</w:t>
      </w:r>
      <w:r>
        <w:rPr>
          <w:sz w:val="20"/>
          <w:szCs w:val="20"/>
        </w:rPr>
        <w:t xml:space="preserve">up generates virtually all revenues of the business through the VIE Agreements. </w:t>
      </w:r>
    </w:p>
    <w:p w14:paraId="256D85FA"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AFD8A47" w14:textId="77777777">
        <w:trPr>
          <w:divId w:val="98525094"/>
          <w:trHeight w:val="225"/>
          <w:tblCellSpacing w:w="15" w:type="dxa"/>
        </w:trPr>
        <w:tc>
          <w:tcPr>
            <w:tcW w:w="0" w:type="auto"/>
            <w:vAlign w:val="center"/>
            <w:hideMark/>
          </w:tcPr>
          <w:p w14:paraId="75B99106" w14:textId="77777777" w:rsidR="00000000" w:rsidRDefault="00EB4933">
            <w:pPr>
              <w:rPr>
                <w:rFonts w:eastAsia="Times New Roman"/>
                <w:sz w:val="20"/>
                <w:szCs w:val="20"/>
              </w:rPr>
            </w:pPr>
            <w:r>
              <w:rPr>
                <w:rFonts w:eastAsia="Times New Roman"/>
                <w:sz w:val="20"/>
                <w:szCs w:val="20"/>
              </w:rPr>
              <w:t> </w:t>
            </w:r>
          </w:p>
        </w:tc>
      </w:tr>
      <w:tr w:rsidR="00000000" w14:paraId="1670CD1E" w14:textId="77777777">
        <w:trPr>
          <w:divId w:val="98525094"/>
          <w:trHeight w:val="225"/>
          <w:tblCellSpacing w:w="15" w:type="dxa"/>
        </w:trPr>
        <w:tc>
          <w:tcPr>
            <w:tcW w:w="0" w:type="auto"/>
            <w:tcBorders>
              <w:bottom w:val="single" w:sz="6" w:space="0" w:color="000000"/>
            </w:tcBorders>
            <w:vAlign w:val="center"/>
            <w:hideMark/>
          </w:tcPr>
          <w:p w14:paraId="1BAEA807" w14:textId="77777777" w:rsidR="00000000" w:rsidRDefault="00EB4933">
            <w:pPr>
              <w:jc w:val="center"/>
              <w:rPr>
                <w:rFonts w:eastAsia="Times New Roman"/>
                <w:sz w:val="20"/>
                <w:szCs w:val="20"/>
              </w:rPr>
            </w:pPr>
            <w:r>
              <w:rPr>
                <w:rFonts w:eastAsia="Times New Roman"/>
                <w:sz w:val="20"/>
                <w:szCs w:val="20"/>
              </w:rPr>
              <w:t>F-10</w:t>
            </w:r>
          </w:p>
        </w:tc>
      </w:tr>
      <w:tr w:rsidR="00000000" w14:paraId="577C6A5D" w14:textId="77777777">
        <w:trPr>
          <w:divId w:val="98525094"/>
          <w:trHeight w:val="225"/>
          <w:tblCellSpacing w:w="15" w:type="dxa"/>
        </w:trPr>
        <w:tc>
          <w:tcPr>
            <w:tcW w:w="0" w:type="auto"/>
            <w:vAlign w:val="center"/>
            <w:hideMark/>
          </w:tcPr>
          <w:p w14:paraId="0079B0B3" w14:textId="77777777" w:rsidR="00000000" w:rsidRDefault="00EB4933">
            <w:pPr>
              <w:rPr>
                <w:rFonts w:eastAsia="Times New Roman"/>
                <w:sz w:val="20"/>
                <w:szCs w:val="20"/>
              </w:rPr>
            </w:pPr>
          </w:p>
        </w:tc>
      </w:tr>
      <w:tr w:rsidR="00000000" w14:paraId="10BADE57" w14:textId="77777777">
        <w:trPr>
          <w:divId w:val="98525094"/>
          <w:trHeight w:val="225"/>
          <w:tblCellSpacing w:w="15" w:type="dxa"/>
        </w:trPr>
        <w:tc>
          <w:tcPr>
            <w:tcW w:w="0" w:type="auto"/>
            <w:vAlign w:val="center"/>
            <w:hideMark/>
          </w:tcPr>
          <w:p w14:paraId="5B09597C" w14:textId="77777777" w:rsidR="00000000" w:rsidRDefault="00EB4933">
            <w:pPr>
              <w:rPr>
                <w:rFonts w:eastAsia="Times New Roman"/>
                <w:sz w:val="20"/>
                <w:szCs w:val="20"/>
              </w:rPr>
            </w:pPr>
            <w:hyperlink r:id="rId227" w:anchor="finindex" w:history="1">
              <w:r>
                <w:rPr>
                  <w:rStyle w:val="Hyperlink"/>
                  <w:rFonts w:eastAsia="Times New Roman"/>
                  <w:i/>
                  <w:iCs/>
                  <w:sz w:val="20"/>
                  <w:szCs w:val="20"/>
                </w:rPr>
                <w:t>Table of Contents</w:t>
              </w:r>
            </w:hyperlink>
          </w:p>
        </w:tc>
      </w:tr>
    </w:tbl>
    <w:p w14:paraId="6BF05F7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F8BF481"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372FFEC3"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474D4918"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7AF9F7C7" w14:textId="77777777" w:rsidR="00000000" w:rsidRDefault="00EB4933">
      <w:pPr>
        <w:pStyle w:val="NormalWeb"/>
        <w:spacing w:before="0" w:beforeAutospacing="0" w:after="0" w:afterAutospacing="0"/>
        <w:jc w:val="both"/>
        <w:divId w:val="98525094"/>
        <w:rPr>
          <w:sz w:val="20"/>
          <w:szCs w:val="20"/>
        </w:rPr>
      </w:pPr>
      <w:r>
        <w:rPr>
          <w:rStyle w:val="Strong"/>
          <w:sz w:val="20"/>
          <w:szCs w:val="20"/>
        </w:rPr>
        <w:t> </w:t>
      </w:r>
    </w:p>
    <w:p w14:paraId="62A39A3B" w14:textId="77777777" w:rsidR="00000000" w:rsidRDefault="00EB4933">
      <w:pPr>
        <w:pStyle w:val="NormalWeb"/>
        <w:spacing w:before="0" w:beforeAutospacing="0" w:after="0" w:afterAutospacing="0"/>
        <w:jc w:val="both"/>
        <w:divId w:val="98525094"/>
        <w:rPr>
          <w:sz w:val="20"/>
          <w:szCs w:val="20"/>
        </w:rPr>
      </w:pPr>
      <w:r>
        <w:rPr>
          <w:rStyle w:val="Strong"/>
          <w:sz w:val="20"/>
          <w:szCs w:val="20"/>
        </w:rPr>
        <w:t>1.</w:t>
      </w:r>
      <w:r>
        <w:rPr>
          <w:rStyle w:val="Strong"/>
          <w:sz w:val="14"/>
          <w:szCs w:val="14"/>
        </w:rPr>
        <w:t xml:space="preserve"> </w:t>
      </w:r>
      <w:r>
        <w:rPr>
          <w:rStyle w:val="Strong"/>
          <w:sz w:val="20"/>
          <w:szCs w:val="20"/>
        </w:rPr>
        <w:t>Organization and principal activities – continued</w:t>
      </w:r>
    </w:p>
    <w:p w14:paraId="3960BCE6"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4F3B99DF" w14:textId="77777777" w:rsidR="00000000" w:rsidRDefault="00EB4933">
      <w:pPr>
        <w:pStyle w:val="NormalWeb"/>
        <w:spacing w:before="0" w:beforeAutospacing="0" w:after="0" w:afterAutospacing="0"/>
        <w:jc w:val="both"/>
        <w:divId w:val="98525094"/>
        <w:rPr>
          <w:sz w:val="20"/>
          <w:szCs w:val="20"/>
        </w:rPr>
      </w:pPr>
      <w:r>
        <w:rPr>
          <w:sz w:val="20"/>
          <w:szCs w:val="20"/>
        </w:rPr>
        <w:t>The following is a brief description of each of the Company’s subsidiaries:</w:t>
      </w:r>
    </w:p>
    <w:p w14:paraId="3C8AE371"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54028EE8" w14:textId="77777777">
        <w:trPr>
          <w:divId w:val="98525094"/>
          <w:trHeight w:val="225"/>
          <w:tblCellSpacing w:w="15" w:type="dxa"/>
        </w:trPr>
        <w:tc>
          <w:tcPr>
            <w:tcW w:w="200" w:type="pct"/>
            <w:vAlign w:val="center"/>
            <w:hideMark/>
          </w:tcPr>
          <w:p w14:paraId="37444150"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508A7D0B"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6BEBE6CF" w14:textId="77777777" w:rsidR="00000000" w:rsidRDefault="00EB4933">
            <w:pPr>
              <w:jc w:val="both"/>
              <w:rPr>
                <w:rFonts w:eastAsia="Times New Roman"/>
                <w:sz w:val="20"/>
                <w:szCs w:val="20"/>
              </w:rPr>
            </w:pPr>
            <w:r>
              <w:rPr>
                <w:rFonts w:eastAsia="Times New Roman"/>
                <w:sz w:val="20"/>
                <w:szCs w:val="20"/>
              </w:rPr>
              <w:t>True Silver – True Silver Limited (“True Silver”) is a limited company incorporated on June 28, 2016, a British Virgin Islands company. The total amount of paid-up share capi</w:t>
            </w:r>
            <w:r>
              <w:rPr>
                <w:rFonts w:eastAsia="Times New Roman"/>
                <w:sz w:val="20"/>
                <w:szCs w:val="20"/>
              </w:rPr>
              <w:t>tal of True Silver is $50,000 with 50,000 ordinary shares. True Silver is a holding company and is wholly owned by the Company.</w:t>
            </w:r>
          </w:p>
        </w:tc>
      </w:tr>
      <w:tr w:rsidR="00000000" w14:paraId="7DB6F850" w14:textId="77777777">
        <w:trPr>
          <w:divId w:val="98525094"/>
          <w:trHeight w:val="225"/>
          <w:tblCellSpacing w:w="15" w:type="dxa"/>
        </w:trPr>
        <w:tc>
          <w:tcPr>
            <w:tcW w:w="0" w:type="auto"/>
            <w:vAlign w:val="center"/>
            <w:hideMark/>
          </w:tcPr>
          <w:p w14:paraId="01312FEE"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5708622D"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77AB3256"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24D782C1" w14:textId="77777777">
        <w:trPr>
          <w:divId w:val="98525094"/>
          <w:trHeight w:val="225"/>
          <w:tblCellSpacing w:w="15" w:type="dxa"/>
        </w:trPr>
        <w:tc>
          <w:tcPr>
            <w:tcW w:w="0" w:type="auto"/>
            <w:vAlign w:val="center"/>
            <w:hideMark/>
          </w:tcPr>
          <w:p w14:paraId="6F6104A1"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77FB8028"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06707F7D" w14:textId="77777777" w:rsidR="00000000" w:rsidRDefault="00EB4933">
            <w:pPr>
              <w:jc w:val="both"/>
              <w:rPr>
                <w:rFonts w:eastAsia="Times New Roman"/>
                <w:sz w:val="20"/>
                <w:szCs w:val="20"/>
              </w:rPr>
            </w:pPr>
            <w:r>
              <w:rPr>
                <w:rFonts w:eastAsia="Times New Roman"/>
                <w:sz w:val="20"/>
                <w:szCs w:val="20"/>
              </w:rPr>
              <w:t>Chutian HK. Chutian Financial Holdings (Hong Kong) Limited (“Chutian HK”) is a limited company incorporated on Augus</w:t>
            </w:r>
            <w:r>
              <w:rPr>
                <w:rFonts w:eastAsia="Times New Roman"/>
                <w:sz w:val="20"/>
                <w:szCs w:val="20"/>
              </w:rPr>
              <w:t>t 12, 2016, under the Companies Ordinance of Hong Kong. The total amount of paid-up share capital of Chutian HK is HKD10,000 with 100 ordinary shares. Chutian HK is a holding company and is wholly owned by True Silver.</w:t>
            </w:r>
          </w:p>
        </w:tc>
      </w:tr>
      <w:tr w:rsidR="00000000" w14:paraId="2AFDAD5B" w14:textId="77777777">
        <w:trPr>
          <w:divId w:val="98525094"/>
          <w:trHeight w:val="225"/>
          <w:tblCellSpacing w:w="15" w:type="dxa"/>
        </w:trPr>
        <w:tc>
          <w:tcPr>
            <w:tcW w:w="0" w:type="auto"/>
            <w:vAlign w:val="center"/>
            <w:hideMark/>
          </w:tcPr>
          <w:p w14:paraId="7ABFDD42"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2D982131"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403E2426"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0B8FC02" w14:textId="77777777">
        <w:trPr>
          <w:divId w:val="98525094"/>
          <w:trHeight w:val="225"/>
          <w:tblCellSpacing w:w="15" w:type="dxa"/>
        </w:trPr>
        <w:tc>
          <w:tcPr>
            <w:tcW w:w="0" w:type="auto"/>
            <w:vAlign w:val="center"/>
            <w:hideMark/>
          </w:tcPr>
          <w:p w14:paraId="60F056F2"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7F44686A"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7E6696ED" w14:textId="77777777" w:rsidR="00000000" w:rsidRDefault="00EB4933">
            <w:pPr>
              <w:jc w:val="both"/>
              <w:rPr>
                <w:rFonts w:eastAsia="Times New Roman"/>
                <w:sz w:val="20"/>
                <w:szCs w:val="20"/>
              </w:rPr>
            </w:pPr>
            <w:r>
              <w:rPr>
                <w:rFonts w:eastAsia="Times New Roman"/>
                <w:sz w:val="20"/>
                <w:szCs w:val="20"/>
              </w:rPr>
              <w:t>Chutian Holding. Wuhan Chutian Investment Holding Limited (“Chutian Holding”) is a wholly foreign owned enterprise established by Chutian HK on November 4, 2016. Chutian Holding has been issued a Business License (unified social credit code: 91420100MA4KPA</w:t>
            </w:r>
            <w:r>
              <w:rPr>
                <w:rFonts w:eastAsia="Times New Roman"/>
                <w:sz w:val="20"/>
                <w:szCs w:val="20"/>
              </w:rPr>
              <w:t>0H54) by Wuhan Administration for Industry and Commerce on November 4, 2016, and a Recordation Receipt for Establishment of Foreign-Invested Enterprises (recordation No.: Wu Shang Zi Bei 201600006) issued by the Wuhan Commercial Bureau on October 19, 2016.</w:t>
            </w:r>
            <w:r>
              <w:rPr>
                <w:rFonts w:eastAsia="Times New Roman"/>
                <w:sz w:val="20"/>
                <w:szCs w:val="20"/>
              </w:rPr>
              <w:t xml:space="preserve"> Chutian Holding is a holding company and is wholly owned by Chutian HK.</w:t>
            </w:r>
          </w:p>
        </w:tc>
      </w:tr>
      <w:tr w:rsidR="00000000" w14:paraId="65F1CFC4" w14:textId="77777777">
        <w:trPr>
          <w:divId w:val="98525094"/>
          <w:trHeight w:val="225"/>
          <w:tblCellSpacing w:w="15" w:type="dxa"/>
        </w:trPr>
        <w:tc>
          <w:tcPr>
            <w:tcW w:w="0" w:type="auto"/>
            <w:vAlign w:val="center"/>
            <w:hideMark/>
          </w:tcPr>
          <w:p w14:paraId="13A8A096"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47255563"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7E4987F5"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28AF74C2" w14:textId="77777777">
        <w:trPr>
          <w:divId w:val="98525094"/>
          <w:trHeight w:val="225"/>
          <w:tblCellSpacing w:w="15" w:type="dxa"/>
        </w:trPr>
        <w:tc>
          <w:tcPr>
            <w:tcW w:w="0" w:type="auto"/>
            <w:vAlign w:val="center"/>
            <w:hideMark/>
          </w:tcPr>
          <w:p w14:paraId="08BC8585"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435B07B2"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16432357" w14:textId="77777777" w:rsidR="00000000" w:rsidRDefault="00EB4933">
            <w:pPr>
              <w:jc w:val="both"/>
              <w:rPr>
                <w:rFonts w:eastAsia="Times New Roman"/>
                <w:sz w:val="20"/>
                <w:szCs w:val="20"/>
              </w:rPr>
            </w:pPr>
            <w:r>
              <w:rPr>
                <w:rFonts w:eastAsia="Times New Roman"/>
                <w:sz w:val="20"/>
                <w:szCs w:val="20"/>
              </w:rPr>
              <w:t>Chutian. Hubei Chutian Microfinance Co., Ltd. is a joint stock company incorporated under laws of PRC on February 20, 2013. Chutian currently holds a business license issu</w:t>
            </w:r>
            <w:r>
              <w:rPr>
                <w:rFonts w:eastAsia="Times New Roman"/>
                <w:sz w:val="20"/>
                <w:szCs w:val="20"/>
              </w:rPr>
              <w:t>ed by the Administrative Approval Bureau of Wuchang District, Wuhan Municipality on April 25, 2017, which allows it to operate a microfinance business and provides individual and business loans to persons residing in and businesses operating in Hubei Provi</w:t>
            </w:r>
            <w:r>
              <w:rPr>
                <w:rFonts w:eastAsia="Times New Roman"/>
                <w:sz w:val="20"/>
                <w:szCs w:val="20"/>
              </w:rPr>
              <w:t>nce, China. Through a series of contractual agreements (VIE Agreements), Chutian Holding is deemed to control 80% of Chutian and have rights to consolidate 80% of Chutian’s financial results.</w:t>
            </w:r>
          </w:p>
        </w:tc>
      </w:tr>
    </w:tbl>
    <w:p w14:paraId="6E1EFA22"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B48B9FB" w14:textId="77777777">
        <w:trPr>
          <w:divId w:val="98525094"/>
          <w:trHeight w:val="225"/>
          <w:tblCellSpacing w:w="15" w:type="dxa"/>
        </w:trPr>
        <w:tc>
          <w:tcPr>
            <w:tcW w:w="0" w:type="auto"/>
            <w:vAlign w:val="center"/>
            <w:hideMark/>
          </w:tcPr>
          <w:p w14:paraId="356EEB61" w14:textId="77777777" w:rsidR="00000000" w:rsidRDefault="00EB4933">
            <w:pPr>
              <w:rPr>
                <w:rFonts w:eastAsia="Times New Roman"/>
                <w:sz w:val="20"/>
                <w:szCs w:val="20"/>
              </w:rPr>
            </w:pPr>
            <w:r>
              <w:rPr>
                <w:rFonts w:eastAsia="Times New Roman"/>
                <w:sz w:val="20"/>
                <w:szCs w:val="20"/>
              </w:rPr>
              <w:t> </w:t>
            </w:r>
          </w:p>
        </w:tc>
      </w:tr>
      <w:tr w:rsidR="00000000" w14:paraId="0475068A" w14:textId="77777777">
        <w:trPr>
          <w:divId w:val="98525094"/>
          <w:trHeight w:val="225"/>
          <w:tblCellSpacing w:w="15" w:type="dxa"/>
        </w:trPr>
        <w:tc>
          <w:tcPr>
            <w:tcW w:w="0" w:type="auto"/>
            <w:tcBorders>
              <w:bottom w:val="single" w:sz="6" w:space="0" w:color="000000"/>
            </w:tcBorders>
            <w:vAlign w:val="center"/>
            <w:hideMark/>
          </w:tcPr>
          <w:p w14:paraId="3013D8E8" w14:textId="77777777" w:rsidR="00000000" w:rsidRDefault="00EB4933">
            <w:pPr>
              <w:jc w:val="center"/>
              <w:rPr>
                <w:rFonts w:eastAsia="Times New Roman"/>
                <w:sz w:val="20"/>
                <w:szCs w:val="20"/>
              </w:rPr>
            </w:pPr>
            <w:r>
              <w:rPr>
                <w:rFonts w:eastAsia="Times New Roman"/>
                <w:sz w:val="20"/>
                <w:szCs w:val="20"/>
              </w:rPr>
              <w:t>F-11</w:t>
            </w:r>
          </w:p>
        </w:tc>
      </w:tr>
      <w:tr w:rsidR="00000000" w14:paraId="4A02C4F5" w14:textId="77777777">
        <w:trPr>
          <w:divId w:val="98525094"/>
          <w:trHeight w:val="225"/>
          <w:tblCellSpacing w:w="15" w:type="dxa"/>
        </w:trPr>
        <w:tc>
          <w:tcPr>
            <w:tcW w:w="0" w:type="auto"/>
            <w:vAlign w:val="center"/>
            <w:hideMark/>
          </w:tcPr>
          <w:p w14:paraId="18888FD6" w14:textId="77777777" w:rsidR="00000000" w:rsidRDefault="00EB4933">
            <w:pPr>
              <w:rPr>
                <w:rFonts w:eastAsia="Times New Roman"/>
                <w:sz w:val="20"/>
                <w:szCs w:val="20"/>
              </w:rPr>
            </w:pPr>
          </w:p>
        </w:tc>
      </w:tr>
      <w:tr w:rsidR="00000000" w14:paraId="3882DA42" w14:textId="77777777">
        <w:trPr>
          <w:divId w:val="98525094"/>
          <w:trHeight w:val="225"/>
          <w:tblCellSpacing w:w="15" w:type="dxa"/>
        </w:trPr>
        <w:tc>
          <w:tcPr>
            <w:tcW w:w="0" w:type="auto"/>
            <w:vAlign w:val="center"/>
            <w:hideMark/>
          </w:tcPr>
          <w:p w14:paraId="674AB807" w14:textId="77777777" w:rsidR="00000000" w:rsidRDefault="00EB4933">
            <w:pPr>
              <w:rPr>
                <w:rFonts w:eastAsia="Times New Roman"/>
                <w:sz w:val="20"/>
                <w:szCs w:val="20"/>
              </w:rPr>
            </w:pPr>
            <w:hyperlink r:id="rId228" w:anchor="finindex" w:history="1">
              <w:r>
                <w:rPr>
                  <w:rStyle w:val="Hyperlink"/>
                  <w:rFonts w:eastAsia="Times New Roman"/>
                  <w:i/>
                  <w:iCs/>
                  <w:sz w:val="20"/>
                  <w:szCs w:val="20"/>
                </w:rPr>
                <w:t>Table of Contents</w:t>
              </w:r>
            </w:hyperlink>
          </w:p>
        </w:tc>
      </w:tr>
    </w:tbl>
    <w:p w14:paraId="0EFBD72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E7A4125"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63220EF1"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2CA41FF9" w14:textId="77777777" w:rsidR="00000000" w:rsidRDefault="00EB4933">
      <w:pPr>
        <w:pStyle w:val="NormalWeb"/>
        <w:spacing w:before="0" w:beforeAutospacing="0" w:after="0" w:afterAutospacing="0"/>
        <w:jc w:val="both"/>
        <w:divId w:val="98525094"/>
        <w:rPr>
          <w:sz w:val="20"/>
          <w:szCs w:val="20"/>
        </w:rPr>
      </w:pPr>
      <w:r>
        <w:rPr>
          <w:rStyle w:val="Strong"/>
          <w:sz w:val="20"/>
          <w:szCs w:val="20"/>
        </w:rPr>
        <w:lastRenderedPageBreak/>
        <w:t>FOR THE FINANCIAL YEAR ENDED 2017, 2018 AND 2019</w:t>
      </w:r>
    </w:p>
    <w:p w14:paraId="2F6B66EE" w14:textId="77777777" w:rsidR="00000000" w:rsidRDefault="00EB4933">
      <w:pPr>
        <w:pStyle w:val="NormalWeb"/>
        <w:spacing w:before="0" w:beforeAutospacing="0" w:after="0" w:afterAutospacing="0"/>
        <w:jc w:val="both"/>
        <w:divId w:val="98525094"/>
        <w:rPr>
          <w:sz w:val="20"/>
          <w:szCs w:val="20"/>
        </w:rPr>
      </w:pPr>
      <w:r>
        <w:rPr>
          <w:rStyle w:val="Strong"/>
          <w:sz w:val="20"/>
          <w:szCs w:val="20"/>
        </w:rPr>
        <w:t>   </w:t>
      </w:r>
    </w:p>
    <w:p w14:paraId="46587946" w14:textId="77777777" w:rsidR="00000000" w:rsidRDefault="00EB4933">
      <w:pPr>
        <w:pStyle w:val="NormalWeb"/>
        <w:spacing w:before="0" w:beforeAutospacing="0" w:after="0" w:afterAutospacing="0"/>
        <w:jc w:val="both"/>
        <w:divId w:val="98525094"/>
        <w:rPr>
          <w:sz w:val="20"/>
          <w:szCs w:val="20"/>
        </w:rPr>
      </w:pPr>
      <w:r>
        <w:rPr>
          <w:rStyle w:val="Strong"/>
          <w:sz w:val="20"/>
          <w:szCs w:val="20"/>
        </w:rPr>
        <w:t>1.</w:t>
      </w:r>
      <w:r>
        <w:rPr>
          <w:rStyle w:val="Strong"/>
          <w:sz w:val="14"/>
          <w:szCs w:val="14"/>
        </w:rPr>
        <w:t xml:space="preserve"> </w:t>
      </w:r>
      <w:r>
        <w:rPr>
          <w:rStyle w:val="Strong"/>
          <w:sz w:val="20"/>
          <w:szCs w:val="20"/>
        </w:rPr>
        <w:t>Organization and principal activities – continued</w:t>
      </w:r>
    </w:p>
    <w:p w14:paraId="4B3150D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DF71CDA" w14:textId="77777777" w:rsidR="00000000" w:rsidRDefault="00EB4933">
      <w:pPr>
        <w:pStyle w:val="NormalWeb"/>
        <w:spacing w:before="0" w:beforeAutospacing="0" w:after="0" w:afterAutospacing="0"/>
        <w:ind w:left="675"/>
        <w:jc w:val="both"/>
        <w:divId w:val="98525094"/>
        <w:rPr>
          <w:sz w:val="20"/>
          <w:szCs w:val="20"/>
        </w:rPr>
      </w:pPr>
      <w:r>
        <w:rPr>
          <w:sz w:val="20"/>
          <w:szCs w:val="20"/>
        </w:rPr>
        <w:t>As o</w:t>
      </w:r>
      <w:r>
        <w:rPr>
          <w:sz w:val="20"/>
          <w:szCs w:val="20"/>
        </w:rPr>
        <w:t>f December 31, 2019, the Company’s subsidiaries and variable interest entity are as follows:</w:t>
      </w:r>
    </w:p>
    <w:p w14:paraId="4C1A9B61"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1679"/>
        <w:gridCol w:w="80"/>
        <w:gridCol w:w="1262"/>
        <w:gridCol w:w="80"/>
        <w:gridCol w:w="475"/>
        <w:gridCol w:w="1030"/>
        <w:gridCol w:w="80"/>
        <w:gridCol w:w="80"/>
        <w:gridCol w:w="116"/>
        <w:gridCol w:w="626"/>
        <w:gridCol w:w="197"/>
        <w:gridCol w:w="80"/>
        <w:gridCol w:w="131"/>
        <w:gridCol w:w="733"/>
        <w:gridCol w:w="197"/>
        <w:gridCol w:w="80"/>
        <w:gridCol w:w="138"/>
        <w:gridCol w:w="782"/>
        <w:gridCol w:w="197"/>
        <w:gridCol w:w="80"/>
        <w:gridCol w:w="1142"/>
        <w:gridCol w:w="95"/>
      </w:tblGrid>
      <w:tr w:rsidR="00000000" w14:paraId="057CAD1A" w14:textId="77777777">
        <w:trPr>
          <w:divId w:val="98525094"/>
          <w:trHeight w:val="225"/>
          <w:tblCellSpacing w:w="15" w:type="dxa"/>
        </w:trPr>
        <w:tc>
          <w:tcPr>
            <w:tcW w:w="0" w:type="auto"/>
            <w:tcBorders>
              <w:bottom w:val="single" w:sz="6" w:space="0" w:color="auto"/>
            </w:tcBorders>
            <w:vAlign w:val="bottom"/>
            <w:hideMark/>
          </w:tcPr>
          <w:p w14:paraId="33C7BD51" w14:textId="77777777" w:rsidR="00000000" w:rsidRDefault="00EB4933">
            <w:pPr>
              <w:pStyle w:val="NormalWeb"/>
              <w:spacing w:before="0" w:beforeAutospacing="0" w:after="0" w:afterAutospacing="0"/>
              <w:rPr>
                <w:sz w:val="20"/>
                <w:szCs w:val="20"/>
              </w:rPr>
            </w:pPr>
            <w:r>
              <w:rPr>
                <w:rStyle w:val="Strong"/>
                <w:sz w:val="20"/>
                <w:szCs w:val="20"/>
              </w:rPr>
              <w:t>Subsidiary</w:t>
            </w:r>
          </w:p>
        </w:tc>
        <w:tc>
          <w:tcPr>
            <w:tcW w:w="0" w:type="auto"/>
            <w:noWrap/>
            <w:vAlign w:val="center"/>
            <w:hideMark/>
          </w:tcPr>
          <w:p w14:paraId="10B6A78B" w14:textId="77777777" w:rsidR="00000000" w:rsidRDefault="00EB4933">
            <w:pPr>
              <w:pStyle w:val="NormalWeb"/>
              <w:spacing w:before="0" w:beforeAutospacing="0" w:after="0" w:afterAutospacing="0"/>
              <w:rPr>
                <w:sz w:val="20"/>
                <w:szCs w:val="20"/>
              </w:rPr>
            </w:pPr>
            <w:r>
              <w:rPr>
                <w:rStyle w:val="Strong"/>
                <w:sz w:val="20"/>
                <w:szCs w:val="20"/>
              </w:rPr>
              <w:t> </w:t>
            </w:r>
          </w:p>
        </w:tc>
        <w:tc>
          <w:tcPr>
            <w:tcW w:w="0" w:type="auto"/>
            <w:tcBorders>
              <w:bottom w:val="single" w:sz="6" w:space="0" w:color="auto"/>
            </w:tcBorders>
            <w:vAlign w:val="bottom"/>
            <w:hideMark/>
          </w:tcPr>
          <w:p w14:paraId="4A462E2D" w14:textId="77777777" w:rsidR="00000000" w:rsidRDefault="00EB4933">
            <w:pPr>
              <w:pStyle w:val="NormalWeb"/>
              <w:spacing w:before="0" w:beforeAutospacing="0" w:after="0" w:afterAutospacing="0"/>
              <w:jc w:val="center"/>
              <w:rPr>
                <w:sz w:val="20"/>
                <w:szCs w:val="20"/>
              </w:rPr>
            </w:pPr>
            <w:r>
              <w:rPr>
                <w:rStyle w:val="Strong"/>
                <w:sz w:val="20"/>
                <w:szCs w:val="20"/>
              </w:rPr>
              <w:t>Place of incorporation</w:t>
            </w:r>
          </w:p>
        </w:tc>
        <w:tc>
          <w:tcPr>
            <w:tcW w:w="0" w:type="auto"/>
            <w:noWrap/>
            <w:vAlign w:val="center"/>
            <w:hideMark/>
          </w:tcPr>
          <w:p w14:paraId="01665469" w14:textId="77777777" w:rsidR="00000000" w:rsidRDefault="00EB4933">
            <w:pPr>
              <w:pStyle w:val="NormalWeb"/>
              <w:spacing w:before="0" w:beforeAutospacing="0" w:after="0" w:afterAutospacing="0"/>
              <w:rPr>
                <w:sz w:val="20"/>
                <w:szCs w:val="20"/>
              </w:rPr>
            </w:pPr>
            <w:r>
              <w:rPr>
                <w:rStyle w:val="Strong"/>
                <w:sz w:val="20"/>
                <w:szCs w:val="20"/>
              </w:rPr>
              <w:t> </w:t>
            </w:r>
          </w:p>
        </w:tc>
        <w:tc>
          <w:tcPr>
            <w:tcW w:w="0" w:type="auto"/>
            <w:gridSpan w:val="2"/>
            <w:tcBorders>
              <w:bottom w:val="single" w:sz="6" w:space="0" w:color="auto"/>
            </w:tcBorders>
            <w:vAlign w:val="bottom"/>
            <w:hideMark/>
          </w:tcPr>
          <w:p w14:paraId="4DC0EE60" w14:textId="77777777" w:rsidR="00000000" w:rsidRDefault="00EB4933">
            <w:pPr>
              <w:pStyle w:val="NormalWeb"/>
              <w:spacing w:before="0" w:beforeAutospacing="0" w:after="0" w:afterAutospacing="0"/>
              <w:jc w:val="center"/>
              <w:rPr>
                <w:sz w:val="20"/>
                <w:szCs w:val="20"/>
              </w:rPr>
            </w:pPr>
            <w:r>
              <w:rPr>
                <w:rStyle w:val="Strong"/>
                <w:sz w:val="20"/>
                <w:szCs w:val="20"/>
              </w:rPr>
              <w:t>Particular</w:t>
            </w:r>
          </w:p>
          <w:p w14:paraId="7D85B57C" w14:textId="77777777" w:rsidR="00000000" w:rsidRDefault="00EB4933">
            <w:pPr>
              <w:pStyle w:val="NormalWeb"/>
              <w:spacing w:before="0" w:beforeAutospacing="0" w:after="0" w:afterAutospacing="0"/>
              <w:jc w:val="center"/>
              <w:rPr>
                <w:sz w:val="20"/>
                <w:szCs w:val="20"/>
              </w:rPr>
            </w:pPr>
            <w:r>
              <w:rPr>
                <w:rStyle w:val="Strong"/>
                <w:sz w:val="20"/>
                <w:szCs w:val="20"/>
              </w:rPr>
              <w:t>of issued and</w:t>
            </w:r>
          </w:p>
          <w:p w14:paraId="0D904ED6" w14:textId="77777777" w:rsidR="00000000" w:rsidRDefault="00EB4933">
            <w:pPr>
              <w:pStyle w:val="NormalWeb"/>
              <w:spacing w:before="0" w:beforeAutospacing="0" w:after="0" w:afterAutospacing="0"/>
              <w:jc w:val="center"/>
              <w:rPr>
                <w:sz w:val="20"/>
                <w:szCs w:val="20"/>
              </w:rPr>
            </w:pPr>
            <w:r>
              <w:rPr>
                <w:rStyle w:val="Strong"/>
                <w:sz w:val="20"/>
                <w:szCs w:val="20"/>
              </w:rPr>
              <w:t>fully paid</w:t>
            </w:r>
          </w:p>
          <w:p w14:paraId="742D13B9" w14:textId="77777777" w:rsidR="00000000" w:rsidRDefault="00EB4933">
            <w:pPr>
              <w:pStyle w:val="NormalWeb"/>
              <w:spacing w:before="0" w:beforeAutospacing="0" w:after="0" w:afterAutospacing="0"/>
              <w:jc w:val="center"/>
              <w:rPr>
                <w:sz w:val="20"/>
                <w:szCs w:val="20"/>
              </w:rPr>
            </w:pPr>
            <w:r>
              <w:rPr>
                <w:rStyle w:val="Strong"/>
                <w:sz w:val="20"/>
                <w:szCs w:val="20"/>
              </w:rPr>
              <w:t>up capital</w:t>
            </w:r>
          </w:p>
        </w:tc>
        <w:tc>
          <w:tcPr>
            <w:tcW w:w="0" w:type="auto"/>
            <w:noWrap/>
            <w:tcMar>
              <w:top w:w="0" w:type="dxa"/>
              <w:left w:w="0" w:type="dxa"/>
              <w:bottom w:w="15" w:type="dxa"/>
              <w:right w:w="0" w:type="dxa"/>
            </w:tcMar>
            <w:vAlign w:val="center"/>
            <w:hideMark/>
          </w:tcPr>
          <w:p w14:paraId="005A91F4" w14:textId="77777777" w:rsidR="00000000" w:rsidRDefault="00EB4933">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2D9DE6ED" w14:textId="77777777" w:rsidR="00000000" w:rsidRDefault="00EB4933">
            <w:pPr>
              <w:pStyle w:val="NormalWeb"/>
              <w:spacing w:before="0" w:beforeAutospacing="0" w:after="0" w:afterAutospacing="0"/>
              <w:rPr>
                <w:sz w:val="20"/>
                <w:szCs w:val="20"/>
              </w:rPr>
            </w:pPr>
            <w:r>
              <w:rPr>
                <w:rStyle w:val="Strong"/>
                <w:sz w:val="20"/>
                <w:szCs w:val="20"/>
              </w:rPr>
              <w:t> </w:t>
            </w:r>
          </w:p>
        </w:tc>
        <w:tc>
          <w:tcPr>
            <w:tcW w:w="0" w:type="auto"/>
            <w:gridSpan w:val="2"/>
            <w:tcBorders>
              <w:bottom w:val="single" w:sz="6" w:space="0" w:color="auto"/>
            </w:tcBorders>
            <w:vAlign w:val="bottom"/>
            <w:hideMark/>
          </w:tcPr>
          <w:p w14:paraId="1DB0EF2A" w14:textId="77777777" w:rsidR="00000000" w:rsidRDefault="00EB4933">
            <w:pPr>
              <w:pStyle w:val="NormalWeb"/>
              <w:spacing w:before="0" w:beforeAutospacing="0" w:after="0" w:afterAutospacing="0"/>
              <w:jc w:val="center"/>
              <w:rPr>
                <w:sz w:val="20"/>
                <w:szCs w:val="20"/>
              </w:rPr>
            </w:pPr>
            <w:r>
              <w:rPr>
                <w:rStyle w:val="Strong"/>
                <w:sz w:val="20"/>
                <w:szCs w:val="20"/>
              </w:rPr>
              <w:t>Group’s</w:t>
            </w:r>
          </w:p>
          <w:p w14:paraId="27D3D0B0" w14:textId="77777777" w:rsidR="00000000" w:rsidRDefault="00EB4933">
            <w:pPr>
              <w:pStyle w:val="NormalWeb"/>
              <w:spacing w:before="0" w:beforeAutospacing="0" w:after="0" w:afterAutospacing="0"/>
              <w:jc w:val="center"/>
              <w:rPr>
                <w:sz w:val="20"/>
                <w:szCs w:val="20"/>
              </w:rPr>
            </w:pPr>
            <w:r>
              <w:rPr>
                <w:rStyle w:val="Strong"/>
                <w:sz w:val="20"/>
                <w:szCs w:val="20"/>
              </w:rPr>
              <w:t>effective</w:t>
            </w:r>
          </w:p>
          <w:p w14:paraId="03F9ACC9" w14:textId="77777777" w:rsidR="00000000" w:rsidRDefault="00EB4933">
            <w:pPr>
              <w:pStyle w:val="NormalWeb"/>
              <w:spacing w:before="0" w:beforeAutospacing="0" w:after="0" w:afterAutospacing="0"/>
              <w:jc w:val="center"/>
              <w:rPr>
                <w:sz w:val="20"/>
                <w:szCs w:val="20"/>
              </w:rPr>
            </w:pPr>
            <w:r>
              <w:rPr>
                <w:rStyle w:val="Strong"/>
                <w:sz w:val="20"/>
                <w:szCs w:val="20"/>
              </w:rPr>
              <w:t>interest</w:t>
            </w:r>
          </w:p>
        </w:tc>
        <w:tc>
          <w:tcPr>
            <w:tcW w:w="0" w:type="auto"/>
            <w:noWrap/>
            <w:tcMar>
              <w:top w:w="0" w:type="dxa"/>
              <w:left w:w="0" w:type="dxa"/>
              <w:bottom w:w="15" w:type="dxa"/>
              <w:right w:w="0" w:type="dxa"/>
            </w:tcMar>
            <w:vAlign w:val="center"/>
            <w:hideMark/>
          </w:tcPr>
          <w:p w14:paraId="1C663B04" w14:textId="77777777" w:rsidR="00000000" w:rsidRDefault="00EB4933">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18F2D170" w14:textId="77777777" w:rsidR="00000000" w:rsidRDefault="00EB4933">
            <w:pPr>
              <w:pStyle w:val="NormalWeb"/>
              <w:spacing w:before="0" w:beforeAutospacing="0" w:after="0" w:afterAutospacing="0"/>
              <w:rPr>
                <w:sz w:val="20"/>
                <w:szCs w:val="20"/>
              </w:rPr>
            </w:pPr>
            <w:r>
              <w:rPr>
                <w:rStyle w:val="Strong"/>
                <w:sz w:val="20"/>
                <w:szCs w:val="20"/>
              </w:rPr>
              <w:t> </w:t>
            </w:r>
          </w:p>
        </w:tc>
        <w:tc>
          <w:tcPr>
            <w:tcW w:w="0" w:type="auto"/>
            <w:gridSpan w:val="2"/>
            <w:tcBorders>
              <w:bottom w:val="single" w:sz="6" w:space="0" w:color="auto"/>
            </w:tcBorders>
            <w:vAlign w:val="bottom"/>
            <w:hideMark/>
          </w:tcPr>
          <w:p w14:paraId="36596604" w14:textId="77777777" w:rsidR="00000000" w:rsidRDefault="00EB4933">
            <w:pPr>
              <w:pStyle w:val="NormalWeb"/>
              <w:spacing w:before="0" w:beforeAutospacing="0" w:after="0" w:afterAutospacing="0"/>
              <w:jc w:val="center"/>
              <w:rPr>
                <w:sz w:val="20"/>
                <w:szCs w:val="20"/>
              </w:rPr>
            </w:pPr>
            <w:r>
              <w:rPr>
                <w:rStyle w:val="Strong"/>
                <w:sz w:val="20"/>
                <w:szCs w:val="20"/>
              </w:rPr>
              <w:t>Held by the</w:t>
            </w:r>
          </w:p>
          <w:p w14:paraId="1EAB875D" w14:textId="77777777" w:rsidR="00000000" w:rsidRDefault="00EB4933">
            <w:pPr>
              <w:pStyle w:val="NormalWeb"/>
              <w:spacing w:before="0" w:beforeAutospacing="0" w:after="0" w:afterAutospacing="0"/>
              <w:jc w:val="center"/>
              <w:rPr>
                <w:sz w:val="20"/>
                <w:szCs w:val="20"/>
              </w:rPr>
            </w:pPr>
            <w:r>
              <w:rPr>
                <w:rStyle w:val="Strong"/>
                <w:sz w:val="20"/>
                <w:szCs w:val="20"/>
              </w:rPr>
              <w:t>Company</w:t>
            </w:r>
          </w:p>
        </w:tc>
        <w:tc>
          <w:tcPr>
            <w:tcW w:w="0" w:type="auto"/>
            <w:noWrap/>
            <w:tcMar>
              <w:top w:w="0" w:type="dxa"/>
              <w:left w:w="0" w:type="dxa"/>
              <w:bottom w:w="15" w:type="dxa"/>
              <w:right w:w="0" w:type="dxa"/>
            </w:tcMar>
            <w:vAlign w:val="center"/>
            <w:hideMark/>
          </w:tcPr>
          <w:p w14:paraId="3574C172" w14:textId="77777777" w:rsidR="00000000" w:rsidRDefault="00EB4933">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5B2DF0E7" w14:textId="77777777" w:rsidR="00000000" w:rsidRDefault="00EB4933">
            <w:pPr>
              <w:pStyle w:val="NormalWeb"/>
              <w:spacing w:before="0" w:beforeAutospacing="0" w:after="0" w:afterAutospacing="0"/>
              <w:rPr>
                <w:sz w:val="20"/>
                <w:szCs w:val="20"/>
              </w:rPr>
            </w:pPr>
            <w:r>
              <w:rPr>
                <w:rStyle w:val="Strong"/>
                <w:sz w:val="20"/>
                <w:szCs w:val="20"/>
              </w:rPr>
              <w:t> </w:t>
            </w:r>
          </w:p>
        </w:tc>
        <w:tc>
          <w:tcPr>
            <w:tcW w:w="0" w:type="auto"/>
            <w:gridSpan w:val="2"/>
            <w:tcBorders>
              <w:bottom w:val="single" w:sz="6" w:space="0" w:color="auto"/>
            </w:tcBorders>
            <w:vAlign w:val="bottom"/>
            <w:hideMark/>
          </w:tcPr>
          <w:p w14:paraId="0C7FBA7E" w14:textId="77777777" w:rsidR="00000000" w:rsidRDefault="00EB4933">
            <w:pPr>
              <w:pStyle w:val="NormalWeb"/>
              <w:spacing w:before="0" w:beforeAutospacing="0" w:after="0" w:afterAutospacing="0"/>
              <w:jc w:val="center"/>
              <w:rPr>
                <w:sz w:val="20"/>
                <w:szCs w:val="20"/>
              </w:rPr>
            </w:pPr>
            <w:r>
              <w:rPr>
                <w:rStyle w:val="Strong"/>
                <w:sz w:val="20"/>
                <w:szCs w:val="20"/>
              </w:rPr>
              <w:t>Held by a</w:t>
            </w:r>
          </w:p>
          <w:p w14:paraId="1B222ED2" w14:textId="77777777" w:rsidR="00000000" w:rsidRDefault="00EB4933">
            <w:pPr>
              <w:pStyle w:val="NormalWeb"/>
              <w:spacing w:before="0" w:beforeAutospacing="0" w:after="0" w:afterAutospacing="0"/>
              <w:jc w:val="center"/>
              <w:rPr>
                <w:sz w:val="20"/>
                <w:szCs w:val="20"/>
              </w:rPr>
            </w:pPr>
            <w:r>
              <w:rPr>
                <w:rStyle w:val="Strong"/>
                <w:sz w:val="20"/>
                <w:szCs w:val="20"/>
              </w:rPr>
              <w:t>subsidiary</w:t>
            </w:r>
          </w:p>
        </w:tc>
        <w:tc>
          <w:tcPr>
            <w:tcW w:w="0" w:type="auto"/>
            <w:noWrap/>
            <w:tcMar>
              <w:top w:w="0" w:type="dxa"/>
              <w:left w:w="0" w:type="dxa"/>
              <w:bottom w:w="15" w:type="dxa"/>
              <w:right w:w="0" w:type="dxa"/>
            </w:tcMar>
            <w:vAlign w:val="center"/>
            <w:hideMark/>
          </w:tcPr>
          <w:p w14:paraId="096AE6DD" w14:textId="77777777" w:rsidR="00000000" w:rsidRDefault="00EB4933">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65276514" w14:textId="77777777" w:rsidR="00000000" w:rsidRDefault="00EB4933">
            <w:pPr>
              <w:pStyle w:val="NormalWeb"/>
              <w:spacing w:before="0" w:beforeAutospacing="0" w:after="0" w:afterAutospacing="0"/>
              <w:rPr>
                <w:sz w:val="20"/>
                <w:szCs w:val="20"/>
              </w:rPr>
            </w:pPr>
            <w:r>
              <w:rPr>
                <w:rStyle w:val="Strong"/>
                <w:sz w:val="20"/>
                <w:szCs w:val="20"/>
              </w:rPr>
              <w:t> </w:t>
            </w:r>
          </w:p>
        </w:tc>
        <w:tc>
          <w:tcPr>
            <w:tcW w:w="0" w:type="auto"/>
            <w:tcBorders>
              <w:bottom w:val="single" w:sz="6" w:space="0" w:color="auto"/>
            </w:tcBorders>
            <w:vAlign w:val="bottom"/>
            <w:hideMark/>
          </w:tcPr>
          <w:p w14:paraId="335DA455" w14:textId="77777777" w:rsidR="00000000" w:rsidRDefault="00EB4933">
            <w:pPr>
              <w:pStyle w:val="NormalWeb"/>
              <w:spacing w:before="0" w:beforeAutospacing="0" w:after="0" w:afterAutospacing="0"/>
              <w:jc w:val="center"/>
              <w:rPr>
                <w:sz w:val="20"/>
                <w:szCs w:val="20"/>
              </w:rPr>
            </w:pPr>
            <w:r>
              <w:rPr>
                <w:rStyle w:val="Strong"/>
                <w:sz w:val="20"/>
                <w:szCs w:val="20"/>
              </w:rPr>
              <w:t>Principal</w:t>
            </w:r>
          </w:p>
          <w:p w14:paraId="2A761238" w14:textId="77777777" w:rsidR="00000000" w:rsidRDefault="00EB4933">
            <w:pPr>
              <w:pStyle w:val="NormalWeb"/>
              <w:spacing w:before="0" w:beforeAutospacing="0" w:after="0" w:afterAutospacing="0"/>
              <w:jc w:val="center"/>
              <w:rPr>
                <w:sz w:val="20"/>
                <w:szCs w:val="20"/>
              </w:rPr>
            </w:pPr>
            <w:r>
              <w:rPr>
                <w:rStyle w:val="Strong"/>
                <w:sz w:val="20"/>
                <w:szCs w:val="20"/>
              </w:rPr>
              <w:t>activities</w:t>
            </w:r>
          </w:p>
        </w:tc>
        <w:tc>
          <w:tcPr>
            <w:tcW w:w="0" w:type="auto"/>
            <w:vAlign w:val="center"/>
            <w:hideMark/>
          </w:tcPr>
          <w:p w14:paraId="0EA5B0CF" w14:textId="77777777" w:rsidR="00000000" w:rsidRDefault="00EB4933">
            <w:pPr>
              <w:rPr>
                <w:rFonts w:eastAsia="Times New Roman"/>
                <w:sz w:val="20"/>
                <w:szCs w:val="20"/>
              </w:rPr>
            </w:pPr>
            <w:r>
              <w:rPr>
                <w:rFonts w:eastAsia="Times New Roman"/>
                <w:sz w:val="20"/>
                <w:szCs w:val="20"/>
              </w:rPr>
              <w:t> </w:t>
            </w:r>
          </w:p>
        </w:tc>
      </w:tr>
      <w:tr w:rsidR="00000000" w14:paraId="5D53FF32" w14:textId="77777777">
        <w:trPr>
          <w:divId w:val="98525094"/>
          <w:trHeight w:val="225"/>
          <w:tblCellSpacing w:w="15" w:type="dxa"/>
        </w:trPr>
        <w:tc>
          <w:tcPr>
            <w:tcW w:w="0" w:type="auto"/>
            <w:shd w:val="clear" w:color="auto" w:fill="CCEEFF"/>
            <w:hideMark/>
          </w:tcPr>
          <w:p w14:paraId="1B095EE4" w14:textId="77777777" w:rsidR="00000000" w:rsidRDefault="00EB4933">
            <w:pPr>
              <w:pStyle w:val="NormalWeb"/>
              <w:spacing w:before="0" w:beforeAutospacing="0" w:after="0" w:afterAutospacing="0"/>
              <w:rPr>
                <w:sz w:val="20"/>
                <w:szCs w:val="20"/>
              </w:rPr>
            </w:pPr>
            <w:r>
              <w:rPr>
                <w:sz w:val="20"/>
                <w:szCs w:val="20"/>
              </w:rPr>
              <w:t>True Silver Limited</w:t>
            </w:r>
          </w:p>
        </w:tc>
        <w:tc>
          <w:tcPr>
            <w:tcW w:w="50" w:type="pct"/>
            <w:shd w:val="clear" w:color="auto" w:fill="CCEEFF"/>
            <w:noWrap/>
            <w:vAlign w:val="center"/>
            <w:hideMark/>
          </w:tcPr>
          <w:p w14:paraId="518A1D41" w14:textId="77777777" w:rsidR="00000000" w:rsidRDefault="00EB4933">
            <w:pPr>
              <w:pStyle w:val="NormalWeb"/>
              <w:spacing w:before="0" w:beforeAutospacing="0" w:after="0" w:afterAutospacing="0"/>
              <w:rPr>
                <w:sz w:val="20"/>
                <w:szCs w:val="20"/>
              </w:rPr>
            </w:pPr>
            <w:r>
              <w:rPr>
                <w:sz w:val="20"/>
                <w:szCs w:val="20"/>
              </w:rPr>
              <w:t> </w:t>
            </w:r>
          </w:p>
        </w:tc>
        <w:tc>
          <w:tcPr>
            <w:tcW w:w="700" w:type="pct"/>
            <w:shd w:val="clear" w:color="auto" w:fill="CCEEFF"/>
            <w:vAlign w:val="center"/>
            <w:hideMark/>
          </w:tcPr>
          <w:p w14:paraId="3A912AF1" w14:textId="77777777" w:rsidR="00000000" w:rsidRDefault="00EB4933">
            <w:pPr>
              <w:pStyle w:val="NormalWeb"/>
              <w:spacing w:before="0" w:beforeAutospacing="0" w:after="0" w:afterAutospacing="0"/>
              <w:rPr>
                <w:sz w:val="20"/>
                <w:szCs w:val="20"/>
              </w:rPr>
            </w:pPr>
            <w:r>
              <w:rPr>
                <w:sz w:val="20"/>
                <w:szCs w:val="20"/>
              </w:rPr>
              <w:t>British Virgin Islands</w:t>
            </w:r>
          </w:p>
        </w:tc>
        <w:tc>
          <w:tcPr>
            <w:tcW w:w="50" w:type="pct"/>
            <w:shd w:val="clear" w:color="auto" w:fill="CCEEFF"/>
            <w:noWrap/>
            <w:vAlign w:val="center"/>
            <w:hideMark/>
          </w:tcPr>
          <w:p w14:paraId="6E2941B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FCA94A5" w14:textId="77777777" w:rsidR="00000000" w:rsidRDefault="00EB4933">
            <w:pPr>
              <w:rPr>
                <w:rFonts w:eastAsia="Times New Roman"/>
                <w:sz w:val="20"/>
                <w:szCs w:val="20"/>
              </w:rPr>
            </w:pPr>
            <w:r>
              <w:rPr>
                <w:rFonts w:eastAsia="Times New Roman"/>
                <w:sz w:val="20"/>
                <w:szCs w:val="20"/>
              </w:rPr>
              <w:t>$</w:t>
            </w:r>
          </w:p>
        </w:tc>
        <w:tc>
          <w:tcPr>
            <w:tcW w:w="350" w:type="pct"/>
            <w:shd w:val="clear" w:color="auto" w:fill="CCEEFF"/>
            <w:vAlign w:val="bottom"/>
            <w:hideMark/>
          </w:tcPr>
          <w:p w14:paraId="59B55A54" w14:textId="77777777" w:rsidR="00000000" w:rsidRDefault="00EB4933">
            <w:pPr>
              <w:jc w:val="right"/>
              <w:rPr>
                <w:rFonts w:eastAsia="Times New Roman"/>
                <w:sz w:val="20"/>
                <w:szCs w:val="20"/>
              </w:rPr>
            </w:pPr>
            <w:r>
              <w:rPr>
                <w:rFonts w:eastAsia="Times New Roman"/>
                <w:sz w:val="20"/>
                <w:szCs w:val="20"/>
              </w:rPr>
              <w:t>50,000</w:t>
            </w:r>
          </w:p>
        </w:tc>
        <w:tc>
          <w:tcPr>
            <w:tcW w:w="50" w:type="pct"/>
            <w:shd w:val="clear" w:color="auto" w:fill="CCEEFF"/>
            <w:noWrap/>
            <w:vAlign w:val="center"/>
            <w:hideMark/>
          </w:tcPr>
          <w:p w14:paraId="1D5720E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97313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46D966" w14:textId="77777777" w:rsidR="00000000" w:rsidRDefault="00EB4933">
            <w:pPr>
              <w:pStyle w:val="NormalWeb"/>
              <w:spacing w:before="0" w:beforeAutospacing="0" w:after="0" w:afterAutospacing="0"/>
              <w:rPr>
                <w:sz w:val="20"/>
                <w:szCs w:val="20"/>
              </w:rPr>
            </w:pPr>
            <w:r>
              <w:rPr>
                <w:sz w:val="20"/>
                <w:szCs w:val="20"/>
              </w:rPr>
              <w:t> </w:t>
            </w:r>
          </w:p>
        </w:tc>
        <w:tc>
          <w:tcPr>
            <w:tcW w:w="350" w:type="pct"/>
            <w:shd w:val="clear" w:color="auto" w:fill="CCEEFF"/>
            <w:vAlign w:val="bottom"/>
            <w:hideMark/>
          </w:tcPr>
          <w:p w14:paraId="520F0B86" w14:textId="77777777" w:rsidR="00000000" w:rsidRDefault="00EB4933">
            <w:pPr>
              <w:jc w:val="right"/>
              <w:rPr>
                <w:rFonts w:eastAsia="Times New Roman"/>
                <w:sz w:val="20"/>
                <w:szCs w:val="20"/>
              </w:rPr>
            </w:pPr>
            <w:r>
              <w:rPr>
                <w:rFonts w:eastAsia="Times New Roman"/>
                <w:sz w:val="20"/>
                <w:szCs w:val="20"/>
              </w:rPr>
              <w:t>100</w:t>
            </w:r>
          </w:p>
        </w:tc>
        <w:tc>
          <w:tcPr>
            <w:tcW w:w="50" w:type="pct"/>
            <w:shd w:val="clear" w:color="auto" w:fill="CCEEFF"/>
            <w:noWrap/>
            <w:vAlign w:val="bottom"/>
            <w:hideMark/>
          </w:tcPr>
          <w:p w14:paraId="2639FC0F"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9877FE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427A16" w14:textId="77777777" w:rsidR="00000000" w:rsidRDefault="00EB4933">
            <w:pPr>
              <w:pStyle w:val="NormalWeb"/>
              <w:spacing w:before="0" w:beforeAutospacing="0" w:after="0" w:afterAutospacing="0"/>
              <w:rPr>
                <w:sz w:val="20"/>
                <w:szCs w:val="20"/>
              </w:rPr>
            </w:pPr>
            <w:r>
              <w:rPr>
                <w:sz w:val="20"/>
                <w:szCs w:val="20"/>
              </w:rPr>
              <w:t> </w:t>
            </w:r>
          </w:p>
        </w:tc>
        <w:tc>
          <w:tcPr>
            <w:tcW w:w="350" w:type="pct"/>
            <w:shd w:val="clear" w:color="auto" w:fill="CCEEFF"/>
            <w:vAlign w:val="bottom"/>
            <w:hideMark/>
          </w:tcPr>
          <w:p w14:paraId="57528E89" w14:textId="77777777" w:rsidR="00000000" w:rsidRDefault="00EB4933">
            <w:pPr>
              <w:jc w:val="right"/>
              <w:rPr>
                <w:rFonts w:eastAsia="Times New Roman"/>
                <w:sz w:val="20"/>
                <w:szCs w:val="20"/>
              </w:rPr>
            </w:pPr>
            <w:r>
              <w:rPr>
                <w:rFonts w:eastAsia="Times New Roman"/>
                <w:sz w:val="20"/>
                <w:szCs w:val="20"/>
              </w:rPr>
              <w:t>100</w:t>
            </w:r>
          </w:p>
        </w:tc>
        <w:tc>
          <w:tcPr>
            <w:tcW w:w="50" w:type="pct"/>
            <w:shd w:val="clear" w:color="auto" w:fill="CCEEFF"/>
            <w:noWrap/>
            <w:vAlign w:val="bottom"/>
            <w:hideMark/>
          </w:tcPr>
          <w:p w14:paraId="1532F105"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E54F8B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D6BBFA" w14:textId="77777777" w:rsidR="00000000" w:rsidRDefault="00EB4933">
            <w:pPr>
              <w:pStyle w:val="NormalWeb"/>
              <w:spacing w:before="0" w:beforeAutospacing="0" w:after="0" w:afterAutospacing="0"/>
              <w:rPr>
                <w:sz w:val="20"/>
                <w:szCs w:val="20"/>
              </w:rPr>
            </w:pPr>
            <w:r>
              <w:rPr>
                <w:sz w:val="20"/>
                <w:szCs w:val="20"/>
              </w:rPr>
              <w:t> </w:t>
            </w:r>
          </w:p>
        </w:tc>
        <w:tc>
          <w:tcPr>
            <w:tcW w:w="350" w:type="pct"/>
            <w:shd w:val="clear" w:color="auto" w:fill="CCEEFF"/>
            <w:vAlign w:val="bottom"/>
            <w:hideMark/>
          </w:tcPr>
          <w:p w14:paraId="54F65FCD"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AC6309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42C0A8" w14:textId="77777777" w:rsidR="00000000" w:rsidRDefault="00EB4933">
            <w:pPr>
              <w:pStyle w:val="NormalWeb"/>
              <w:spacing w:before="0" w:beforeAutospacing="0" w:after="0" w:afterAutospacing="0"/>
              <w:rPr>
                <w:sz w:val="20"/>
                <w:szCs w:val="20"/>
              </w:rPr>
            </w:pPr>
            <w:r>
              <w:rPr>
                <w:sz w:val="20"/>
                <w:szCs w:val="20"/>
              </w:rPr>
              <w:t> </w:t>
            </w:r>
          </w:p>
        </w:tc>
        <w:tc>
          <w:tcPr>
            <w:tcW w:w="750" w:type="pct"/>
            <w:shd w:val="clear" w:color="auto" w:fill="CCEEFF"/>
            <w:vAlign w:val="center"/>
            <w:hideMark/>
          </w:tcPr>
          <w:p w14:paraId="4BE5E8E3" w14:textId="77777777" w:rsidR="00000000" w:rsidRDefault="00EB4933">
            <w:pPr>
              <w:pStyle w:val="NormalWeb"/>
              <w:spacing w:before="0" w:beforeAutospacing="0" w:after="0" w:afterAutospacing="0"/>
              <w:rPr>
                <w:sz w:val="20"/>
                <w:szCs w:val="20"/>
              </w:rPr>
            </w:pPr>
            <w:r>
              <w:rPr>
                <w:sz w:val="20"/>
                <w:szCs w:val="20"/>
              </w:rPr>
              <w:t>Investment holding</w:t>
            </w:r>
          </w:p>
        </w:tc>
        <w:tc>
          <w:tcPr>
            <w:tcW w:w="50" w:type="pct"/>
            <w:shd w:val="clear" w:color="auto" w:fill="CCEEFF"/>
            <w:vAlign w:val="center"/>
            <w:hideMark/>
          </w:tcPr>
          <w:p w14:paraId="4E24300B" w14:textId="77777777" w:rsidR="00000000" w:rsidRDefault="00EB4933">
            <w:pPr>
              <w:rPr>
                <w:rFonts w:eastAsia="Times New Roman"/>
                <w:sz w:val="20"/>
                <w:szCs w:val="20"/>
              </w:rPr>
            </w:pPr>
            <w:r>
              <w:rPr>
                <w:rFonts w:eastAsia="Times New Roman"/>
                <w:sz w:val="20"/>
                <w:szCs w:val="20"/>
              </w:rPr>
              <w:t> </w:t>
            </w:r>
          </w:p>
        </w:tc>
      </w:tr>
      <w:tr w:rsidR="00000000" w14:paraId="66CB10CE" w14:textId="77777777">
        <w:trPr>
          <w:divId w:val="98525094"/>
          <w:trHeight w:val="225"/>
          <w:tblCellSpacing w:w="15" w:type="dxa"/>
        </w:trPr>
        <w:tc>
          <w:tcPr>
            <w:tcW w:w="0" w:type="auto"/>
            <w:shd w:val="clear" w:color="auto" w:fill="FFFFFF"/>
            <w:vAlign w:val="center"/>
            <w:hideMark/>
          </w:tcPr>
          <w:p w14:paraId="7A71FBE6"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1D9A57D"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5AE5480"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BEC6CCC"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816A4BB"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37BA4C83"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116085F"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54BE2A1"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B420439"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EA8B374"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8F9648D"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2932EFF"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37EA1D5"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C13673D"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F6C4721"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7F1B120"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E25074B"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D95ACF4"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218C4EA"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B47084B"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F16036E"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A8E792A" w14:textId="77777777" w:rsidR="00000000" w:rsidRDefault="00EB4933">
            <w:pPr>
              <w:rPr>
                <w:rFonts w:eastAsia="Times New Roman"/>
                <w:sz w:val="20"/>
                <w:szCs w:val="20"/>
              </w:rPr>
            </w:pPr>
            <w:r>
              <w:rPr>
                <w:rFonts w:eastAsia="Times New Roman"/>
                <w:sz w:val="20"/>
                <w:szCs w:val="20"/>
              </w:rPr>
              <w:t> </w:t>
            </w:r>
          </w:p>
        </w:tc>
      </w:tr>
      <w:tr w:rsidR="00000000" w14:paraId="27075AF6" w14:textId="77777777">
        <w:trPr>
          <w:divId w:val="98525094"/>
          <w:trHeight w:val="225"/>
          <w:tblCellSpacing w:w="15" w:type="dxa"/>
        </w:trPr>
        <w:tc>
          <w:tcPr>
            <w:tcW w:w="0" w:type="auto"/>
            <w:shd w:val="clear" w:color="auto" w:fill="CCEEFF"/>
            <w:hideMark/>
          </w:tcPr>
          <w:p w14:paraId="175092CB" w14:textId="77777777" w:rsidR="00000000" w:rsidRDefault="00EB4933">
            <w:pPr>
              <w:pStyle w:val="NormalWeb"/>
              <w:spacing w:before="0" w:beforeAutospacing="0" w:after="0" w:afterAutospacing="0"/>
              <w:rPr>
                <w:sz w:val="20"/>
                <w:szCs w:val="20"/>
              </w:rPr>
            </w:pPr>
            <w:r>
              <w:rPr>
                <w:sz w:val="20"/>
                <w:szCs w:val="20"/>
              </w:rPr>
              <w:t>Chutian Financial Holdings (Hong Kong) Limited</w:t>
            </w:r>
          </w:p>
        </w:tc>
        <w:tc>
          <w:tcPr>
            <w:tcW w:w="0" w:type="auto"/>
            <w:shd w:val="clear" w:color="auto" w:fill="CCEEFF"/>
            <w:noWrap/>
            <w:vAlign w:val="center"/>
            <w:hideMark/>
          </w:tcPr>
          <w:p w14:paraId="091C3510"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1A2C6CF3" w14:textId="77777777" w:rsidR="00000000" w:rsidRDefault="00EB4933">
            <w:pPr>
              <w:pStyle w:val="NormalWeb"/>
              <w:spacing w:before="0" w:beforeAutospacing="0" w:after="0" w:afterAutospacing="0"/>
              <w:rPr>
                <w:sz w:val="20"/>
                <w:szCs w:val="20"/>
              </w:rPr>
            </w:pPr>
            <w:r>
              <w:rPr>
                <w:sz w:val="20"/>
                <w:szCs w:val="20"/>
              </w:rPr>
              <w:t>Hong Kong</w:t>
            </w:r>
          </w:p>
        </w:tc>
        <w:tc>
          <w:tcPr>
            <w:tcW w:w="0" w:type="auto"/>
            <w:shd w:val="clear" w:color="auto" w:fill="CCEEFF"/>
            <w:noWrap/>
            <w:vAlign w:val="center"/>
            <w:hideMark/>
          </w:tcPr>
          <w:p w14:paraId="355C5A5A"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330311C0" w14:textId="77777777" w:rsidR="00000000" w:rsidRDefault="00EB4933">
            <w:pPr>
              <w:rPr>
                <w:rFonts w:eastAsia="Times New Roman"/>
                <w:sz w:val="20"/>
                <w:szCs w:val="20"/>
              </w:rPr>
            </w:pPr>
            <w:r>
              <w:rPr>
                <w:rFonts w:eastAsia="Times New Roman"/>
                <w:sz w:val="20"/>
                <w:szCs w:val="20"/>
              </w:rPr>
              <w:t>HK$</w:t>
            </w:r>
          </w:p>
        </w:tc>
        <w:tc>
          <w:tcPr>
            <w:tcW w:w="0" w:type="auto"/>
            <w:shd w:val="clear" w:color="auto" w:fill="CCEEFF"/>
            <w:vAlign w:val="center"/>
            <w:hideMark/>
          </w:tcPr>
          <w:p w14:paraId="17CCD189" w14:textId="77777777" w:rsidR="00000000" w:rsidRDefault="00EB4933">
            <w:pPr>
              <w:pStyle w:val="NormalWeb"/>
              <w:spacing w:before="0" w:beforeAutospacing="0" w:after="0" w:afterAutospacing="0"/>
              <w:jc w:val="right"/>
              <w:rPr>
                <w:sz w:val="20"/>
                <w:szCs w:val="20"/>
              </w:rPr>
            </w:pPr>
            <w:r>
              <w:rPr>
                <w:sz w:val="20"/>
                <w:szCs w:val="20"/>
              </w:rPr>
              <w:t>10,000</w:t>
            </w:r>
          </w:p>
        </w:tc>
        <w:tc>
          <w:tcPr>
            <w:tcW w:w="0" w:type="auto"/>
            <w:shd w:val="clear" w:color="auto" w:fill="CCEEFF"/>
            <w:noWrap/>
            <w:vAlign w:val="center"/>
            <w:hideMark/>
          </w:tcPr>
          <w:p w14:paraId="278F45FE"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E7CF737"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B24DFEE"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30AF9D55" w14:textId="77777777" w:rsidR="00000000" w:rsidRDefault="00EB4933">
            <w:pPr>
              <w:jc w:val="right"/>
              <w:rPr>
                <w:rFonts w:eastAsia="Times New Roman"/>
                <w:sz w:val="20"/>
                <w:szCs w:val="20"/>
              </w:rPr>
            </w:pPr>
            <w:r>
              <w:rPr>
                <w:rFonts w:eastAsia="Times New Roman"/>
                <w:sz w:val="20"/>
                <w:szCs w:val="20"/>
              </w:rPr>
              <w:t>100</w:t>
            </w:r>
          </w:p>
        </w:tc>
        <w:tc>
          <w:tcPr>
            <w:tcW w:w="0" w:type="auto"/>
            <w:shd w:val="clear" w:color="auto" w:fill="CCEEFF"/>
            <w:noWrap/>
            <w:vAlign w:val="bottom"/>
            <w:hideMark/>
          </w:tcPr>
          <w:p w14:paraId="5C33809F" w14:textId="77777777" w:rsidR="00000000" w:rsidRDefault="00EB4933">
            <w:pPr>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3EDA3D30"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56A23B7"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63E9160B" w14:textId="77777777" w:rsidR="00000000" w:rsidRDefault="00EB4933">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7FFF99C8"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BBB7C2E"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3297A131"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7E0F9C47" w14:textId="77777777" w:rsidR="00000000" w:rsidRDefault="00EB4933">
            <w:pPr>
              <w:jc w:val="right"/>
              <w:rPr>
                <w:rFonts w:eastAsia="Times New Roman"/>
                <w:sz w:val="20"/>
                <w:szCs w:val="20"/>
              </w:rPr>
            </w:pPr>
            <w:r>
              <w:rPr>
                <w:rFonts w:eastAsia="Times New Roman"/>
                <w:sz w:val="20"/>
                <w:szCs w:val="20"/>
              </w:rPr>
              <w:t>100</w:t>
            </w:r>
          </w:p>
        </w:tc>
        <w:tc>
          <w:tcPr>
            <w:tcW w:w="0" w:type="auto"/>
            <w:shd w:val="clear" w:color="auto" w:fill="CCEEFF"/>
            <w:noWrap/>
            <w:vAlign w:val="bottom"/>
            <w:hideMark/>
          </w:tcPr>
          <w:p w14:paraId="37EB5AF0" w14:textId="77777777" w:rsidR="00000000" w:rsidRDefault="00EB4933">
            <w:pPr>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5B0C6880"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0611E300" w14:textId="77777777" w:rsidR="00000000" w:rsidRDefault="00EB4933">
            <w:pPr>
              <w:pStyle w:val="NormalWeb"/>
              <w:spacing w:before="0" w:beforeAutospacing="0" w:after="0" w:afterAutospacing="0"/>
              <w:rPr>
                <w:sz w:val="20"/>
                <w:szCs w:val="20"/>
              </w:rPr>
            </w:pPr>
            <w:r>
              <w:rPr>
                <w:sz w:val="20"/>
                <w:szCs w:val="20"/>
              </w:rPr>
              <w:t>Investment holding</w:t>
            </w:r>
          </w:p>
        </w:tc>
        <w:tc>
          <w:tcPr>
            <w:tcW w:w="0" w:type="auto"/>
            <w:shd w:val="clear" w:color="auto" w:fill="CCEEFF"/>
            <w:vAlign w:val="center"/>
            <w:hideMark/>
          </w:tcPr>
          <w:p w14:paraId="773E2B12" w14:textId="77777777" w:rsidR="00000000" w:rsidRDefault="00EB4933">
            <w:pPr>
              <w:rPr>
                <w:rFonts w:eastAsia="Times New Roman"/>
                <w:sz w:val="20"/>
                <w:szCs w:val="20"/>
              </w:rPr>
            </w:pPr>
            <w:r>
              <w:rPr>
                <w:rFonts w:eastAsia="Times New Roman"/>
                <w:sz w:val="20"/>
                <w:szCs w:val="20"/>
              </w:rPr>
              <w:t> </w:t>
            </w:r>
          </w:p>
        </w:tc>
      </w:tr>
      <w:tr w:rsidR="00000000" w14:paraId="0D2B760B" w14:textId="77777777">
        <w:trPr>
          <w:divId w:val="98525094"/>
          <w:trHeight w:val="225"/>
          <w:tblCellSpacing w:w="15" w:type="dxa"/>
        </w:trPr>
        <w:tc>
          <w:tcPr>
            <w:tcW w:w="0" w:type="auto"/>
            <w:shd w:val="clear" w:color="auto" w:fill="FFFFFF"/>
            <w:vAlign w:val="center"/>
            <w:hideMark/>
          </w:tcPr>
          <w:p w14:paraId="603947F0"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089A15A"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AFFA109"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BD1979C"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2B1FE23"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16F3C9E"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37519D9"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E6D56E4"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3AB5750"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F415833"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8E188F4"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F4FA5D2"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D99576F"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3EBC179D"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0E2B727"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4993A32"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55A60A4"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73A2A34"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D71D054"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0251EC47"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BE21764"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4BA828A1" w14:textId="77777777" w:rsidR="00000000" w:rsidRDefault="00EB4933">
            <w:pPr>
              <w:rPr>
                <w:rFonts w:eastAsia="Times New Roman"/>
                <w:sz w:val="20"/>
                <w:szCs w:val="20"/>
              </w:rPr>
            </w:pPr>
            <w:r>
              <w:rPr>
                <w:rFonts w:eastAsia="Times New Roman"/>
                <w:sz w:val="20"/>
                <w:szCs w:val="20"/>
              </w:rPr>
              <w:t> </w:t>
            </w:r>
          </w:p>
        </w:tc>
      </w:tr>
      <w:tr w:rsidR="00000000" w14:paraId="2903B1F1" w14:textId="77777777">
        <w:trPr>
          <w:divId w:val="98525094"/>
          <w:trHeight w:val="225"/>
          <w:tblCellSpacing w:w="15" w:type="dxa"/>
        </w:trPr>
        <w:tc>
          <w:tcPr>
            <w:tcW w:w="0" w:type="auto"/>
            <w:shd w:val="clear" w:color="auto" w:fill="CCEEFF"/>
            <w:hideMark/>
          </w:tcPr>
          <w:p w14:paraId="575C3765" w14:textId="77777777" w:rsidR="00000000" w:rsidRDefault="00EB4933">
            <w:pPr>
              <w:pStyle w:val="NormalWeb"/>
              <w:spacing w:before="0" w:beforeAutospacing="0" w:after="0" w:afterAutospacing="0"/>
              <w:rPr>
                <w:sz w:val="20"/>
                <w:szCs w:val="20"/>
              </w:rPr>
            </w:pPr>
            <w:r>
              <w:rPr>
                <w:sz w:val="20"/>
                <w:szCs w:val="20"/>
              </w:rPr>
              <w:t>Wuhan Chutian Investment Holdings Co. Ltd</w:t>
            </w:r>
          </w:p>
        </w:tc>
        <w:tc>
          <w:tcPr>
            <w:tcW w:w="0" w:type="auto"/>
            <w:shd w:val="clear" w:color="auto" w:fill="CCEEFF"/>
            <w:noWrap/>
            <w:vAlign w:val="center"/>
            <w:hideMark/>
          </w:tcPr>
          <w:p w14:paraId="07C60EC3"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543105FC" w14:textId="77777777" w:rsidR="00000000" w:rsidRDefault="00EB4933">
            <w:pPr>
              <w:pStyle w:val="NormalWeb"/>
              <w:spacing w:before="0" w:beforeAutospacing="0" w:after="0" w:afterAutospacing="0"/>
              <w:rPr>
                <w:sz w:val="20"/>
                <w:szCs w:val="20"/>
              </w:rPr>
            </w:pPr>
            <w:r>
              <w:rPr>
                <w:sz w:val="20"/>
                <w:szCs w:val="20"/>
              </w:rPr>
              <w:t>PRC</w:t>
            </w:r>
          </w:p>
        </w:tc>
        <w:tc>
          <w:tcPr>
            <w:tcW w:w="0" w:type="auto"/>
            <w:shd w:val="clear" w:color="auto" w:fill="CCEEFF"/>
            <w:noWrap/>
            <w:vAlign w:val="center"/>
            <w:hideMark/>
          </w:tcPr>
          <w:p w14:paraId="77BF88C2"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bottom"/>
            <w:hideMark/>
          </w:tcPr>
          <w:p w14:paraId="09EE701E" w14:textId="77777777" w:rsidR="00000000" w:rsidRDefault="00EB4933">
            <w:pPr>
              <w:rPr>
                <w:rFonts w:eastAsia="Times New Roman"/>
                <w:sz w:val="20"/>
                <w:szCs w:val="20"/>
              </w:rPr>
            </w:pPr>
            <w:r>
              <w:rPr>
                <w:rFonts w:eastAsia="Times New Roman"/>
                <w:sz w:val="20"/>
                <w:szCs w:val="20"/>
              </w:rPr>
              <w:t>$</w:t>
            </w:r>
          </w:p>
        </w:tc>
        <w:tc>
          <w:tcPr>
            <w:tcW w:w="0" w:type="auto"/>
            <w:shd w:val="clear" w:color="auto" w:fill="CCEEFF"/>
            <w:vAlign w:val="bottom"/>
            <w:hideMark/>
          </w:tcPr>
          <w:p w14:paraId="1B4FE945" w14:textId="77777777" w:rsidR="00000000" w:rsidRDefault="00EB4933">
            <w:pPr>
              <w:jc w:val="right"/>
              <w:rPr>
                <w:rFonts w:eastAsia="Times New Roman"/>
                <w:sz w:val="20"/>
                <w:szCs w:val="20"/>
              </w:rPr>
            </w:pPr>
            <w:r>
              <w:rPr>
                <w:rFonts w:eastAsia="Times New Roman"/>
                <w:sz w:val="20"/>
                <w:szCs w:val="20"/>
              </w:rPr>
              <w:t>3,000,000</w:t>
            </w:r>
          </w:p>
        </w:tc>
        <w:tc>
          <w:tcPr>
            <w:tcW w:w="0" w:type="auto"/>
            <w:shd w:val="clear" w:color="auto" w:fill="CCEEFF"/>
            <w:noWrap/>
            <w:vAlign w:val="center"/>
            <w:hideMark/>
          </w:tcPr>
          <w:p w14:paraId="63B4C2A6"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89C3831"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C247A22"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6E6E2505" w14:textId="77777777" w:rsidR="00000000" w:rsidRDefault="00EB4933">
            <w:pPr>
              <w:jc w:val="right"/>
              <w:rPr>
                <w:rFonts w:eastAsia="Times New Roman"/>
                <w:sz w:val="20"/>
                <w:szCs w:val="20"/>
              </w:rPr>
            </w:pPr>
            <w:r>
              <w:rPr>
                <w:rFonts w:eastAsia="Times New Roman"/>
                <w:sz w:val="20"/>
                <w:szCs w:val="20"/>
              </w:rPr>
              <w:t>100</w:t>
            </w:r>
          </w:p>
        </w:tc>
        <w:tc>
          <w:tcPr>
            <w:tcW w:w="0" w:type="auto"/>
            <w:shd w:val="clear" w:color="auto" w:fill="CCEEFF"/>
            <w:noWrap/>
            <w:vAlign w:val="bottom"/>
            <w:hideMark/>
          </w:tcPr>
          <w:p w14:paraId="128F1346" w14:textId="77777777" w:rsidR="00000000" w:rsidRDefault="00EB4933">
            <w:pPr>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15E331FC"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80143F3"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73988BFA" w14:textId="77777777" w:rsidR="00000000" w:rsidRDefault="00EB4933">
            <w:pPr>
              <w:jc w:val="right"/>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3E3EF9B2"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10FDEF85"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8DA6A39"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bottom"/>
            <w:hideMark/>
          </w:tcPr>
          <w:p w14:paraId="6E2A13A7" w14:textId="77777777" w:rsidR="00000000" w:rsidRDefault="00EB4933">
            <w:pPr>
              <w:jc w:val="right"/>
              <w:rPr>
                <w:rFonts w:eastAsia="Times New Roman"/>
                <w:sz w:val="20"/>
                <w:szCs w:val="20"/>
              </w:rPr>
            </w:pPr>
            <w:r>
              <w:rPr>
                <w:rFonts w:eastAsia="Times New Roman"/>
                <w:sz w:val="20"/>
                <w:szCs w:val="20"/>
              </w:rPr>
              <w:t>100</w:t>
            </w:r>
          </w:p>
        </w:tc>
        <w:tc>
          <w:tcPr>
            <w:tcW w:w="0" w:type="auto"/>
            <w:shd w:val="clear" w:color="auto" w:fill="CCEEFF"/>
            <w:noWrap/>
            <w:vAlign w:val="bottom"/>
            <w:hideMark/>
          </w:tcPr>
          <w:p w14:paraId="5F40CCC0" w14:textId="77777777" w:rsidR="00000000" w:rsidRDefault="00EB4933">
            <w:pPr>
              <w:rPr>
                <w:rFonts w:eastAsia="Times New Roman"/>
                <w:sz w:val="20"/>
                <w:szCs w:val="20"/>
              </w:rPr>
            </w:pPr>
            <w:r>
              <w:rPr>
                <w:rFonts w:eastAsia="Times New Roman"/>
                <w:sz w:val="20"/>
                <w:szCs w:val="20"/>
              </w:rPr>
              <w:t>%</w:t>
            </w:r>
          </w:p>
        </w:tc>
        <w:tc>
          <w:tcPr>
            <w:tcW w:w="0" w:type="auto"/>
            <w:shd w:val="clear" w:color="auto" w:fill="CCEEFF"/>
            <w:noWrap/>
            <w:vAlign w:val="center"/>
            <w:hideMark/>
          </w:tcPr>
          <w:p w14:paraId="53FBCEEB"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7E3E0028" w14:textId="77777777" w:rsidR="00000000" w:rsidRDefault="00EB4933">
            <w:pPr>
              <w:pStyle w:val="NormalWeb"/>
              <w:spacing w:before="0" w:beforeAutospacing="0" w:after="0" w:afterAutospacing="0"/>
              <w:rPr>
                <w:sz w:val="20"/>
                <w:szCs w:val="20"/>
              </w:rPr>
            </w:pPr>
            <w:r>
              <w:rPr>
                <w:sz w:val="20"/>
                <w:szCs w:val="20"/>
              </w:rPr>
              <w:t>Investment holding</w:t>
            </w:r>
          </w:p>
        </w:tc>
        <w:tc>
          <w:tcPr>
            <w:tcW w:w="0" w:type="auto"/>
            <w:shd w:val="clear" w:color="auto" w:fill="CCEEFF"/>
            <w:vAlign w:val="center"/>
            <w:hideMark/>
          </w:tcPr>
          <w:p w14:paraId="2B99093A" w14:textId="77777777" w:rsidR="00000000" w:rsidRDefault="00EB4933">
            <w:pPr>
              <w:rPr>
                <w:rFonts w:eastAsia="Times New Roman"/>
                <w:sz w:val="20"/>
                <w:szCs w:val="20"/>
              </w:rPr>
            </w:pPr>
            <w:r>
              <w:rPr>
                <w:rFonts w:eastAsia="Times New Roman"/>
                <w:sz w:val="20"/>
                <w:szCs w:val="20"/>
              </w:rPr>
              <w:t> </w:t>
            </w:r>
          </w:p>
        </w:tc>
      </w:tr>
      <w:tr w:rsidR="00000000" w14:paraId="2CD417B5" w14:textId="77777777">
        <w:trPr>
          <w:divId w:val="98525094"/>
          <w:trHeight w:val="225"/>
          <w:tblCellSpacing w:w="15" w:type="dxa"/>
        </w:trPr>
        <w:tc>
          <w:tcPr>
            <w:tcW w:w="0" w:type="auto"/>
            <w:shd w:val="clear" w:color="auto" w:fill="FFFFFF"/>
            <w:vAlign w:val="center"/>
            <w:hideMark/>
          </w:tcPr>
          <w:p w14:paraId="0DCE230D"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8235B8D"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3F7C020B"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3674753"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7C280122"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5C06838"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16AF15A"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5EB9EEB2"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E071D2D"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11F6FA27"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4AE7637D"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9E08A87"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262F27E6"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A1A67A3"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206C42F"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8A13589"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B8FA948"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15DE0D5"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98735A1"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3212AD9"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7A7573A3"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06E225E3" w14:textId="77777777" w:rsidR="00000000" w:rsidRDefault="00EB4933">
            <w:pPr>
              <w:rPr>
                <w:rFonts w:eastAsia="Times New Roman"/>
                <w:sz w:val="20"/>
                <w:szCs w:val="20"/>
              </w:rPr>
            </w:pPr>
            <w:r>
              <w:rPr>
                <w:rFonts w:eastAsia="Times New Roman"/>
                <w:sz w:val="20"/>
                <w:szCs w:val="20"/>
              </w:rPr>
              <w:t> </w:t>
            </w:r>
          </w:p>
        </w:tc>
      </w:tr>
      <w:tr w:rsidR="00000000" w14:paraId="1DA3F63A" w14:textId="77777777">
        <w:trPr>
          <w:divId w:val="98525094"/>
          <w:trHeight w:val="225"/>
          <w:tblCellSpacing w:w="15" w:type="dxa"/>
        </w:trPr>
        <w:tc>
          <w:tcPr>
            <w:tcW w:w="0" w:type="auto"/>
            <w:shd w:val="clear" w:color="auto" w:fill="CCEEFF"/>
            <w:hideMark/>
          </w:tcPr>
          <w:p w14:paraId="5F9E54F7" w14:textId="77777777" w:rsidR="00000000" w:rsidRDefault="00EB4933">
            <w:pPr>
              <w:pStyle w:val="NormalWeb"/>
              <w:spacing w:before="0" w:beforeAutospacing="0" w:after="0" w:afterAutospacing="0"/>
              <w:rPr>
                <w:sz w:val="20"/>
                <w:szCs w:val="20"/>
              </w:rPr>
            </w:pPr>
            <w:r>
              <w:rPr>
                <w:sz w:val="20"/>
                <w:szCs w:val="20"/>
              </w:rPr>
              <w:t>Variable interest entity</w:t>
            </w:r>
          </w:p>
        </w:tc>
        <w:tc>
          <w:tcPr>
            <w:tcW w:w="0" w:type="auto"/>
            <w:shd w:val="clear" w:color="auto" w:fill="CCEEFF"/>
            <w:noWrap/>
            <w:vAlign w:val="center"/>
            <w:hideMark/>
          </w:tcPr>
          <w:p w14:paraId="582E7C3E"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0A6141AD"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0213395"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4C4BBA3"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2A5F3442"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1648BDD"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956667E"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2A6B501"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007AE147"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0521024A"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E618BC7"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5F3C2DC9"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22B56677"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2428B308"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4868FE8A"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EF9DCA7"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529301C8"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6CB82D18"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noWrap/>
            <w:vAlign w:val="center"/>
            <w:hideMark/>
          </w:tcPr>
          <w:p w14:paraId="70A6F0F2"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4F765E3D"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CCEEFF"/>
            <w:vAlign w:val="center"/>
            <w:hideMark/>
          </w:tcPr>
          <w:p w14:paraId="0B0A1A69" w14:textId="77777777" w:rsidR="00000000" w:rsidRDefault="00EB4933">
            <w:pPr>
              <w:rPr>
                <w:rFonts w:eastAsia="Times New Roman"/>
                <w:sz w:val="20"/>
                <w:szCs w:val="20"/>
              </w:rPr>
            </w:pPr>
            <w:r>
              <w:rPr>
                <w:rFonts w:eastAsia="Times New Roman"/>
                <w:sz w:val="20"/>
                <w:szCs w:val="20"/>
              </w:rPr>
              <w:t> </w:t>
            </w:r>
          </w:p>
        </w:tc>
      </w:tr>
      <w:tr w:rsidR="00000000" w14:paraId="7197D7D6" w14:textId="77777777">
        <w:trPr>
          <w:divId w:val="98525094"/>
          <w:trHeight w:val="225"/>
          <w:tblCellSpacing w:w="15" w:type="dxa"/>
        </w:trPr>
        <w:tc>
          <w:tcPr>
            <w:tcW w:w="0" w:type="auto"/>
            <w:shd w:val="clear" w:color="auto" w:fill="FFFFFF"/>
            <w:hideMark/>
          </w:tcPr>
          <w:p w14:paraId="3629DEDF" w14:textId="77777777" w:rsidR="00000000" w:rsidRDefault="00EB4933">
            <w:pPr>
              <w:pStyle w:val="NormalWeb"/>
              <w:spacing w:before="0" w:beforeAutospacing="0" w:after="0" w:afterAutospacing="0"/>
              <w:rPr>
                <w:sz w:val="20"/>
                <w:szCs w:val="20"/>
              </w:rPr>
            </w:pPr>
            <w:r>
              <w:rPr>
                <w:sz w:val="20"/>
                <w:szCs w:val="20"/>
              </w:rPr>
              <w:t>Hubei Chutian Microfinance Co., Ltd</w:t>
            </w:r>
          </w:p>
        </w:tc>
        <w:tc>
          <w:tcPr>
            <w:tcW w:w="0" w:type="auto"/>
            <w:shd w:val="clear" w:color="auto" w:fill="FFFFFF"/>
            <w:noWrap/>
            <w:vAlign w:val="center"/>
            <w:hideMark/>
          </w:tcPr>
          <w:p w14:paraId="7F57D5A4"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67AC0377" w14:textId="77777777" w:rsidR="00000000" w:rsidRDefault="00EB4933">
            <w:pPr>
              <w:pStyle w:val="NormalWeb"/>
              <w:spacing w:before="0" w:beforeAutospacing="0" w:after="0" w:afterAutospacing="0"/>
              <w:rPr>
                <w:sz w:val="20"/>
                <w:szCs w:val="20"/>
              </w:rPr>
            </w:pPr>
            <w:r>
              <w:rPr>
                <w:sz w:val="20"/>
                <w:szCs w:val="20"/>
              </w:rPr>
              <w:t>PRC</w:t>
            </w:r>
          </w:p>
        </w:tc>
        <w:tc>
          <w:tcPr>
            <w:tcW w:w="0" w:type="auto"/>
            <w:shd w:val="clear" w:color="auto" w:fill="FFFFFF"/>
            <w:noWrap/>
            <w:vAlign w:val="center"/>
            <w:hideMark/>
          </w:tcPr>
          <w:p w14:paraId="4D0DD50E"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26B35859" w14:textId="77777777" w:rsidR="00000000" w:rsidRDefault="00EB4933">
            <w:pPr>
              <w:rPr>
                <w:rFonts w:eastAsia="Times New Roman"/>
                <w:sz w:val="20"/>
                <w:szCs w:val="20"/>
              </w:rPr>
            </w:pPr>
            <w:r>
              <w:rPr>
                <w:rFonts w:eastAsia="Times New Roman"/>
                <w:sz w:val="20"/>
                <w:szCs w:val="20"/>
              </w:rPr>
              <w:t>RMB</w:t>
            </w:r>
          </w:p>
        </w:tc>
        <w:tc>
          <w:tcPr>
            <w:tcW w:w="0" w:type="auto"/>
            <w:shd w:val="clear" w:color="auto" w:fill="FFFFFF"/>
            <w:vAlign w:val="center"/>
            <w:hideMark/>
          </w:tcPr>
          <w:p w14:paraId="49511524" w14:textId="77777777" w:rsidR="00000000" w:rsidRDefault="00EB4933">
            <w:pPr>
              <w:pStyle w:val="NormalWeb"/>
              <w:spacing w:before="0" w:beforeAutospacing="0" w:after="0" w:afterAutospacing="0"/>
              <w:jc w:val="right"/>
              <w:rPr>
                <w:sz w:val="20"/>
                <w:szCs w:val="20"/>
              </w:rPr>
            </w:pPr>
            <w:r>
              <w:rPr>
                <w:sz w:val="20"/>
                <w:szCs w:val="20"/>
              </w:rPr>
              <w:t>450,000,000</w:t>
            </w:r>
          </w:p>
        </w:tc>
        <w:tc>
          <w:tcPr>
            <w:tcW w:w="0" w:type="auto"/>
            <w:shd w:val="clear" w:color="auto" w:fill="FFFFFF"/>
            <w:noWrap/>
            <w:vAlign w:val="center"/>
            <w:hideMark/>
          </w:tcPr>
          <w:p w14:paraId="46A4D281"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3C2C8331"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2B1D0F6"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4AAA1EE5" w14:textId="77777777" w:rsidR="00000000" w:rsidRDefault="00EB4933">
            <w:pPr>
              <w:jc w:val="right"/>
              <w:rPr>
                <w:rFonts w:eastAsia="Times New Roman"/>
                <w:sz w:val="20"/>
                <w:szCs w:val="20"/>
              </w:rPr>
            </w:pPr>
            <w:r>
              <w:rPr>
                <w:rFonts w:eastAsia="Times New Roman"/>
                <w:sz w:val="20"/>
                <w:szCs w:val="20"/>
              </w:rPr>
              <w:t>80</w:t>
            </w:r>
          </w:p>
        </w:tc>
        <w:tc>
          <w:tcPr>
            <w:tcW w:w="0" w:type="auto"/>
            <w:shd w:val="clear" w:color="auto" w:fill="FFFFFF"/>
            <w:noWrap/>
            <w:vAlign w:val="bottom"/>
            <w:hideMark/>
          </w:tcPr>
          <w:p w14:paraId="7B701380" w14:textId="77777777" w:rsidR="00000000" w:rsidRDefault="00EB4933">
            <w:pPr>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15A90D50"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11707AA0"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231D0752" w14:textId="77777777" w:rsidR="00000000" w:rsidRDefault="00EB4933">
            <w:pPr>
              <w:jc w:val="right"/>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2BAE9B4C"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4888986"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noWrap/>
            <w:vAlign w:val="center"/>
            <w:hideMark/>
          </w:tcPr>
          <w:p w14:paraId="6510CE7E"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50CE986E" w14:textId="77777777" w:rsidR="00000000" w:rsidRDefault="00EB4933">
            <w:pPr>
              <w:jc w:val="right"/>
              <w:rPr>
                <w:rFonts w:eastAsia="Times New Roman"/>
                <w:sz w:val="20"/>
                <w:szCs w:val="20"/>
              </w:rPr>
            </w:pPr>
            <w:r>
              <w:rPr>
                <w:rFonts w:eastAsia="Times New Roman"/>
                <w:sz w:val="20"/>
                <w:szCs w:val="20"/>
              </w:rPr>
              <w:t>80</w:t>
            </w:r>
          </w:p>
        </w:tc>
        <w:tc>
          <w:tcPr>
            <w:tcW w:w="0" w:type="auto"/>
            <w:shd w:val="clear" w:color="auto" w:fill="FFFFFF"/>
            <w:noWrap/>
            <w:vAlign w:val="bottom"/>
            <w:hideMark/>
          </w:tcPr>
          <w:p w14:paraId="20BA99F1" w14:textId="77777777" w:rsidR="00000000" w:rsidRDefault="00EB4933">
            <w:pPr>
              <w:rPr>
                <w:rFonts w:eastAsia="Times New Roman"/>
                <w:sz w:val="20"/>
                <w:szCs w:val="20"/>
              </w:rPr>
            </w:pPr>
            <w:r>
              <w:rPr>
                <w:rFonts w:eastAsia="Times New Roman"/>
                <w:sz w:val="20"/>
                <w:szCs w:val="20"/>
              </w:rPr>
              <w:t>%</w:t>
            </w:r>
          </w:p>
        </w:tc>
        <w:tc>
          <w:tcPr>
            <w:tcW w:w="0" w:type="auto"/>
            <w:shd w:val="clear" w:color="auto" w:fill="FFFFFF"/>
            <w:noWrap/>
            <w:vAlign w:val="center"/>
            <w:hideMark/>
          </w:tcPr>
          <w:p w14:paraId="31B06E32" w14:textId="77777777" w:rsidR="00000000" w:rsidRDefault="00EB4933">
            <w:pPr>
              <w:pStyle w:val="NormalWeb"/>
              <w:spacing w:before="0" w:beforeAutospacing="0" w:after="0" w:afterAutospacing="0"/>
              <w:rPr>
                <w:sz w:val="20"/>
                <w:szCs w:val="20"/>
              </w:rPr>
            </w:pPr>
            <w:r>
              <w:rPr>
                <w:sz w:val="20"/>
                <w:szCs w:val="20"/>
              </w:rPr>
              <w:t> </w:t>
            </w:r>
          </w:p>
        </w:tc>
        <w:tc>
          <w:tcPr>
            <w:tcW w:w="0" w:type="auto"/>
            <w:shd w:val="clear" w:color="auto" w:fill="FFFFFF"/>
            <w:vAlign w:val="center"/>
            <w:hideMark/>
          </w:tcPr>
          <w:p w14:paraId="58803E1E" w14:textId="77777777" w:rsidR="00000000" w:rsidRDefault="00EB4933">
            <w:pPr>
              <w:pStyle w:val="NormalWeb"/>
              <w:spacing w:before="0" w:beforeAutospacing="0" w:after="0" w:afterAutospacing="0"/>
              <w:rPr>
                <w:sz w:val="20"/>
                <w:szCs w:val="20"/>
              </w:rPr>
            </w:pPr>
            <w:r>
              <w:rPr>
                <w:sz w:val="20"/>
                <w:szCs w:val="20"/>
              </w:rPr>
              <w:t>Microfinance lenders</w:t>
            </w:r>
          </w:p>
        </w:tc>
        <w:tc>
          <w:tcPr>
            <w:tcW w:w="0" w:type="auto"/>
            <w:shd w:val="clear" w:color="auto" w:fill="FFFFFF"/>
            <w:vAlign w:val="center"/>
            <w:hideMark/>
          </w:tcPr>
          <w:p w14:paraId="4ADBE974" w14:textId="77777777" w:rsidR="00000000" w:rsidRDefault="00EB4933">
            <w:pPr>
              <w:rPr>
                <w:rFonts w:eastAsia="Times New Roman"/>
                <w:sz w:val="20"/>
                <w:szCs w:val="20"/>
              </w:rPr>
            </w:pPr>
            <w:r>
              <w:rPr>
                <w:rFonts w:eastAsia="Times New Roman"/>
                <w:sz w:val="20"/>
                <w:szCs w:val="20"/>
              </w:rPr>
              <w:t> </w:t>
            </w:r>
          </w:p>
        </w:tc>
      </w:tr>
    </w:tbl>
    <w:p w14:paraId="69401EA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BE40A49" w14:textId="77777777" w:rsidR="00000000" w:rsidRDefault="00EB4933">
      <w:pPr>
        <w:pStyle w:val="NormalWeb"/>
        <w:spacing w:before="0" w:beforeAutospacing="0" w:after="0" w:afterAutospacing="0"/>
        <w:jc w:val="both"/>
        <w:divId w:val="98525094"/>
        <w:rPr>
          <w:sz w:val="20"/>
          <w:szCs w:val="20"/>
        </w:rPr>
      </w:pPr>
      <w:r>
        <w:rPr>
          <w:sz w:val="20"/>
          <w:szCs w:val="20"/>
        </w:rPr>
        <w:t>An entity, Hubei Kai Wu Small and Micro Economic Research Institute Co. Ltd, was set up in May 2018 with a registered share capital of RMB5 million, where Chutian should subscribe RMB1.365 million of the registered share capital and held 27.3% of the equit</w:t>
      </w:r>
      <w:r>
        <w:rPr>
          <w:sz w:val="20"/>
          <w:szCs w:val="20"/>
        </w:rPr>
        <w:t xml:space="preserve">y interest of this company. However, all shareholders, including Chutian, did not subscribe to the share capital and this company remain dormant as of December 31, 2019. </w:t>
      </w:r>
    </w:p>
    <w:p w14:paraId="566B7FC4"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50DAECA" w14:textId="77777777">
        <w:trPr>
          <w:divId w:val="98525094"/>
          <w:trHeight w:val="225"/>
          <w:tblCellSpacing w:w="15" w:type="dxa"/>
        </w:trPr>
        <w:tc>
          <w:tcPr>
            <w:tcW w:w="0" w:type="auto"/>
            <w:vAlign w:val="center"/>
            <w:hideMark/>
          </w:tcPr>
          <w:p w14:paraId="75115598" w14:textId="77777777" w:rsidR="00000000" w:rsidRDefault="00EB4933">
            <w:pPr>
              <w:rPr>
                <w:rFonts w:eastAsia="Times New Roman"/>
                <w:sz w:val="20"/>
                <w:szCs w:val="20"/>
              </w:rPr>
            </w:pPr>
            <w:r>
              <w:rPr>
                <w:rFonts w:eastAsia="Times New Roman"/>
                <w:sz w:val="20"/>
                <w:szCs w:val="20"/>
              </w:rPr>
              <w:t> </w:t>
            </w:r>
          </w:p>
        </w:tc>
      </w:tr>
      <w:tr w:rsidR="00000000" w14:paraId="74DAAE60" w14:textId="77777777">
        <w:trPr>
          <w:divId w:val="98525094"/>
          <w:trHeight w:val="225"/>
          <w:tblCellSpacing w:w="15" w:type="dxa"/>
        </w:trPr>
        <w:tc>
          <w:tcPr>
            <w:tcW w:w="0" w:type="auto"/>
            <w:tcBorders>
              <w:bottom w:val="single" w:sz="6" w:space="0" w:color="000000"/>
            </w:tcBorders>
            <w:vAlign w:val="center"/>
            <w:hideMark/>
          </w:tcPr>
          <w:p w14:paraId="68F75DE9" w14:textId="77777777" w:rsidR="00000000" w:rsidRDefault="00EB4933">
            <w:pPr>
              <w:jc w:val="center"/>
              <w:rPr>
                <w:rFonts w:eastAsia="Times New Roman"/>
                <w:sz w:val="20"/>
                <w:szCs w:val="20"/>
              </w:rPr>
            </w:pPr>
            <w:r>
              <w:rPr>
                <w:rFonts w:eastAsia="Times New Roman"/>
                <w:sz w:val="20"/>
                <w:szCs w:val="20"/>
              </w:rPr>
              <w:t>F-12</w:t>
            </w:r>
          </w:p>
        </w:tc>
      </w:tr>
      <w:tr w:rsidR="00000000" w14:paraId="0625C550" w14:textId="77777777">
        <w:trPr>
          <w:divId w:val="98525094"/>
          <w:trHeight w:val="225"/>
          <w:tblCellSpacing w:w="15" w:type="dxa"/>
        </w:trPr>
        <w:tc>
          <w:tcPr>
            <w:tcW w:w="0" w:type="auto"/>
            <w:vAlign w:val="center"/>
            <w:hideMark/>
          </w:tcPr>
          <w:p w14:paraId="046086F3" w14:textId="77777777" w:rsidR="00000000" w:rsidRDefault="00EB4933">
            <w:pPr>
              <w:rPr>
                <w:rFonts w:eastAsia="Times New Roman"/>
                <w:sz w:val="20"/>
                <w:szCs w:val="20"/>
              </w:rPr>
            </w:pPr>
          </w:p>
        </w:tc>
      </w:tr>
      <w:tr w:rsidR="00000000" w14:paraId="4F4671D0" w14:textId="77777777">
        <w:trPr>
          <w:divId w:val="98525094"/>
          <w:trHeight w:val="225"/>
          <w:tblCellSpacing w:w="15" w:type="dxa"/>
        </w:trPr>
        <w:tc>
          <w:tcPr>
            <w:tcW w:w="0" w:type="auto"/>
            <w:vAlign w:val="center"/>
            <w:hideMark/>
          </w:tcPr>
          <w:p w14:paraId="720F47E8" w14:textId="77777777" w:rsidR="00000000" w:rsidRDefault="00EB4933">
            <w:pPr>
              <w:rPr>
                <w:rFonts w:eastAsia="Times New Roman"/>
                <w:sz w:val="20"/>
                <w:szCs w:val="20"/>
              </w:rPr>
            </w:pPr>
            <w:hyperlink r:id="rId229" w:anchor="finindex" w:history="1">
              <w:r>
                <w:rPr>
                  <w:rStyle w:val="Hyperlink"/>
                  <w:rFonts w:eastAsia="Times New Roman"/>
                  <w:i/>
                  <w:iCs/>
                  <w:sz w:val="20"/>
                  <w:szCs w:val="20"/>
                </w:rPr>
                <w:t>Table of Contents</w:t>
              </w:r>
            </w:hyperlink>
          </w:p>
        </w:tc>
      </w:tr>
    </w:tbl>
    <w:p w14:paraId="5C890D0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0C4D468"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6A15429D"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4CA98103"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1DC73339"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7E04D118" w14:textId="77777777" w:rsidR="00000000" w:rsidRDefault="00EB4933">
      <w:pPr>
        <w:pStyle w:val="NormalWeb"/>
        <w:spacing w:before="0" w:beforeAutospacing="0" w:after="0" w:afterAutospacing="0"/>
        <w:jc w:val="both"/>
        <w:divId w:val="98525094"/>
        <w:rPr>
          <w:sz w:val="20"/>
          <w:szCs w:val="20"/>
        </w:rPr>
      </w:pPr>
      <w:r>
        <w:rPr>
          <w:rStyle w:val="Strong"/>
          <w:sz w:val="20"/>
          <w:szCs w:val="20"/>
        </w:rPr>
        <w:t>1.</w:t>
      </w:r>
      <w:r>
        <w:rPr>
          <w:rStyle w:val="Strong"/>
          <w:sz w:val="14"/>
          <w:szCs w:val="14"/>
        </w:rPr>
        <w:t xml:space="preserve"> </w:t>
      </w:r>
      <w:r>
        <w:rPr>
          <w:rStyle w:val="Strong"/>
          <w:sz w:val="20"/>
          <w:szCs w:val="20"/>
        </w:rPr>
        <w:t>Organization and principal activities – continued</w:t>
      </w:r>
    </w:p>
    <w:p w14:paraId="19D6793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3F3D677" w14:textId="77777777" w:rsidR="00000000" w:rsidRDefault="00EB4933">
      <w:pPr>
        <w:pStyle w:val="NormalWeb"/>
        <w:spacing w:before="0" w:beforeAutospacing="0" w:after="0" w:afterAutospacing="0"/>
        <w:jc w:val="both"/>
        <w:divId w:val="98525094"/>
        <w:rPr>
          <w:sz w:val="20"/>
          <w:szCs w:val="20"/>
        </w:rPr>
      </w:pPr>
      <w:r>
        <w:rPr>
          <w:rStyle w:val="Emphasis"/>
          <w:sz w:val="20"/>
          <w:szCs w:val="20"/>
        </w:rPr>
        <w:t>The VIE arrangements</w:t>
      </w:r>
    </w:p>
    <w:p w14:paraId="4C777DA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F1B60A2" w14:textId="77777777" w:rsidR="00000000" w:rsidRDefault="00EB4933">
      <w:pPr>
        <w:pStyle w:val="NormalWeb"/>
        <w:spacing w:before="0" w:beforeAutospacing="0" w:after="0" w:afterAutospacing="0"/>
        <w:ind w:firstLine="675"/>
        <w:jc w:val="both"/>
        <w:divId w:val="98525094"/>
        <w:rPr>
          <w:sz w:val="20"/>
          <w:szCs w:val="20"/>
        </w:rPr>
      </w:pPr>
      <w:r>
        <w:rPr>
          <w:sz w:val="20"/>
          <w:szCs w:val="20"/>
        </w:rPr>
        <w:t>The following is a brief description of the VIE Agreements entered into on August 10, 2017, between Chutian Holding and the shareholders of Chutian, through which the Company controls 80% of Chutian:</w:t>
      </w:r>
    </w:p>
    <w:p w14:paraId="7856E3D7"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719"/>
        <w:gridCol w:w="530"/>
        <w:gridCol w:w="8111"/>
      </w:tblGrid>
      <w:tr w:rsidR="00000000" w14:paraId="5DA59B07" w14:textId="77777777">
        <w:trPr>
          <w:divId w:val="98525094"/>
          <w:trHeight w:val="225"/>
          <w:tblCellSpacing w:w="15" w:type="dxa"/>
        </w:trPr>
        <w:tc>
          <w:tcPr>
            <w:tcW w:w="400" w:type="pct"/>
            <w:vAlign w:val="center"/>
            <w:hideMark/>
          </w:tcPr>
          <w:p w14:paraId="386FA9C4"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2ED08504"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108BC8DE" w14:textId="77777777" w:rsidR="00000000" w:rsidRDefault="00EB4933">
            <w:pPr>
              <w:jc w:val="both"/>
              <w:rPr>
                <w:rFonts w:eastAsia="Times New Roman"/>
                <w:sz w:val="20"/>
                <w:szCs w:val="20"/>
              </w:rPr>
            </w:pPr>
            <w:r>
              <w:rPr>
                <w:rFonts w:eastAsia="Times New Roman"/>
                <w:sz w:val="20"/>
                <w:szCs w:val="20"/>
                <w:u w:val="single"/>
              </w:rPr>
              <w:t>Exclusive Consigned Management Service Agreement</w:t>
            </w:r>
            <w:r>
              <w:rPr>
                <w:rFonts w:eastAsia="Times New Roman"/>
                <w:sz w:val="20"/>
                <w:szCs w:val="20"/>
              </w:rPr>
              <w:t xml:space="preserve">. </w:t>
            </w:r>
            <w:r>
              <w:rPr>
                <w:rFonts w:eastAsia="Times New Roman"/>
                <w:sz w:val="20"/>
                <w:szCs w:val="20"/>
              </w:rPr>
              <w:t>Pursuant to the Exclusive Consigned Management Service Agreement between Chutian and Chutian Holding, Chutian Holding was appointed as the exclusive services provider to Chutian (including its subsidiaries, branches and any other invested entities) for the</w:t>
            </w:r>
            <w:r>
              <w:rPr>
                <w:rFonts w:eastAsia="Times New Roman"/>
                <w:sz w:val="20"/>
                <w:szCs w:val="20"/>
              </w:rPr>
              <w:t xml:space="preserve"> following services: comprehensive business support, including but not limited to, daily business management consulting, financial consulting, professionals and technical training during the term of this Agreement in accordance with the terms and condition</w:t>
            </w:r>
            <w:r>
              <w:rPr>
                <w:rFonts w:eastAsia="Times New Roman"/>
                <w:sz w:val="20"/>
                <w:szCs w:val="20"/>
              </w:rPr>
              <w:t xml:space="preserve">s of this </w:t>
            </w:r>
            <w:r>
              <w:rPr>
                <w:rFonts w:eastAsia="Times New Roman"/>
                <w:sz w:val="20"/>
                <w:szCs w:val="20"/>
              </w:rPr>
              <w:lastRenderedPageBreak/>
              <w:t>Agreement. For services rendered to Chutian by Chutian Holding under this Agreement, Chutian Holding is entitled to collect a service fee equal to 80% of the net operating income of Chutian (the “Service Fees”). The Service Fees are due and payab</w:t>
            </w:r>
            <w:r>
              <w:rPr>
                <w:rFonts w:eastAsia="Times New Roman"/>
                <w:sz w:val="20"/>
                <w:szCs w:val="20"/>
              </w:rPr>
              <w:t>le on a quarterly basis; provided, however, in principle, the payment of the Service Fees should not cause any difficulty to the operation of either party to this Agreement. The exclusive Consigned Management Service Agreement has a term of five (5) years.</w:t>
            </w:r>
            <w:r>
              <w:rPr>
                <w:rFonts w:eastAsia="Times New Roman"/>
                <w:sz w:val="20"/>
                <w:szCs w:val="20"/>
              </w:rPr>
              <w:t xml:space="preserve"> Chutian is not entitled to unilaterally terminate this Agreement.Chutian Holding has the right to terminate this Agreement by giving a thirty (30) day prior notice to Chutian. This Agreement could be extended based on the originally agreed terms upon expi</w:t>
            </w:r>
            <w:r>
              <w:rPr>
                <w:rFonts w:eastAsia="Times New Roman"/>
                <w:sz w:val="20"/>
                <w:szCs w:val="20"/>
              </w:rPr>
              <w:t>ration if Chutian Holding gives written confirmation before expiration of the agreement. The period of extension will be decided by Chutian Holding, which Chutian is required to unconditionally accept.</w:t>
            </w:r>
          </w:p>
        </w:tc>
      </w:tr>
      <w:tr w:rsidR="00000000" w14:paraId="093FB3BC" w14:textId="77777777">
        <w:trPr>
          <w:divId w:val="98525094"/>
          <w:trHeight w:val="225"/>
          <w:tblCellSpacing w:w="15" w:type="dxa"/>
        </w:trPr>
        <w:tc>
          <w:tcPr>
            <w:tcW w:w="0" w:type="auto"/>
            <w:vAlign w:val="center"/>
            <w:hideMark/>
          </w:tcPr>
          <w:p w14:paraId="35394618" w14:textId="77777777" w:rsidR="00000000" w:rsidRDefault="00EB4933">
            <w:pPr>
              <w:pStyle w:val="NormalWeb"/>
              <w:spacing w:before="0" w:beforeAutospacing="0" w:after="0" w:afterAutospacing="0"/>
              <w:jc w:val="both"/>
              <w:rPr>
                <w:sz w:val="20"/>
                <w:szCs w:val="20"/>
              </w:rPr>
            </w:pPr>
            <w:r>
              <w:rPr>
                <w:sz w:val="20"/>
                <w:szCs w:val="20"/>
              </w:rPr>
              <w:lastRenderedPageBreak/>
              <w:t> </w:t>
            </w:r>
          </w:p>
        </w:tc>
        <w:tc>
          <w:tcPr>
            <w:tcW w:w="0" w:type="auto"/>
            <w:vAlign w:val="center"/>
            <w:hideMark/>
          </w:tcPr>
          <w:p w14:paraId="7142C56E"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299D0E70"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24C54E2B" w14:textId="77777777">
        <w:trPr>
          <w:divId w:val="98525094"/>
          <w:trHeight w:val="225"/>
          <w:tblCellSpacing w:w="15" w:type="dxa"/>
        </w:trPr>
        <w:tc>
          <w:tcPr>
            <w:tcW w:w="0" w:type="auto"/>
            <w:vAlign w:val="center"/>
            <w:hideMark/>
          </w:tcPr>
          <w:p w14:paraId="6BDEECFD"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6236A0DE"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64C64155" w14:textId="77777777" w:rsidR="00000000" w:rsidRDefault="00EB4933">
            <w:pPr>
              <w:jc w:val="both"/>
              <w:rPr>
                <w:rFonts w:eastAsia="Times New Roman"/>
                <w:sz w:val="20"/>
                <w:szCs w:val="20"/>
              </w:rPr>
            </w:pPr>
            <w:r>
              <w:rPr>
                <w:rFonts w:eastAsia="Times New Roman"/>
                <w:sz w:val="20"/>
                <w:szCs w:val="20"/>
                <w:u w:val="single"/>
              </w:rPr>
              <w:t>Exclusive Purchase Option Agreement</w:t>
            </w:r>
            <w:r>
              <w:rPr>
                <w:rFonts w:eastAsia="Times New Roman"/>
                <w:sz w:val="20"/>
                <w:szCs w:val="20"/>
              </w:rPr>
              <w:t>. Under</w:t>
            </w:r>
            <w:r>
              <w:rPr>
                <w:rFonts w:eastAsia="Times New Roman"/>
                <w:sz w:val="20"/>
                <w:szCs w:val="20"/>
              </w:rPr>
              <w:t xml:space="preserve"> the Exclusive Purchase Option Agreement, Hubei New Nature Investment Co., Ltd, Qizhi Wei, Sizhi Yang, Yuyou Hu, Wanxin Deng, Jing Liang, Hailin Wang, and Wenting (Tina) Xiao (collectively “Shareholders holding 80% Equity Interests of Chutian”) irrevocably</w:t>
            </w:r>
            <w:r>
              <w:rPr>
                <w:rFonts w:eastAsia="Times New Roman"/>
                <w:sz w:val="20"/>
                <w:szCs w:val="20"/>
              </w:rPr>
              <w:t xml:space="preserve"> granted to Chutian Holding, or any third party designated by WFOE, an exclusive purchase option right, at any time to purchase all or part of such shareholders’ current and future equity interests in Chutian, to the extent permitted by PRC laws and regula</w:t>
            </w:r>
            <w:r>
              <w:rPr>
                <w:rFonts w:eastAsia="Times New Roman"/>
                <w:sz w:val="20"/>
                <w:szCs w:val="20"/>
              </w:rPr>
              <w:t>tions. Apart from Chutian Holding or any third party designated by Chutian Holding, no other person has the right to purchase such equity interests in Chutian. Shareholders holding 80% Equity Interests of Chutian are required to transfer their respective e</w:t>
            </w:r>
            <w:r>
              <w:rPr>
                <w:rFonts w:eastAsia="Times New Roman"/>
                <w:sz w:val="20"/>
                <w:szCs w:val="20"/>
              </w:rPr>
              <w:t>quity interests in Chutian to Chutian Holding in accordance with their percentage ownership of such equity interests provided Chutian Holding selects to purchase such shareholders’equity interests. Chutian irrevocably granted to Chutian Holding or any thir</w:t>
            </w:r>
            <w:r>
              <w:rPr>
                <w:rFonts w:eastAsia="Times New Roman"/>
                <w:sz w:val="20"/>
                <w:szCs w:val="20"/>
              </w:rPr>
              <w:t>d party designated by Chutian Holding an exclusive purchase option right, at any time to purchase all or a substantial part of Chutian’s assets, to the extent permitted by PRC laws and regulations.</w:t>
            </w:r>
          </w:p>
        </w:tc>
      </w:tr>
    </w:tbl>
    <w:p w14:paraId="40549DDD"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B5195C5" w14:textId="77777777">
        <w:trPr>
          <w:divId w:val="98525094"/>
          <w:trHeight w:val="225"/>
          <w:tblCellSpacing w:w="15" w:type="dxa"/>
        </w:trPr>
        <w:tc>
          <w:tcPr>
            <w:tcW w:w="0" w:type="auto"/>
            <w:vAlign w:val="center"/>
            <w:hideMark/>
          </w:tcPr>
          <w:p w14:paraId="093903C0" w14:textId="77777777" w:rsidR="00000000" w:rsidRDefault="00EB4933">
            <w:pPr>
              <w:rPr>
                <w:rFonts w:eastAsia="Times New Roman"/>
                <w:sz w:val="20"/>
                <w:szCs w:val="20"/>
              </w:rPr>
            </w:pPr>
            <w:r>
              <w:rPr>
                <w:rFonts w:eastAsia="Times New Roman"/>
                <w:sz w:val="20"/>
                <w:szCs w:val="20"/>
              </w:rPr>
              <w:t> </w:t>
            </w:r>
          </w:p>
        </w:tc>
      </w:tr>
      <w:tr w:rsidR="00000000" w14:paraId="6DFA3852" w14:textId="77777777">
        <w:trPr>
          <w:divId w:val="98525094"/>
          <w:trHeight w:val="225"/>
          <w:tblCellSpacing w:w="15" w:type="dxa"/>
        </w:trPr>
        <w:tc>
          <w:tcPr>
            <w:tcW w:w="0" w:type="auto"/>
            <w:tcBorders>
              <w:bottom w:val="single" w:sz="6" w:space="0" w:color="000000"/>
            </w:tcBorders>
            <w:vAlign w:val="center"/>
            <w:hideMark/>
          </w:tcPr>
          <w:p w14:paraId="33EB892C" w14:textId="77777777" w:rsidR="00000000" w:rsidRDefault="00EB4933">
            <w:pPr>
              <w:jc w:val="center"/>
              <w:rPr>
                <w:rFonts w:eastAsia="Times New Roman"/>
                <w:sz w:val="20"/>
                <w:szCs w:val="20"/>
              </w:rPr>
            </w:pPr>
            <w:r>
              <w:rPr>
                <w:rFonts w:eastAsia="Times New Roman"/>
                <w:sz w:val="20"/>
                <w:szCs w:val="20"/>
              </w:rPr>
              <w:t>F-13</w:t>
            </w:r>
          </w:p>
        </w:tc>
      </w:tr>
      <w:tr w:rsidR="00000000" w14:paraId="0DB0A582" w14:textId="77777777">
        <w:trPr>
          <w:divId w:val="98525094"/>
          <w:trHeight w:val="225"/>
          <w:tblCellSpacing w:w="15" w:type="dxa"/>
        </w:trPr>
        <w:tc>
          <w:tcPr>
            <w:tcW w:w="0" w:type="auto"/>
            <w:vAlign w:val="center"/>
            <w:hideMark/>
          </w:tcPr>
          <w:p w14:paraId="334F8BBD" w14:textId="77777777" w:rsidR="00000000" w:rsidRDefault="00EB4933">
            <w:pPr>
              <w:rPr>
                <w:rFonts w:eastAsia="Times New Roman"/>
                <w:sz w:val="20"/>
                <w:szCs w:val="20"/>
              </w:rPr>
            </w:pPr>
          </w:p>
        </w:tc>
      </w:tr>
      <w:tr w:rsidR="00000000" w14:paraId="02A79D20" w14:textId="77777777">
        <w:trPr>
          <w:divId w:val="98525094"/>
          <w:trHeight w:val="225"/>
          <w:tblCellSpacing w:w="15" w:type="dxa"/>
        </w:trPr>
        <w:tc>
          <w:tcPr>
            <w:tcW w:w="0" w:type="auto"/>
            <w:vAlign w:val="center"/>
            <w:hideMark/>
          </w:tcPr>
          <w:p w14:paraId="4CCA2984" w14:textId="77777777" w:rsidR="00000000" w:rsidRDefault="00EB4933">
            <w:pPr>
              <w:rPr>
                <w:rFonts w:eastAsia="Times New Roman"/>
                <w:sz w:val="20"/>
                <w:szCs w:val="20"/>
              </w:rPr>
            </w:pPr>
            <w:hyperlink r:id="rId230" w:anchor="finindex" w:history="1">
              <w:r>
                <w:rPr>
                  <w:rStyle w:val="Hyperlink"/>
                  <w:rFonts w:eastAsia="Times New Roman"/>
                  <w:i/>
                  <w:iCs/>
                  <w:sz w:val="20"/>
                  <w:szCs w:val="20"/>
                </w:rPr>
                <w:t>Table of Contents</w:t>
              </w:r>
            </w:hyperlink>
          </w:p>
        </w:tc>
      </w:tr>
    </w:tbl>
    <w:p w14:paraId="734384E0"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004D84AF"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38E7E8FE"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33E233B0"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FOR THE FINANCIAL YEAR ENDED 2017, 2018 AND 2019 </w:t>
      </w:r>
    </w:p>
    <w:p w14:paraId="07E5BFE2"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13FEE585" w14:textId="77777777" w:rsidR="00000000" w:rsidRDefault="00EB4933">
      <w:pPr>
        <w:pStyle w:val="NormalWeb"/>
        <w:spacing w:before="0" w:beforeAutospacing="0" w:after="0" w:afterAutospacing="0"/>
        <w:jc w:val="both"/>
        <w:divId w:val="98525094"/>
        <w:rPr>
          <w:sz w:val="20"/>
          <w:szCs w:val="20"/>
        </w:rPr>
      </w:pPr>
      <w:r>
        <w:rPr>
          <w:rStyle w:val="Strong"/>
          <w:sz w:val="20"/>
          <w:szCs w:val="20"/>
        </w:rPr>
        <w:t>1. Organization and principal activities – continued</w:t>
      </w:r>
    </w:p>
    <w:p w14:paraId="34B7DD6F"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0CB6B50F" w14:textId="77777777" w:rsidR="00000000" w:rsidRDefault="00EB4933">
      <w:pPr>
        <w:pStyle w:val="NormalWeb"/>
        <w:spacing w:before="0" w:beforeAutospacing="0" w:after="0" w:afterAutospacing="0"/>
        <w:ind w:left="675"/>
        <w:jc w:val="both"/>
        <w:divId w:val="98525094"/>
        <w:rPr>
          <w:sz w:val="20"/>
          <w:szCs w:val="20"/>
        </w:rPr>
      </w:pPr>
      <w:r>
        <w:rPr>
          <w:rStyle w:val="Emphasis"/>
          <w:sz w:val="20"/>
          <w:szCs w:val="20"/>
        </w:rPr>
        <w:t>T</w:t>
      </w:r>
      <w:r>
        <w:rPr>
          <w:rStyle w:val="Emphasis"/>
          <w:sz w:val="20"/>
          <w:szCs w:val="20"/>
        </w:rPr>
        <w:t>he VIE arrangements - continued</w:t>
      </w:r>
    </w:p>
    <w:p w14:paraId="584CA9BC"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784"/>
        <w:gridCol w:w="400"/>
        <w:gridCol w:w="8176"/>
      </w:tblGrid>
      <w:tr w:rsidR="00000000" w14:paraId="3A052401" w14:textId="77777777">
        <w:trPr>
          <w:divId w:val="98525094"/>
          <w:trHeight w:val="225"/>
          <w:tblCellSpacing w:w="15" w:type="dxa"/>
        </w:trPr>
        <w:tc>
          <w:tcPr>
            <w:tcW w:w="400" w:type="pct"/>
            <w:vAlign w:val="center"/>
            <w:hideMark/>
          </w:tcPr>
          <w:p w14:paraId="10186E5C"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144E89D4"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240A4BA8" w14:textId="77777777" w:rsidR="00000000" w:rsidRDefault="00EB4933">
            <w:pPr>
              <w:jc w:val="both"/>
              <w:rPr>
                <w:rFonts w:eastAsia="Times New Roman"/>
                <w:sz w:val="20"/>
                <w:szCs w:val="20"/>
              </w:rPr>
            </w:pPr>
            <w:r>
              <w:rPr>
                <w:rFonts w:eastAsia="Times New Roman"/>
                <w:sz w:val="20"/>
                <w:szCs w:val="20"/>
                <w:u w:val="single"/>
              </w:rPr>
              <w:t>Shareholders’ Voting Proxy Agreement</w:t>
            </w:r>
            <w:r>
              <w:rPr>
                <w:rFonts w:eastAsia="Times New Roman"/>
                <w:sz w:val="20"/>
                <w:szCs w:val="20"/>
              </w:rPr>
              <w:t>. Under the Voting Proxy Agreement, the Shareholders holding 80% Equity Interests of Chutian irrevocably granted and entrusted Chutian Holding or their designee to be their exclusive proxy to exercise their voting rights that they would have at a sharehold</w:t>
            </w:r>
            <w:r>
              <w:rPr>
                <w:rFonts w:eastAsia="Times New Roman"/>
                <w:sz w:val="20"/>
                <w:szCs w:val="20"/>
              </w:rPr>
              <w:t>ers’ meeting or by written consent for the maximum period permitted pursuant to the PRC laws and in accordance with and within the limitations of the PRC laws and the then effective articles of association of Chutian, including but not limited to, the foll</w:t>
            </w:r>
            <w:r>
              <w:rPr>
                <w:rFonts w:eastAsia="Times New Roman"/>
                <w:sz w:val="20"/>
                <w:szCs w:val="20"/>
              </w:rPr>
              <w:t>owing rights:</w:t>
            </w:r>
          </w:p>
        </w:tc>
      </w:tr>
    </w:tbl>
    <w:p w14:paraId="72430823"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1088"/>
        <w:gridCol w:w="530"/>
        <w:gridCol w:w="7742"/>
      </w:tblGrid>
      <w:tr w:rsidR="00000000" w14:paraId="29D7B0A3" w14:textId="77777777">
        <w:trPr>
          <w:divId w:val="98525094"/>
          <w:trHeight w:val="225"/>
          <w:tblCellSpacing w:w="15" w:type="dxa"/>
        </w:trPr>
        <w:tc>
          <w:tcPr>
            <w:tcW w:w="600" w:type="pct"/>
            <w:vAlign w:val="center"/>
            <w:hideMark/>
          </w:tcPr>
          <w:p w14:paraId="109C1563"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4EED3561" w14:textId="77777777" w:rsidR="00000000" w:rsidRDefault="00EB4933">
            <w:pPr>
              <w:pStyle w:val="NormalWeb"/>
              <w:spacing w:before="0" w:beforeAutospacing="0" w:after="0" w:afterAutospacing="0"/>
              <w:rPr>
                <w:sz w:val="20"/>
                <w:szCs w:val="20"/>
              </w:rPr>
            </w:pPr>
            <w:r>
              <w:rPr>
                <w:sz w:val="20"/>
                <w:szCs w:val="20"/>
              </w:rPr>
              <w:t xml:space="preserve">(a) </w:t>
            </w:r>
          </w:p>
        </w:tc>
        <w:tc>
          <w:tcPr>
            <w:tcW w:w="0" w:type="auto"/>
            <w:hideMark/>
          </w:tcPr>
          <w:p w14:paraId="7D25AFD6" w14:textId="77777777" w:rsidR="00000000" w:rsidRDefault="00EB4933">
            <w:pPr>
              <w:rPr>
                <w:rFonts w:eastAsia="Times New Roman"/>
                <w:sz w:val="20"/>
                <w:szCs w:val="20"/>
              </w:rPr>
            </w:pPr>
            <w:r>
              <w:rPr>
                <w:rFonts w:eastAsia="Times New Roman"/>
                <w:sz w:val="20"/>
                <w:szCs w:val="20"/>
              </w:rPr>
              <w:t xml:space="preserve">to attend and participate in the shareholders’ meetings of Chutian as the voting proxy of the Shareholders holding 80% Equity Interests of Chutian; </w:t>
            </w:r>
          </w:p>
        </w:tc>
      </w:tr>
      <w:tr w:rsidR="00000000" w14:paraId="614EE408" w14:textId="77777777">
        <w:trPr>
          <w:divId w:val="98525094"/>
          <w:trHeight w:val="225"/>
          <w:tblCellSpacing w:w="15" w:type="dxa"/>
        </w:trPr>
        <w:tc>
          <w:tcPr>
            <w:tcW w:w="0" w:type="auto"/>
            <w:vAlign w:val="center"/>
            <w:hideMark/>
          </w:tcPr>
          <w:p w14:paraId="52A0157C"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62651FB2"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5C7DCDD9" w14:textId="77777777" w:rsidR="00000000" w:rsidRDefault="00EB4933">
            <w:pPr>
              <w:pStyle w:val="NormalWeb"/>
              <w:spacing w:before="0" w:beforeAutospacing="0" w:after="0" w:afterAutospacing="0"/>
              <w:rPr>
                <w:sz w:val="20"/>
                <w:szCs w:val="20"/>
              </w:rPr>
            </w:pPr>
            <w:r>
              <w:rPr>
                <w:sz w:val="20"/>
                <w:szCs w:val="20"/>
              </w:rPr>
              <w:t> </w:t>
            </w:r>
          </w:p>
        </w:tc>
      </w:tr>
      <w:tr w:rsidR="00000000" w14:paraId="7BA36600" w14:textId="77777777">
        <w:trPr>
          <w:divId w:val="98525094"/>
          <w:trHeight w:val="225"/>
          <w:tblCellSpacing w:w="15" w:type="dxa"/>
        </w:trPr>
        <w:tc>
          <w:tcPr>
            <w:tcW w:w="0" w:type="auto"/>
            <w:vAlign w:val="center"/>
            <w:hideMark/>
          </w:tcPr>
          <w:p w14:paraId="2A8EFDD2"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4AAC1EE1" w14:textId="77777777" w:rsidR="00000000" w:rsidRDefault="00EB4933">
            <w:pPr>
              <w:pStyle w:val="NormalWeb"/>
              <w:spacing w:before="0" w:beforeAutospacing="0" w:after="0" w:afterAutospacing="0"/>
              <w:rPr>
                <w:sz w:val="20"/>
                <w:szCs w:val="20"/>
              </w:rPr>
            </w:pPr>
            <w:r>
              <w:rPr>
                <w:sz w:val="20"/>
                <w:szCs w:val="20"/>
              </w:rPr>
              <w:t xml:space="preserve">(b) </w:t>
            </w:r>
          </w:p>
        </w:tc>
        <w:tc>
          <w:tcPr>
            <w:tcW w:w="0" w:type="auto"/>
            <w:hideMark/>
          </w:tcPr>
          <w:p w14:paraId="4829836A" w14:textId="77777777" w:rsidR="00000000" w:rsidRDefault="00EB4933">
            <w:pPr>
              <w:rPr>
                <w:rFonts w:eastAsia="Times New Roman"/>
                <w:sz w:val="20"/>
                <w:szCs w:val="20"/>
              </w:rPr>
            </w:pPr>
            <w:r>
              <w:rPr>
                <w:rFonts w:eastAsia="Times New Roman"/>
                <w:sz w:val="20"/>
                <w:szCs w:val="20"/>
              </w:rPr>
              <w:t>to vote on the matters proposed at the shareholders’ meetings, inclu</w:t>
            </w:r>
            <w:r>
              <w:rPr>
                <w:rFonts w:eastAsia="Times New Roman"/>
                <w:sz w:val="20"/>
                <w:szCs w:val="20"/>
              </w:rPr>
              <w:t xml:space="preserve">ding, but not limited to, voting on the appointment and election of the directors and supervisors of Chutian; </w:t>
            </w:r>
          </w:p>
        </w:tc>
      </w:tr>
      <w:tr w:rsidR="00000000" w14:paraId="178C0E22" w14:textId="77777777">
        <w:trPr>
          <w:divId w:val="98525094"/>
          <w:trHeight w:val="225"/>
          <w:tblCellSpacing w:w="15" w:type="dxa"/>
        </w:trPr>
        <w:tc>
          <w:tcPr>
            <w:tcW w:w="0" w:type="auto"/>
            <w:vAlign w:val="center"/>
            <w:hideMark/>
          </w:tcPr>
          <w:p w14:paraId="468D0ECD"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2C7DB19B"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6D1346B2" w14:textId="77777777" w:rsidR="00000000" w:rsidRDefault="00EB4933">
            <w:pPr>
              <w:pStyle w:val="NormalWeb"/>
              <w:spacing w:before="0" w:beforeAutospacing="0" w:after="0" w:afterAutospacing="0"/>
              <w:rPr>
                <w:sz w:val="20"/>
                <w:szCs w:val="20"/>
              </w:rPr>
            </w:pPr>
            <w:r>
              <w:rPr>
                <w:sz w:val="20"/>
                <w:szCs w:val="20"/>
              </w:rPr>
              <w:t> </w:t>
            </w:r>
          </w:p>
        </w:tc>
      </w:tr>
      <w:tr w:rsidR="00000000" w14:paraId="6FC2DB69" w14:textId="77777777">
        <w:trPr>
          <w:divId w:val="98525094"/>
          <w:trHeight w:val="225"/>
          <w:tblCellSpacing w:w="15" w:type="dxa"/>
        </w:trPr>
        <w:tc>
          <w:tcPr>
            <w:tcW w:w="0" w:type="auto"/>
            <w:vAlign w:val="center"/>
            <w:hideMark/>
          </w:tcPr>
          <w:p w14:paraId="7306DE61"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698E19A2" w14:textId="77777777" w:rsidR="00000000" w:rsidRDefault="00EB4933">
            <w:pPr>
              <w:pStyle w:val="NormalWeb"/>
              <w:spacing w:before="0" w:beforeAutospacing="0" w:after="0" w:afterAutospacing="0"/>
              <w:rPr>
                <w:sz w:val="20"/>
                <w:szCs w:val="20"/>
              </w:rPr>
            </w:pPr>
            <w:r>
              <w:rPr>
                <w:sz w:val="20"/>
                <w:szCs w:val="20"/>
              </w:rPr>
              <w:t xml:space="preserve">(c) </w:t>
            </w:r>
          </w:p>
        </w:tc>
        <w:tc>
          <w:tcPr>
            <w:tcW w:w="0" w:type="auto"/>
            <w:hideMark/>
          </w:tcPr>
          <w:p w14:paraId="0B7A595C" w14:textId="77777777" w:rsidR="00000000" w:rsidRDefault="00EB4933">
            <w:pPr>
              <w:rPr>
                <w:rFonts w:eastAsia="Times New Roman"/>
                <w:sz w:val="20"/>
                <w:szCs w:val="20"/>
              </w:rPr>
            </w:pPr>
            <w:r>
              <w:rPr>
                <w:rFonts w:eastAsia="Times New Roman"/>
                <w:sz w:val="20"/>
                <w:szCs w:val="20"/>
              </w:rPr>
              <w:t>to suggest convening the shareholders’ meetings of Chutian; and</w:t>
            </w:r>
          </w:p>
        </w:tc>
      </w:tr>
      <w:tr w:rsidR="00000000" w14:paraId="38A6773A" w14:textId="77777777">
        <w:trPr>
          <w:divId w:val="98525094"/>
          <w:trHeight w:val="225"/>
          <w:tblCellSpacing w:w="15" w:type="dxa"/>
        </w:trPr>
        <w:tc>
          <w:tcPr>
            <w:tcW w:w="0" w:type="auto"/>
            <w:vAlign w:val="center"/>
            <w:hideMark/>
          </w:tcPr>
          <w:p w14:paraId="216845CE"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384AB0A6"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2467AEB7" w14:textId="77777777" w:rsidR="00000000" w:rsidRDefault="00EB4933">
            <w:pPr>
              <w:pStyle w:val="NormalWeb"/>
              <w:spacing w:before="0" w:beforeAutospacing="0" w:after="0" w:afterAutospacing="0"/>
              <w:rPr>
                <w:sz w:val="20"/>
                <w:szCs w:val="20"/>
              </w:rPr>
            </w:pPr>
            <w:r>
              <w:rPr>
                <w:sz w:val="20"/>
                <w:szCs w:val="20"/>
              </w:rPr>
              <w:t> </w:t>
            </w:r>
          </w:p>
        </w:tc>
      </w:tr>
      <w:tr w:rsidR="00000000" w14:paraId="7CCB968C" w14:textId="77777777">
        <w:trPr>
          <w:divId w:val="98525094"/>
          <w:trHeight w:val="225"/>
          <w:tblCellSpacing w:w="15" w:type="dxa"/>
        </w:trPr>
        <w:tc>
          <w:tcPr>
            <w:tcW w:w="0" w:type="auto"/>
            <w:vAlign w:val="center"/>
            <w:hideMark/>
          </w:tcPr>
          <w:p w14:paraId="6538B041" w14:textId="77777777" w:rsidR="00000000" w:rsidRDefault="00EB4933">
            <w:pPr>
              <w:pStyle w:val="NormalWeb"/>
              <w:spacing w:before="0" w:beforeAutospacing="0" w:after="0" w:afterAutospacing="0"/>
              <w:rPr>
                <w:sz w:val="20"/>
                <w:szCs w:val="20"/>
              </w:rPr>
            </w:pPr>
            <w:r>
              <w:rPr>
                <w:sz w:val="20"/>
                <w:szCs w:val="20"/>
              </w:rPr>
              <w:lastRenderedPageBreak/>
              <w:t> </w:t>
            </w:r>
          </w:p>
        </w:tc>
        <w:tc>
          <w:tcPr>
            <w:tcW w:w="0" w:type="auto"/>
            <w:hideMark/>
          </w:tcPr>
          <w:p w14:paraId="4ACE92B1" w14:textId="77777777" w:rsidR="00000000" w:rsidRDefault="00EB4933">
            <w:pPr>
              <w:pStyle w:val="NormalWeb"/>
              <w:spacing w:before="0" w:beforeAutospacing="0" w:after="0" w:afterAutospacing="0"/>
              <w:rPr>
                <w:sz w:val="20"/>
                <w:szCs w:val="20"/>
              </w:rPr>
            </w:pPr>
            <w:r>
              <w:rPr>
                <w:sz w:val="20"/>
                <w:szCs w:val="20"/>
              </w:rPr>
              <w:t xml:space="preserve">(d) </w:t>
            </w:r>
          </w:p>
        </w:tc>
        <w:tc>
          <w:tcPr>
            <w:tcW w:w="0" w:type="auto"/>
            <w:hideMark/>
          </w:tcPr>
          <w:p w14:paraId="71DE6B69" w14:textId="77777777" w:rsidR="00000000" w:rsidRDefault="00EB4933">
            <w:pPr>
              <w:rPr>
                <w:rFonts w:eastAsia="Times New Roman"/>
                <w:sz w:val="20"/>
                <w:szCs w:val="20"/>
              </w:rPr>
            </w:pPr>
            <w:r>
              <w:rPr>
                <w:rFonts w:eastAsia="Times New Roman"/>
                <w:sz w:val="20"/>
                <w:szCs w:val="20"/>
              </w:rPr>
              <w:t xml:space="preserve">all other voting rights entitled to the shareholders of Chutian as stipulated in the articles of association of Chutian, as amended from time to time. </w:t>
            </w:r>
          </w:p>
        </w:tc>
      </w:tr>
    </w:tbl>
    <w:p w14:paraId="295B7F5B"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784"/>
        <w:gridCol w:w="400"/>
        <w:gridCol w:w="8176"/>
      </w:tblGrid>
      <w:tr w:rsidR="00000000" w14:paraId="0BCA8FF6" w14:textId="77777777">
        <w:trPr>
          <w:divId w:val="98525094"/>
          <w:trHeight w:val="225"/>
          <w:tblCellSpacing w:w="15" w:type="dxa"/>
        </w:trPr>
        <w:tc>
          <w:tcPr>
            <w:tcW w:w="400" w:type="pct"/>
            <w:vAlign w:val="center"/>
            <w:hideMark/>
          </w:tcPr>
          <w:p w14:paraId="3631A1B2"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29150920"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270BD3D6" w14:textId="77777777" w:rsidR="00000000" w:rsidRDefault="00EB4933">
            <w:pPr>
              <w:jc w:val="both"/>
              <w:rPr>
                <w:rFonts w:eastAsia="Times New Roman"/>
                <w:sz w:val="20"/>
                <w:szCs w:val="20"/>
              </w:rPr>
            </w:pPr>
            <w:r>
              <w:rPr>
                <w:rFonts w:eastAsia="Times New Roman"/>
                <w:sz w:val="20"/>
                <w:szCs w:val="20"/>
                <w:u w:val="single"/>
              </w:rPr>
              <w:t>Share Pledge Agreement</w:t>
            </w:r>
            <w:r>
              <w:rPr>
                <w:rFonts w:eastAsia="Times New Roman"/>
                <w:sz w:val="20"/>
                <w:szCs w:val="20"/>
              </w:rPr>
              <w:t>. Under the Share Pledge Agreement, the Shareholders holding 80% Equity Int</w:t>
            </w:r>
            <w:r>
              <w:rPr>
                <w:rFonts w:eastAsia="Times New Roman"/>
                <w:sz w:val="20"/>
                <w:szCs w:val="20"/>
              </w:rPr>
              <w:t>erests of Chutian pledged all of their equity interests in Chutian to Chutian Holding to guarantee the performance of Chutian’s obligations under the Exclusive Consigned Management Agreement, Shareholders Voting Proxy Agreement and Exclusive Purchase Optio</w:t>
            </w:r>
            <w:r>
              <w:rPr>
                <w:rFonts w:eastAsia="Times New Roman"/>
                <w:sz w:val="20"/>
                <w:szCs w:val="20"/>
              </w:rPr>
              <w:t>n Agreement (the “Main Agreements”). The equity pledge under the agreement constitutes a continuous guarantee and remains effective before fulfillment of the obligations under the Main Agreements or full repayment of the guaranteed liability.</w:t>
            </w:r>
          </w:p>
        </w:tc>
      </w:tr>
    </w:tbl>
    <w:p w14:paraId="7501945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8A42AB0" w14:textId="77777777" w:rsidR="00000000" w:rsidRDefault="00EB4933">
      <w:pPr>
        <w:pStyle w:val="NormalWeb"/>
        <w:spacing w:before="0" w:beforeAutospacing="0" w:after="0" w:afterAutospacing="0"/>
        <w:jc w:val="both"/>
        <w:divId w:val="98525094"/>
        <w:rPr>
          <w:sz w:val="20"/>
          <w:szCs w:val="20"/>
        </w:rPr>
      </w:pPr>
      <w:r>
        <w:rPr>
          <w:sz w:val="20"/>
          <w:szCs w:val="20"/>
        </w:rPr>
        <w:t>Through the above contractual arrangements, Chutian Holdings, has obtained 80% of shareholders’ voting interest in the VIEs, has the right to receive all dividends declared and paid by the VIEs and may receive substantially all of the net income of the VIE</w:t>
      </w:r>
      <w:r>
        <w:rPr>
          <w:sz w:val="20"/>
          <w:szCs w:val="20"/>
        </w:rPr>
        <w:t xml:space="preserve">s through the technical support and service fees as determined by Chutian Holdings at its sole discretion. Accordingly, the Group has consolidated the VIEs because the Group believes, through the contractual arrangements, (1) Chutian Holdings could direct </w:t>
      </w:r>
      <w:r>
        <w:rPr>
          <w:sz w:val="20"/>
          <w:szCs w:val="20"/>
        </w:rPr>
        <w:t>the activities of the VIEs that most significantly affect its economic performance and (2) Chutian Holdings could receive substantially all of the benefits that could be potentially significant to the VIEs.</w:t>
      </w:r>
    </w:p>
    <w:p w14:paraId="2D068991"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862C300" w14:textId="77777777">
        <w:trPr>
          <w:divId w:val="98525094"/>
          <w:trHeight w:val="225"/>
          <w:tblCellSpacing w:w="15" w:type="dxa"/>
        </w:trPr>
        <w:tc>
          <w:tcPr>
            <w:tcW w:w="0" w:type="auto"/>
            <w:vAlign w:val="center"/>
            <w:hideMark/>
          </w:tcPr>
          <w:p w14:paraId="6ED83B2B" w14:textId="77777777" w:rsidR="00000000" w:rsidRDefault="00EB4933">
            <w:pPr>
              <w:rPr>
                <w:rFonts w:eastAsia="Times New Roman"/>
                <w:sz w:val="20"/>
                <w:szCs w:val="20"/>
              </w:rPr>
            </w:pPr>
            <w:r>
              <w:rPr>
                <w:rFonts w:eastAsia="Times New Roman"/>
                <w:sz w:val="20"/>
                <w:szCs w:val="20"/>
              </w:rPr>
              <w:t> </w:t>
            </w:r>
          </w:p>
        </w:tc>
      </w:tr>
      <w:tr w:rsidR="00000000" w14:paraId="466A1901" w14:textId="77777777">
        <w:trPr>
          <w:divId w:val="98525094"/>
          <w:trHeight w:val="225"/>
          <w:tblCellSpacing w:w="15" w:type="dxa"/>
        </w:trPr>
        <w:tc>
          <w:tcPr>
            <w:tcW w:w="0" w:type="auto"/>
            <w:tcBorders>
              <w:bottom w:val="single" w:sz="6" w:space="0" w:color="000000"/>
            </w:tcBorders>
            <w:vAlign w:val="center"/>
            <w:hideMark/>
          </w:tcPr>
          <w:p w14:paraId="7FDFC3DE" w14:textId="77777777" w:rsidR="00000000" w:rsidRDefault="00EB4933">
            <w:pPr>
              <w:jc w:val="center"/>
              <w:rPr>
                <w:rFonts w:eastAsia="Times New Roman"/>
                <w:sz w:val="20"/>
                <w:szCs w:val="20"/>
              </w:rPr>
            </w:pPr>
            <w:r>
              <w:rPr>
                <w:rFonts w:eastAsia="Times New Roman"/>
                <w:sz w:val="20"/>
                <w:szCs w:val="20"/>
              </w:rPr>
              <w:t>F-14</w:t>
            </w:r>
          </w:p>
        </w:tc>
      </w:tr>
      <w:tr w:rsidR="00000000" w14:paraId="20E98511" w14:textId="77777777">
        <w:trPr>
          <w:divId w:val="98525094"/>
          <w:trHeight w:val="225"/>
          <w:tblCellSpacing w:w="15" w:type="dxa"/>
        </w:trPr>
        <w:tc>
          <w:tcPr>
            <w:tcW w:w="0" w:type="auto"/>
            <w:vAlign w:val="center"/>
            <w:hideMark/>
          </w:tcPr>
          <w:p w14:paraId="6F4E10DB" w14:textId="77777777" w:rsidR="00000000" w:rsidRDefault="00EB4933">
            <w:pPr>
              <w:rPr>
                <w:rFonts w:eastAsia="Times New Roman"/>
                <w:sz w:val="20"/>
                <w:szCs w:val="20"/>
              </w:rPr>
            </w:pPr>
          </w:p>
        </w:tc>
      </w:tr>
      <w:tr w:rsidR="00000000" w14:paraId="2DD619DB" w14:textId="77777777">
        <w:trPr>
          <w:divId w:val="98525094"/>
          <w:trHeight w:val="225"/>
          <w:tblCellSpacing w:w="15" w:type="dxa"/>
        </w:trPr>
        <w:tc>
          <w:tcPr>
            <w:tcW w:w="0" w:type="auto"/>
            <w:vAlign w:val="center"/>
            <w:hideMark/>
          </w:tcPr>
          <w:p w14:paraId="39A2990B" w14:textId="77777777" w:rsidR="00000000" w:rsidRDefault="00EB4933">
            <w:pPr>
              <w:rPr>
                <w:rFonts w:eastAsia="Times New Roman"/>
                <w:sz w:val="20"/>
                <w:szCs w:val="20"/>
              </w:rPr>
            </w:pPr>
            <w:hyperlink r:id="rId231" w:anchor="finindex" w:history="1">
              <w:r>
                <w:rPr>
                  <w:rStyle w:val="Hyperlink"/>
                  <w:rFonts w:eastAsia="Times New Roman"/>
                  <w:i/>
                  <w:iCs/>
                  <w:sz w:val="20"/>
                  <w:szCs w:val="20"/>
                </w:rPr>
                <w:t>Table of Contents</w:t>
              </w:r>
            </w:hyperlink>
          </w:p>
        </w:tc>
      </w:tr>
    </w:tbl>
    <w:p w14:paraId="09AABEC1"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76649D92"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0CFDD15E"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0055C936"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FOR THE FINANCIAL YEAR ENDED 2017, 2018 AND 2019 </w:t>
      </w:r>
    </w:p>
    <w:p w14:paraId="7614C9B9"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168BA563" w14:textId="77777777" w:rsidR="00000000" w:rsidRDefault="00EB4933">
      <w:pPr>
        <w:pStyle w:val="NormalWeb"/>
        <w:spacing w:before="0" w:beforeAutospacing="0" w:after="0" w:afterAutospacing="0"/>
        <w:jc w:val="both"/>
        <w:divId w:val="98525094"/>
        <w:rPr>
          <w:sz w:val="20"/>
          <w:szCs w:val="20"/>
        </w:rPr>
      </w:pPr>
      <w:r>
        <w:rPr>
          <w:rStyle w:val="Strong"/>
          <w:sz w:val="20"/>
          <w:szCs w:val="20"/>
        </w:rPr>
        <w:t>1.</w:t>
      </w:r>
      <w:r>
        <w:rPr>
          <w:rStyle w:val="Strong"/>
          <w:sz w:val="14"/>
          <w:szCs w:val="14"/>
        </w:rPr>
        <w:t xml:space="preserve"> </w:t>
      </w:r>
      <w:r>
        <w:rPr>
          <w:rStyle w:val="Strong"/>
          <w:sz w:val="20"/>
          <w:szCs w:val="20"/>
        </w:rPr>
        <w:t>Organization and principal activities – continued</w:t>
      </w:r>
    </w:p>
    <w:p w14:paraId="06548D7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4C431DF" w14:textId="77777777" w:rsidR="00000000" w:rsidRDefault="00EB4933">
      <w:pPr>
        <w:pStyle w:val="NormalWeb"/>
        <w:spacing w:before="0" w:beforeAutospacing="0" w:after="0" w:afterAutospacing="0"/>
        <w:ind w:left="675"/>
        <w:jc w:val="both"/>
        <w:divId w:val="98525094"/>
        <w:rPr>
          <w:sz w:val="20"/>
          <w:szCs w:val="20"/>
        </w:rPr>
      </w:pPr>
      <w:r>
        <w:rPr>
          <w:rStyle w:val="Emphasis"/>
          <w:sz w:val="20"/>
          <w:szCs w:val="20"/>
        </w:rPr>
        <w:t>Risks in relation to the VIE structure</w:t>
      </w:r>
    </w:p>
    <w:p w14:paraId="25BA2CD4"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72567B62" w14:textId="77777777" w:rsidR="00000000" w:rsidRDefault="00EB4933">
      <w:pPr>
        <w:pStyle w:val="NormalWeb"/>
        <w:spacing w:before="0" w:beforeAutospacing="0" w:after="0" w:afterAutospacing="0"/>
        <w:ind w:left="675"/>
        <w:jc w:val="both"/>
        <w:divId w:val="98525094"/>
        <w:rPr>
          <w:sz w:val="20"/>
          <w:szCs w:val="20"/>
        </w:rPr>
      </w:pPr>
      <w:r>
        <w:rPr>
          <w:sz w:val="20"/>
          <w:szCs w:val="20"/>
        </w:rPr>
        <w:t>The Group believes that the VIE arrangements are in compliance with PRC law and are legally enforceable. The shareholders of the VIEs are also shareholders of the Group and therefore have no current interest in seek</w:t>
      </w:r>
      <w:r>
        <w:rPr>
          <w:sz w:val="20"/>
          <w:szCs w:val="20"/>
        </w:rPr>
        <w:t>ing to act contrary to the contractual arrangements. However, uncertainties in the PRC legal system could limit the Group’s ability to enforce these contractual arrangements and if the shareholders of the VIEs were to reduce their interest in the Group, th</w:t>
      </w:r>
      <w:r>
        <w:rPr>
          <w:sz w:val="20"/>
          <w:szCs w:val="20"/>
        </w:rPr>
        <w:t>eir interests may diverge from that of the Group and that may potentially increase the risk that they would seek to act contrary to the contractual terms, for example by influencing the VIEs not to pay the service fees when required to do so.</w:t>
      </w:r>
    </w:p>
    <w:p w14:paraId="7AC84B8B"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710717E4" w14:textId="77777777" w:rsidR="00000000" w:rsidRDefault="00EB4933">
      <w:pPr>
        <w:pStyle w:val="NormalWeb"/>
        <w:spacing w:before="0" w:beforeAutospacing="0" w:after="0" w:afterAutospacing="0"/>
        <w:ind w:left="675"/>
        <w:jc w:val="both"/>
        <w:divId w:val="98525094"/>
        <w:rPr>
          <w:sz w:val="20"/>
          <w:szCs w:val="20"/>
        </w:rPr>
      </w:pPr>
      <w:r>
        <w:rPr>
          <w:sz w:val="20"/>
          <w:szCs w:val="20"/>
        </w:rPr>
        <w:t>The Group’s</w:t>
      </w:r>
      <w:r>
        <w:rPr>
          <w:sz w:val="20"/>
          <w:szCs w:val="20"/>
        </w:rPr>
        <w:t xml:space="preserve"> ability to control the VIEs also depends on the authorization letters that Chutian Holdings has to vote on all matters requiring shareholder approval in the VIEs. As noted above, the Group believes the rights granted by the authorization letters is legall</w:t>
      </w:r>
      <w:r>
        <w:rPr>
          <w:sz w:val="20"/>
          <w:szCs w:val="20"/>
        </w:rPr>
        <w:t>y enforceable but may not be as effective as direct equity ownership.</w:t>
      </w:r>
    </w:p>
    <w:p w14:paraId="382C8488"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1EE5353E" w14:textId="77777777" w:rsidR="00000000" w:rsidRDefault="00EB4933">
      <w:pPr>
        <w:pStyle w:val="NormalWeb"/>
        <w:spacing w:before="0" w:beforeAutospacing="0" w:after="0" w:afterAutospacing="0"/>
        <w:ind w:left="675"/>
        <w:jc w:val="both"/>
        <w:divId w:val="98525094"/>
        <w:rPr>
          <w:sz w:val="20"/>
          <w:szCs w:val="20"/>
        </w:rPr>
      </w:pPr>
      <w:r>
        <w:rPr>
          <w:sz w:val="20"/>
          <w:szCs w:val="20"/>
        </w:rPr>
        <w:t>In addition, if the legal structure and contractual arrangements were found to be in violation of any existing PRC laws and regulations, the PRC government could:</w:t>
      </w:r>
    </w:p>
    <w:p w14:paraId="5A384B36"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0201DED9" w14:textId="77777777">
        <w:trPr>
          <w:divId w:val="98525094"/>
          <w:trHeight w:val="225"/>
          <w:tblCellSpacing w:w="15" w:type="dxa"/>
        </w:trPr>
        <w:tc>
          <w:tcPr>
            <w:tcW w:w="200" w:type="pct"/>
            <w:vAlign w:val="center"/>
            <w:hideMark/>
          </w:tcPr>
          <w:p w14:paraId="3CAA3F98"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6A56700D"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111587A7" w14:textId="77777777" w:rsidR="00000000" w:rsidRDefault="00EB4933">
            <w:pPr>
              <w:pStyle w:val="NormalWeb"/>
              <w:spacing w:before="0" w:beforeAutospacing="0" w:after="0" w:afterAutospacing="0"/>
              <w:jc w:val="both"/>
              <w:rPr>
                <w:sz w:val="20"/>
                <w:szCs w:val="20"/>
              </w:rPr>
            </w:pPr>
            <w:r>
              <w:rPr>
                <w:sz w:val="20"/>
                <w:szCs w:val="20"/>
              </w:rPr>
              <w:t>revoke the busi</w:t>
            </w:r>
            <w:r>
              <w:rPr>
                <w:sz w:val="20"/>
                <w:szCs w:val="20"/>
              </w:rPr>
              <w:t>ness and operating licenses of the Group’s PRC subsidiaries and affiliates;</w:t>
            </w:r>
          </w:p>
        </w:tc>
      </w:tr>
    </w:tbl>
    <w:p w14:paraId="1CCEE1C2"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961459A" w14:textId="77777777">
        <w:trPr>
          <w:divId w:val="98525094"/>
          <w:trHeight w:val="225"/>
          <w:tblCellSpacing w:w="15" w:type="dxa"/>
        </w:trPr>
        <w:tc>
          <w:tcPr>
            <w:tcW w:w="200" w:type="pct"/>
            <w:vAlign w:val="center"/>
            <w:hideMark/>
          </w:tcPr>
          <w:p w14:paraId="47B7886D"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66F989DF"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0E2B2CC5" w14:textId="77777777" w:rsidR="00000000" w:rsidRDefault="00EB4933">
            <w:pPr>
              <w:pStyle w:val="NormalWeb"/>
              <w:spacing w:before="0" w:beforeAutospacing="0" w:after="0" w:afterAutospacing="0"/>
              <w:rPr>
                <w:sz w:val="20"/>
                <w:szCs w:val="20"/>
              </w:rPr>
            </w:pPr>
            <w:r>
              <w:rPr>
                <w:sz w:val="20"/>
                <w:szCs w:val="20"/>
              </w:rPr>
              <w:t>discontinue or restrict the Group’s PRC subsidiaries’ and affiliates’ operations;</w:t>
            </w:r>
          </w:p>
        </w:tc>
      </w:tr>
    </w:tbl>
    <w:p w14:paraId="13B7FC17"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680FE682" w14:textId="77777777">
        <w:trPr>
          <w:divId w:val="98525094"/>
          <w:trHeight w:val="225"/>
          <w:tblCellSpacing w:w="15" w:type="dxa"/>
        </w:trPr>
        <w:tc>
          <w:tcPr>
            <w:tcW w:w="200" w:type="pct"/>
            <w:vAlign w:val="center"/>
            <w:hideMark/>
          </w:tcPr>
          <w:p w14:paraId="144EBB5A"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2B7619A1"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CC1F639" w14:textId="77777777" w:rsidR="00000000" w:rsidRDefault="00EB4933">
            <w:pPr>
              <w:pStyle w:val="NormalWeb"/>
              <w:spacing w:before="0" w:beforeAutospacing="0" w:after="0" w:afterAutospacing="0"/>
              <w:jc w:val="both"/>
              <w:rPr>
                <w:sz w:val="20"/>
                <w:szCs w:val="20"/>
              </w:rPr>
            </w:pPr>
            <w:r>
              <w:rPr>
                <w:sz w:val="20"/>
                <w:szCs w:val="20"/>
              </w:rPr>
              <w:t>impose conditions or requirements with which the Group or its PRC subsidiaries and affiliates may not be able to comply; or</w:t>
            </w:r>
          </w:p>
        </w:tc>
      </w:tr>
    </w:tbl>
    <w:p w14:paraId="450B0888"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54582B13" w14:textId="77777777">
        <w:trPr>
          <w:divId w:val="98525094"/>
          <w:trHeight w:val="225"/>
          <w:tblCellSpacing w:w="15" w:type="dxa"/>
        </w:trPr>
        <w:tc>
          <w:tcPr>
            <w:tcW w:w="200" w:type="pct"/>
            <w:vAlign w:val="center"/>
            <w:hideMark/>
          </w:tcPr>
          <w:p w14:paraId="5353142F"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353A338E"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14D89851" w14:textId="77777777" w:rsidR="00000000" w:rsidRDefault="00EB4933">
            <w:pPr>
              <w:pStyle w:val="NormalWeb"/>
              <w:spacing w:before="0" w:beforeAutospacing="0" w:after="0" w:afterAutospacing="0"/>
              <w:jc w:val="both"/>
              <w:rPr>
                <w:sz w:val="20"/>
                <w:szCs w:val="20"/>
              </w:rPr>
            </w:pPr>
            <w:r>
              <w:rPr>
                <w:sz w:val="20"/>
                <w:szCs w:val="20"/>
              </w:rPr>
              <w:t>require the Group or its PRC subsidiaries and affiliates to restructure the relevant ownership structure or operations;</w:t>
            </w:r>
          </w:p>
        </w:tc>
      </w:tr>
    </w:tbl>
    <w:p w14:paraId="557954F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ABD5223" w14:textId="77777777" w:rsidR="00000000" w:rsidRDefault="00EB4933">
      <w:pPr>
        <w:pStyle w:val="NormalWeb"/>
        <w:spacing w:before="0" w:beforeAutospacing="0" w:after="0" w:afterAutospacing="0"/>
        <w:ind w:left="675"/>
        <w:jc w:val="both"/>
        <w:divId w:val="98525094"/>
        <w:rPr>
          <w:sz w:val="20"/>
          <w:szCs w:val="20"/>
        </w:rPr>
      </w:pPr>
      <w:r>
        <w:rPr>
          <w:sz w:val="20"/>
          <w:szCs w:val="20"/>
        </w:rPr>
        <w:t>Th</w:t>
      </w:r>
      <w:r>
        <w:rPr>
          <w:sz w:val="20"/>
          <w:szCs w:val="20"/>
        </w:rPr>
        <w:t>e imposition of any of these penalties may result in a material and adverse effect on the Group’s ability to conduct the Group’s business. In addition, if the imposition of any of these penalties causes the Group to lose the rights to direct the activities</w:t>
      </w:r>
      <w:r>
        <w:rPr>
          <w:sz w:val="20"/>
          <w:szCs w:val="20"/>
        </w:rPr>
        <w:t xml:space="preserve"> of the VIEs and its subsidiaries or the right to receive their economic benefits, the Group would no longer be able to consolidate the VIEs. The Group does not believe that any penalties imposed or actions taken by the PRC Government would result in the l</w:t>
      </w:r>
      <w:r>
        <w:rPr>
          <w:sz w:val="20"/>
          <w:szCs w:val="20"/>
        </w:rPr>
        <w:t>iquidation of the Group, Chutian Holdings, or the VIEs.</w:t>
      </w:r>
    </w:p>
    <w:p w14:paraId="3C04CA5A"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C07A9AF" w14:textId="77777777">
        <w:trPr>
          <w:divId w:val="98525094"/>
          <w:trHeight w:val="225"/>
          <w:tblCellSpacing w:w="15" w:type="dxa"/>
        </w:trPr>
        <w:tc>
          <w:tcPr>
            <w:tcW w:w="0" w:type="auto"/>
            <w:vAlign w:val="center"/>
            <w:hideMark/>
          </w:tcPr>
          <w:p w14:paraId="1ED3BD08" w14:textId="77777777" w:rsidR="00000000" w:rsidRDefault="00EB4933">
            <w:pPr>
              <w:rPr>
                <w:rFonts w:eastAsia="Times New Roman"/>
                <w:sz w:val="20"/>
                <w:szCs w:val="20"/>
              </w:rPr>
            </w:pPr>
            <w:r>
              <w:rPr>
                <w:rFonts w:eastAsia="Times New Roman"/>
                <w:sz w:val="20"/>
                <w:szCs w:val="20"/>
              </w:rPr>
              <w:t> </w:t>
            </w:r>
          </w:p>
        </w:tc>
      </w:tr>
      <w:tr w:rsidR="00000000" w14:paraId="2348AA72" w14:textId="77777777">
        <w:trPr>
          <w:divId w:val="98525094"/>
          <w:trHeight w:val="225"/>
          <w:tblCellSpacing w:w="15" w:type="dxa"/>
        </w:trPr>
        <w:tc>
          <w:tcPr>
            <w:tcW w:w="0" w:type="auto"/>
            <w:tcBorders>
              <w:bottom w:val="single" w:sz="6" w:space="0" w:color="000000"/>
            </w:tcBorders>
            <w:vAlign w:val="center"/>
            <w:hideMark/>
          </w:tcPr>
          <w:p w14:paraId="0D0566E2" w14:textId="77777777" w:rsidR="00000000" w:rsidRDefault="00EB4933">
            <w:pPr>
              <w:jc w:val="center"/>
              <w:rPr>
                <w:rFonts w:eastAsia="Times New Roman"/>
                <w:sz w:val="20"/>
                <w:szCs w:val="20"/>
              </w:rPr>
            </w:pPr>
            <w:r>
              <w:rPr>
                <w:rFonts w:eastAsia="Times New Roman"/>
                <w:sz w:val="20"/>
                <w:szCs w:val="20"/>
              </w:rPr>
              <w:t>F-15</w:t>
            </w:r>
          </w:p>
        </w:tc>
      </w:tr>
      <w:tr w:rsidR="00000000" w14:paraId="10F8163A" w14:textId="77777777">
        <w:trPr>
          <w:divId w:val="98525094"/>
          <w:trHeight w:val="225"/>
          <w:tblCellSpacing w:w="15" w:type="dxa"/>
        </w:trPr>
        <w:tc>
          <w:tcPr>
            <w:tcW w:w="0" w:type="auto"/>
            <w:vAlign w:val="center"/>
            <w:hideMark/>
          </w:tcPr>
          <w:p w14:paraId="35BF8FB0" w14:textId="77777777" w:rsidR="00000000" w:rsidRDefault="00EB4933">
            <w:pPr>
              <w:rPr>
                <w:rFonts w:eastAsia="Times New Roman"/>
                <w:sz w:val="20"/>
                <w:szCs w:val="20"/>
              </w:rPr>
            </w:pPr>
          </w:p>
        </w:tc>
      </w:tr>
      <w:tr w:rsidR="00000000" w14:paraId="046D1F09" w14:textId="77777777">
        <w:trPr>
          <w:divId w:val="98525094"/>
          <w:trHeight w:val="225"/>
          <w:tblCellSpacing w:w="15" w:type="dxa"/>
        </w:trPr>
        <w:tc>
          <w:tcPr>
            <w:tcW w:w="0" w:type="auto"/>
            <w:vAlign w:val="center"/>
            <w:hideMark/>
          </w:tcPr>
          <w:p w14:paraId="187966E5" w14:textId="77777777" w:rsidR="00000000" w:rsidRDefault="00EB4933">
            <w:pPr>
              <w:rPr>
                <w:rFonts w:eastAsia="Times New Roman"/>
                <w:sz w:val="20"/>
                <w:szCs w:val="20"/>
              </w:rPr>
            </w:pPr>
            <w:hyperlink r:id="rId232" w:anchor="finindex" w:history="1">
              <w:r>
                <w:rPr>
                  <w:rStyle w:val="Hyperlink"/>
                  <w:rFonts w:eastAsia="Times New Roman"/>
                  <w:i/>
                  <w:iCs/>
                  <w:sz w:val="20"/>
                  <w:szCs w:val="20"/>
                </w:rPr>
                <w:t>Table of Contents</w:t>
              </w:r>
            </w:hyperlink>
          </w:p>
        </w:tc>
      </w:tr>
    </w:tbl>
    <w:p w14:paraId="694C4674"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2E37B419"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2A04E266"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186E2931"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FOR THE FINANCIAL YEAR ENDED 2017, 2018 AND 2019 </w:t>
      </w:r>
    </w:p>
    <w:p w14:paraId="552EF0E0"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04DBA46F" w14:textId="77777777" w:rsidR="00000000" w:rsidRDefault="00EB4933">
      <w:pPr>
        <w:pStyle w:val="NormalWeb"/>
        <w:spacing w:before="0" w:beforeAutospacing="0" w:after="0" w:afterAutospacing="0"/>
        <w:jc w:val="both"/>
        <w:divId w:val="98525094"/>
        <w:rPr>
          <w:sz w:val="20"/>
          <w:szCs w:val="20"/>
        </w:rPr>
      </w:pPr>
      <w:r>
        <w:rPr>
          <w:rStyle w:val="Strong"/>
          <w:sz w:val="20"/>
          <w:szCs w:val="20"/>
        </w:rPr>
        <w:t>1.</w:t>
      </w:r>
      <w:r>
        <w:rPr>
          <w:rStyle w:val="Strong"/>
          <w:sz w:val="14"/>
          <w:szCs w:val="14"/>
        </w:rPr>
        <w:t xml:space="preserve"> </w:t>
      </w:r>
      <w:r>
        <w:rPr>
          <w:rStyle w:val="Strong"/>
          <w:sz w:val="20"/>
          <w:szCs w:val="20"/>
        </w:rPr>
        <w:t>Organization and principal activities – continued</w:t>
      </w:r>
    </w:p>
    <w:p w14:paraId="793FEEBE"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24B6E69C" w14:textId="77777777" w:rsidR="00000000" w:rsidRDefault="00EB4933">
      <w:pPr>
        <w:pStyle w:val="NormalWeb"/>
        <w:spacing w:before="0" w:beforeAutospacing="0" w:after="0" w:afterAutospacing="0"/>
        <w:ind w:left="675"/>
        <w:jc w:val="both"/>
        <w:divId w:val="98525094"/>
        <w:rPr>
          <w:sz w:val="20"/>
          <w:szCs w:val="20"/>
        </w:rPr>
      </w:pPr>
      <w:r>
        <w:rPr>
          <w:rStyle w:val="Emphasis"/>
          <w:sz w:val="20"/>
          <w:szCs w:val="20"/>
        </w:rPr>
        <w:t>Risks in relation to the VIE structure</w:t>
      </w:r>
      <w:r>
        <w:rPr>
          <w:sz w:val="20"/>
          <w:szCs w:val="20"/>
        </w:rPr>
        <w:t xml:space="preserve"> - continued</w:t>
      </w:r>
    </w:p>
    <w:p w14:paraId="17B9C49E"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4CB8A1FC" w14:textId="77777777" w:rsidR="00000000" w:rsidRDefault="00EB4933">
      <w:pPr>
        <w:pStyle w:val="NormalWeb"/>
        <w:spacing w:before="0" w:beforeAutospacing="0" w:after="0" w:afterAutospacing="0"/>
        <w:ind w:left="675"/>
        <w:jc w:val="both"/>
        <w:divId w:val="98525094"/>
        <w:rPr>
          <w:sz w:val="20"/>
          <w:szCs w:val="20"/>
        </w:rPr>
      </w:pPr>
      <w:r>
        <w:rPr>
          <w:sz w:val="20"/>
          <w:szCs w:val="20"/>
        </w:rPr>
        <w:t>Certain shareholders of VIEs are also beneficia</w:t>
      </w:r>
      <w:r>
        <w:rPr>
          <w:sz w:val="20"/>
          <w:szCs w:val="20"/>
        </w:rPr>
        <w:t>l owners or directors of the Company. In addition, certain beneficial owners and directors of the Company are also directors or officers of VIEs. Their interests as beneficial owners of VIEs may differ from the interests of the Company as a whole. The Comp</w:t>
      </w:r>
      <w:r>
        <w:rPr>
          <w:sz w:val="20"/>
          <w:szCs w:val="20"/>
        </w:rPr>
        <w:t>any cannot be certain that if conflicts of interest arise, these parties will act in the best interests of the Company or that conflicts of interests will be resolved in the Company’s favor. Currently, the Company does not have existing arrangements to add</w:t>
      </w:r>
      <w:r>
        <w:rPr>
          <w:sz w:val="20"/>
          <w:szCs w:val="20"/>
        </w:rPr>
        <w:t>ress potential conflicts of interest these parties may encounter in their capacity as beneficial owners of VIEs, on the one hand, and as beneficial owners of the Company, on the other hand. The Company believes the shareholders of VIEs will not act contrar</w:t>
      </w:r>
      <w:r>
        <w:rPr>
          <w:sz w:val="20"/>
          <w:szCs w:val="20"/>
        </w:rPr>
        <w:t xml:space="preserve">y to any of the contractual arrangements and the exclusive purchase right contract provides the Company with a mechanism to remove them as shareholders of VIEs should they act to the detriment of the Company. If any conflict of interest or dispute between </w:t>
      </w:r>
      <w:r>
        <w:rPr>
          <w:sz w:val="20"/>
          <w:szCs w:val="20"/>
        </w:rPr>
        <w:t>the Company and the shareholders of VIEs arises and the Company is unable to resolve it, the Company would have to rely on legal proceedings in the PRC. Such legal proceedings could result in disruption of its business; moreover, there is substantial uncer</w:t>
      </w:r>
      <w:r>
        <w:rPr>
          <w:sz w:val="20"/>
          <w:szCs w:val="20"/>
        </w:rPr>
        <w:t>tainty as to the ultimate outcome of any such legal proceedings.</w:t>
      </w:r>
    </w:p>
    <w:p w14:paraId="622B306A"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2DED339E" w14:textId="77777777" w:rsidR="00000000" w:rsidRDefault="00EB4933">
      <w:pPr>
        <w:pStyle w:val="NormalWeb"/>
        <w:spacing w:before="0" w:beforeAutospacing="0" w:after="0" w:afterAutospacing="0"/>
        <w:ind w:left="675"/>
        <w:jc w:val="both"/>
        <w:divId w:val="98525094"/>
        <w:rPr>
          <w:sz w:val="20"/>
          <w:szCs w:val="20"/>
        </w:rPr>
      </w:pPr>
      <w:r>
        <w:rPr>
          <w:sz w:val="20"/>
          <w:szCs w:val="20"/>
        </w:rPr>
        <w:t xml:space="preserve">The following financial statements information for the Company’s VIEs were included in the accompanying consolidated financial statements, presented net of intercompany eliminations, as of </w:t>
      </w:r>
      <w:r>
        <w:rPr>
          <w:sz w:val="20"/>
          <w:szCs w:val="20"/>
        </w:rPr>
        <w:t>and for the years ended December 31:</w:t>
      </w:r>
    </w:p>
    <w:p w14:paraId="7FE1F775"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5287"/>
        <w:gridCol w:w="112"/>
        <w:gridCol w:w="112"/>
        <w:gridCol w:w="767"/>
        <w:gridCol w:w="112"/>
        <w:gridCol w:w="112"/>
        <w:gridCol w:w="112"/>
        <w:gridCol w:w="767"/>
        <w:gridCol w:w="112"/>
        <w:gridCol w:w="112"/>
        <w:gridCol w:w="112"/>
        <w:gridCol w:w="767"/>
        <w:gridCol w:w="127"/>
      </w:tblGrid>
      <w:tr w:rsidR="00000000" w14:paraId="028B5D2B" w14:textId="77777777">
        <w:trPr>
          <w:divId w:val="98525094"/>
          <w:trHeight w:val="225"/>
          <w:tblCellSpacing w:w="15" w:type="dxa"/>
        </w:trPr>
        <w:tc>
          <w:tcPr>
            <w:tcW w:w="0" w:type="auto"/>
            <w:vAlign w:val="center"/>
            <w:hideMark/>
          </w:tcPr>
          <w:p w14:paraId="1ADF332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FBA052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E64ACE5" w14:textId="77777777" w:rsidR="00000000" w:rsidRDefault="00EB4933">
            <w:pPr>
              <w:rPr>
                <w:sz w:val="20"/>
                <w:szCs w:val="20"/>
              </w:rPr>
            </w:pPr>
          </w:p>
        </w:tc>
        <w:tc>
          <w:tcPr>
            <w:tcW w:w="0" w:type="auto"/>
            <w:noWrap/>
            <w:vAlign w:val="center"/>
            <w:hideMark/>
          </w:tcPr>
          <w:p w14:paraId="17498D42"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BBCDC10"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000000"/>
            </w:tcBorders>
            <w:vAlign w:val="bottom"/>
            <w:hideMark/>
          </w:tcPr>
          <w:p w14:paraId="17534FC5" w14:textId="77777777" w:rsidR="00000000" w:rsidRDefault="00EB4933">
            <w:pPr>
              <w:pStyle w:val="NormalWeb"/>
              <w:spacing w:before="0" w:beforeAutospacing="0" w:after="0" w:afterAutospacing="0"/>
              <w:jc w:val="center"/>
              <w:rPr>
                <w:sz w:val="20"/>
                <w:szCs w:val="20"/>
              </w:rPr>
            </w:pPr>
            <w:r>
              <w:rPr>
                <w:rStyle w:val="Strong"/>
                <w:sz w:val="20"/>
                <w:szCs w:val="20"/>
              </w:rPr>
              <w:t>As of December 31,</w:t>
            </w:r>
          </w:p>
        </w:tc>
        <w:tc>
          <w:tcPr>
            <w:tcW w:w="0" w:type="auto"/>
            <w:noWrap/>
            <w:vAlign w:val="center"/>
            <w:hideMark/>
          </w:tcPr>
          <w:p w14:paraId="7227F914" w14:textId="77777777" w:rsidR="00000000" w:rsidRDefault="00EB4933">
            <w:pPr>
              <w:pStyle w:val="NormalWeb"/>
              <w:spacing w:before="0" w:beforeAutospacing="0" w:after="0" w:afterAutospacing="0"/>
              <w:rPr>
                <w:sz w:val="20"/>
                <w:szCs w:val="20"/>
              </w:rPr>
            </w:pPr>
            <w:r>
              <w:rPr>
                <w:sz w:val="20"/>
                <w:szCs w:val="20"/>
              </w:rPr>
              <w:t> </w:t>
            </w:r>
          </w:p>
        </w:tc>
      </w:tr>
      <w:tr w:rsidR="00000000" w14:paraId="2CC3BAFC" w14:textId="77777777">
        <w:trPr>
          <w:divId w:val="98525094"/>
          <w:trHeight w:val="225"/>
          <w:tblCellSpacing w:w="15" w:type="dxa"/>
        </w:trPr>
        <w:tc>
          <w:tcPr>
            <w:tcW w:w="0" w:type="auto"/>
            <w:vAlign w:val="center"/>
            <w:hideMark/>
          </w:tcPr>
          <w:p w14:paraId="3781F97D"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04CF31A"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7316E9E2" w14:textId="77777777" w:rsidR="00000000" w:rsidRDefault="00EB4933">
            <w:pPr>
              <w:rPr>
                <w:sz w:val="20"/>
                <w:szCs w:val="20"/>
              </w:rPr>
            </w:pPr>
          </w:p>
        </w:tc>
        <w:tc>
          <w:tcPr>
            <w:tcW w:w="0" w:type="auto"/>
            <w:noWrap/>
            <w:vAlign w:val="center"/>
            <w:hideMark/>
          </w:tcPr>
          <w:p w14:paraId="51178135"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DC49CB5"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4ABC860C"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vAlign w:val="center"/>
            <w:hideMark/>
          </w:tcPr>
          <w:p w14:paraId="3D6F605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4CFA53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5D035234"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63757984" w14:textId="77777777" w:rsidR="00000000" w:rsidRDefault="00EB4933">
            <w:pPr>
              <w:pStyle w:val="NormalWeb"/>
              <w:spacing w:before="0" w:beforeAutospacing="0" w:after="0" w:afterAutospacing="0"/>
              <w:rPr>
                <w:sz w:val="20"/>
                <w:szCs w:val="20"/>
              </w:rPr>
            </w:pPr>
            <w:r>
              <w:rPr>
                <w:sz w:val="20"/>
                <w:szCs w:val="20"/>
              </w:rPr>
              <w:t> </w:t>
            </w:r>
          </w:p>
        </w:tc>
      </w:tr>
      <w:tr w:rsidR="00000000" w14:paraId="33B32BEF" w14:textId="77777777">
        <w:trPr>
          <w:divId w:val="98525094"/>
          <w:trHeight w:val="225"/>
          <w:tblCellSpacing w:w="15" w:type="dxa"/>
        </w:trPr>
        <w:tc>
          <w:tcPr>
            <w:tcW w:w="0" w:type="auto"/>
            <w:vAlign w:val="center"/>
            <w:hideMark/>
          </w:tcPr>
          <w:p w14:paraId="6BE91CF4"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9089A7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0A1A1781" w14:textId="77777777" w:rsidR="00000000" w:rsidRDefault="00EB4933">
            <w:pPr>
              <w:rPr>
                <w:sz w:val="20"/>
                <w:szCs w:val="20"/>
              </w:rPr>
            </w:pPr>
          </w:p>
        </w:tc>
        <w:tc>
          <w:tcPr>
            <w:tcW w:w="0" w:type="auto"/>
            <w:noWrap/>
            <w:vAlign w:val="center"/>
            <w:hideMark/>
          </w:tcPr>
          <w:p w14:paraId="26046EA8"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315DEC1"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490F3CAC"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689772EA"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520727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18D3476C"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7C67C310" w14:textId="77777777" w:rsidR="00000000" w:rsidRDefault="00EB4933">
            <w:pPr>
              <w:pStyle w:val="NormalWeb"/>
              <w:spacing w:before="0" w:beforeAutospacing="0" w:after="0" w:afterAutospacing="0"/>
              <w:rPr>
                <w:sz w:val="20"/>
                <w:szCs w:val="20"/>
              </w:rPr>
            </w:pPr>
            <w:r>
              <w:rPr>
                <w:sz w:val="20"/>
                <w:szCs w:val="20"/>
              </w:rPr>
              <w:t> </w:t>
            </w:r>
          </w:p>
        </w:tc>
      </w:tr>
      <w:tr w:rsidR="00000000" w14:paraId="3CC5B966" w14:textId="77777777">
        <w:trPr>
          <w:divId w:val="98525094"/>
          <w:trHeight w:val="225"/>
          <w:tblCellSpacing w:w="15" w:type="dxa"/>
        </w:trPr>
        <w:tc>
          <w:tcPr>
            <w:tcW w:w="0" w:type="auto"/>
            <w:vAlign w:val="center"/>
            <w:hideMark/>
          </w:tcPr>
          <w:p w14:paraId="7BA931AF"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4E3F9D1"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58F3887D"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1C7FAC8"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FEC7631"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D7EFDBB"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BD8D729"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8C30CD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DD0A937"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8F8684B" w14:textId="77777777" w:rsidR="00000000" w:rsidRDefault="00EB4933">
            <w:pPr>
              <w:pStyle w:val="NormalWeb"/>
              <w:spacing w:before="0" w:beforeAutospacing="0" w:after="0" w:afterAutospacing="0"/>
              <w:rPr>
                <w:sz w:val="20"/>
                <w:szCs w:val="20"/>
              </w:rPr>
            </w:pPr>
            <w:r>
              <w:rPr>
                <w:sz w:val="20"/>
                <w:szCs w:val="20"/>
              </w:rPr>
              <w:t> </w:t>
            </w:r>
          </w:p>
        </w:tc>
      </w:tr>
      <w:tr w:rsidR="00000000" w14:paraId="52414D3F" w14:textId="77777777">
        <w:trPr>
          <w:divId w:val="98525094"/>
          <w:trHeight w:val="225"/>
          <w:tblCellSpacing w:w="15" w:type="dxa"/>
        </w:trPr>
        <w:tc>
          <w:tcPr>
            <w:tcW w:w="0" w:type="auto"/>
            <w:shd w:val="clear" w:color="auto" w:fill="CCEEFF"/>
            <w:hideMark/>
          </w:tcPr>
          <w:p w14:paraId="086641B8" w14:textId="77777777" w:rsidR="00000000" w:rsidRDefault="00EB4933">
            <w:pPr>
              <w:pStyle w:val="NormalWeb"/>
              <w:spacing w:before="0" w:beforeAutospacing="0" w:after="0" w:afterAutospacing="0"/>
              <w:jc w:val="both"/>
              <w:rPr>
                <w:sz w:val="20"/>
                <w:szCs w:val="20"/>
              </w:rPr>
            </w:pPr>
            <w:r>
              <w:rPr>
                <w:sz w:val="20"/>
                <w:szCs w:val="20"/>
              </w:rPr>
              <w:t>Total current assets</w:t>
            </w:r>
          </w:p>
        </w:tc>
        <w:tc>
          <w:tcPr>
            <w:tcW w:w="50" w:type="pct"/>
            <w:shd w:val="clear" w:color="auto" w:fill="CCEEFF"/>
            <w:noWrap/>
            <w:vAlign w:val="center"/>
            <w:hideMark/>
          </w:tcPr>
          <w:p w14:paraId="55F3E425"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shd w:val="clear" w:color="auto" w:fill="CCEEFF"/>
            <w:vAlign w:val="center"/>
            <w:hideMark/>
          </w:tcPr>
          <w:p w14:paraId="0884310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5A1F0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662E6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1023B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B367FE3" w14:textId="77777777" w:rsidR="00000000" w:rsidRDefault="00EB4933">
            <w:pPr>
              <w:jc w:val="right"/>
              <w:rPr>
                <w:rFonts w:eastAsia="Times New Roman"/>
                <w:sz w:val="20"/>
                <w:szCs w:val="20"/>
              </w:rPr>
            </w:pPr>
            <w:r>
              <w:rPr>
                <w:rFonts w:eastAsia="Times New Roman"/>
                <w:sz w:val="20"/>
                <w:szCs w:val="20"/>
              </w:rPr>
              <w:t>599,931</w:t>
            </w:r>
          </w:p>
        </w:tc>
        <w:tc>
          <w:tcPr>
            <w:tcW w:w="50" w:type="pct"/>
            <w:shd w:val="clear" w:color="auto" w:fill="CCEEFF"/>
            <w:noWrap/>
            <w:vAlign w:val="center"/>
            <w:hideMark/>
          </w:tcPr>
          <w:p w14:paraId="74D51D0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C76F3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03149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53A66E8" w14:textId="77777777" w:rsidR="00000000" w:rsidRDefault="00EB4933">
            <w:pPr>
              <w:jc w:val="right"/>
              <w:rPr>
                <w:rFonts w:eastAsia="Times New Roman"/>
                <w:sz w:val="20"/>
                <w:szCs w:val="20"/>
              </w:rPr>
            </w:pPr>
            <w:r>
              <w:rPr>
                <w:rFonts w:eastAsia="Times New Roman"/>
                <w:sz w:val="20"/>
                <w:szCs w:val="20"/>
              </w:rPr>
              <w:t>615,611</w:t>
            </w:r>
          </w:p>
        </w:tc>
        <w:tc>
          <w:tcPr>
            <w:tcW w:w="50" w:type="pct"/>
            <w:shd w:val="clear" w:color="auto" w:fill="CCEEFF"/>
            <w:noWrap/>
            <w:vAlign w:val="center"/>
            <w:hideMark/>
          </w:tcPr>
          <w:p w14:paraId="5C8AC1FF" w14:textId="77777777" w:rsidR="00000000" w:rsidRDefault="00EB4933">
            <w:pPr>
              <w:pStyle w:val="NormalWeb"/>
              <w:spacing w:before="0" w:beforeAutospacing="0" w:after="0" w:afterAutospacing="0"/>
              <w:rPr>
                <w:sz w:val="20"/>
                <w:szCs w:val="20"/>
              </w:rPr>
            </w:pPr>
            <w:r>
              <w:rPr>
                <w:sz w:val="20"/>
                <w:szCs w:val="20"/>
              </w:rPr>
              <w:t> </w:t>
            </w:r>
          </w:p>
        </w:tc>
      </w:tr>
      <w:tr w:rsidR="00000000" w14:paraId="0A64FBCA" w14:textId="77777777">
        <w:trPr>
          <w:divId w:val="98525094"/>
          <w:trHeight w:val="225"/>
          <w:tblCellSpacing w:w="15" w:type="dxa"/>
        </w:trPr>
        <w:tc>
          <w:tcPr>
            <w:tcW w:w="0" w:type="auto"/>
            <w:shd w:val="clear" w:color="auto" w:fill="FFFFFF"/>
            <w:hideMark/>
          </w:tcPr>
          <w:p w14:paraId="2E3D3C29" w14:textId="77777777" w:rsidR="00000000" w:rsidRDefault="00EB4933">
            <w:pPr>
              <w:pStyle w:val="NormalWeb"/>
              <w:spacing w:before="0" w:beforeAutospacing="0" w:after="0" w:afterAutospacing="0"/>
              <w:jc w:val="both"/>
              <w:rPr>
                <w:sz w:val="20"/>
                <w:szCs w:val="20"/>
              </w:rPr>
            </w:pPr>
            <w:r>
              <w:rPr>
                <w:sz w:val="20"/>
                <w:szCs w:val="20"/>
              </w:rPr>
              <w:t>Total non-current assets</w:t>
            </w:r>
          </w:p>
        </w:tc>
        <w:tc>
          <w:tcPr>
            <w:tcW w:w="50" w:type="pct"/>
            <w:shd w:val="clear" w:color="auto" w:fill="FFFFFF"/>
            <w:noWrap/>
            <w:vAlign w:val="center"/>
            <w:hideMark/>
          </w:tcPr>
          <w:p w14:paraId="7E39B54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shd w:val="clear" w:color="auto" w:fill="FFFFFF"/>
            <w:vAlign w:val="center"/>
            <w:hideMark/>
          </w:tcPr>
          <w:p w14:paraId="06ED44F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7B39C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63774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BE3DAA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F47F5CF" w14:textId="77777777" w:rsidR="00000000" w:rsidRDefault="00EB4933">
            <w:pPr>
              <w:jc w:val="right"/>
              <w:rPr>
                <w:rFonts w:eastAsia="Times New Roman"/>
                <w:sz w:val="20"/>
                <w:szCs w:val="20"/>
              </w:rPr>
            </w:pPr>
            <w:r>
              <w:rPr>
                <w:rFonts w:eastAsia="Times New Roman"/>
                <w:sz w:val="20"/>
                <w:szCs w:val="20"/>
              </w:rPr>
              <w:t>50,833</w:t>
            </w:r>
          </w:p>
        </w:tc>
        <w:tc>
          <w:tcPr>
            <w:tcW w:w="50" w:type="pct"/>
            <w:shd w:val="clear" w:color="auto" w:fill="FFFFFF"/>
            <w:noWrap/>
            <w:tcMar>
              <w:top w:w="0" w:type="dxa"/>
              <w:left w:w="0" w:type="dxa"/>
              <w:bottom w:w="15" w:type="dxa"/>
              <w:right w:w="0" w:type="dxa"/>
            </w:tcMar>
            <w:vAlign w:val="center"/>
            <w:hideMark/>
          </w:tcPr>
          <w:p w14:paraId="16ADE86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BAA2D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B052A7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03B8282" w14:textId="77777777" w:rsidR="00000000" w:rsidRDefault="00EB4933">
            <w:pPr>
              <w:jc w:val="right"/>
              <w:rPr>
                <w:rFonts w:eastAsia="Times New Roman"/>
                <w:sz w:val="20"/>
                <w:szCs w:val="20"/>
              </w:rPr>
            </w:pPr>
            <w:r>
              <w:rPr>
                <w:rFonts w:eastAsia="Times New Roman"/>
                <w:sz w:val="20"/>
                <w:szCs w:val="20"/>
              </w:rPr>
              <w:t>48,137</w:t>
            </w:r>
          </w:p>
        </w:tc>
        <w:tc>
          <w:tcPr>
            <w:tcW w:w="50" w:type="pct"/>
            <w:shd w:val="clear" w:color="auto" w:fill="FFFFFF"/>
            <w:noWrap/>
            <w:tcMar>
              <w:top w:w="0" w:type="dxa"/>
              <w:left w:w="0" w:type="dxa"/>
              <w:bottom w:w="15" w:type="dxa"/>
              <w:right w:w="0" w:type="dxa"/>
            </w:tcMar>
            <w:vAlign w:val="center"/>
            <w:hideMark/>
          </w:tcPr>
          <w:p w14:paraId="760A7630" w14:textId="77777777" w:rsidR="00000000" w:rsidRDefault="00EB4933">
            <w:pPr>
              <w:pStyle w:val="NormalWeb"/>
              <w:spacing w:before="0" w:beforeAutospacing="0" w:after="0" w:afterAutospacing="0"/>
              <w:rPr>
                <w:sz w:val="20"/>
                <w:szCs w:val="20"/>
              </w:rPr>
            </w:pPr>
            <w:r>
              <w:rPr>
                <w:sz w:val="20"/>
                <w:szCs w:val="20"/>
              </w:rPr>
              <w:t> </w:t>
            </w:r>
          </w:p>
        </w:tc>
      </w:tr>
      <w:tr w:rsidR="00000000" w14:paraId="6704A7D7" w14:textId="77777777">
        <w:trPr>
          <w:divId w:val="98525094"/>
          <w:trHeight w:val="225"/>
          <w:tblCellSpacing w:w="15" w:type="dxa"/>
        </w:trPr>
        <w:tc>
          <w:tcPr>
            <w:tcW w:w="0" w:type="auto"/>
            <w:shd w:val="clear" w:color="auto" w:fill="CCEEFF"/>
            <w:hideMark/>
          </w:tcPr>
          <w:p w14:paraId="5F1C1AAB" w14:textId="77777777" w:rsidR="00000000" w:rsidRDefault="00EB4933">
            <w:pPr>
              <w:pStyle w:val="NormalWeb"/>
              <w:spacing w:before="0" w:beforeAutospacing="0" w:after="0" w:afterAutospacing="0"/>
              <w:jc w:val="both"/>
              <w:rPr>
                <w:sz w:val="20"/>
                <w:szCs w:val="20"/>
              </w:rPr>
            </w:pPr>
            <w:r>
              <w:rPr>
                <w:sz w:val="20"/>
                <w:szCs w:val="20"/>
              </w:rPr>
              <w:t>Total assets</w:t>
            </w:r>
          </w:p>
        </w:tc>
        <w:tc>
          <w:tcPr>
            <w:tcW w:w="50" w:type="pct"/>
            <w:shd w:val="clear" w:color="auto" w:fill="CCEEFF"/>
            <w:noWrap/>
            <w:vAlign w:val="center"/>
            <w:hideMark/>
          </w:tcPr>
          <w:p w14:paraId="54380B5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shd w:val="clear" w:color="auto" w:fill="CCEEFF"/>
            <w:vAlign w:val="center"/>
            <w:hideMark/>
          </w:tcPr>
          <w:p w14:paraId="051877D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BABF3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464C5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4EC6C2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3CFD918C" w14:textId="77777777" w:rsidR="00000000" w:rsidRDefault="00EB4933">
            <w:pPr>
              <w:jc w:val="right"/>
              <w:rPr>
                <w:rFonts w:eastAsia="Times New Roman"/>
                <w:sz w:val="20"/>
                <w:szCs w:val="20"/>
              </w:rPr>
            </w:pPr>
            <w:r>
              <w:rPr>
                <w:rFonts w:eastAsia="Times New Roman"/>
                <w:sz w:val="20"/>
                <w:szCs w:val="20"/>
              </w:rPr>
              <w:t>650,764</w:t>
            </w:r>
          </w:p>
        </w:tc>
        <w:tc>
          <w:tcPr>
            <w:tcW w:w="50" w:type="pct"/>
            <w:shd w:val="clear" w:color="auto" w:fill="CCEEFF"/>
            <w:noWrap/>
            <w:tcMar>
              <w:top w:w="0" w:type="dxa"/>
              <w:left w:w="0" w:type="dxa"/>
              <w:bottom w:w="45" w:type="dxa"/>
              <w:right w:w="0" w:type="dxa"/>
            </w:tcMar>
            <w:vAlign w:val="center"/>
            <w:hideMark/>
          </w:tcPr>
          <w:p w14:paraId="66C573F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FF795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6DFD76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145846FE" w14:textId="77777777" w:rsidR="00000000" w:rsidRDefault="00EB4933">
            <w:pPr>
              <w:jc w:val="right"/>
              <w:rPr>
                <w:rFonts w:eastAsia="Times New Roman"/>
                <w:sz w:val="20"/>
                <w:szCs w:val="20"/>
              </w:rPr>
            </w:pPr>
            <w:r>
              <w:rPr>
                <w:rFonts w:eastAsia="Times New Roman"/>
                <w:sz w:val="20"/>
                <w:szCs w:val="20"/>
              </w:rPr>
              <w:t>663,748</w:t>
            </w:r>
          </w:p>
        </w:tc>
        <w:tc>
          <w:tcPr>
            <w:tcW w:w="50" w:type="pct"/>
            <w:shd w:val="clear" w:color="auto" w:fill="CCEEFF"/>
            <w:noWrap/>
            <w:tcMar>
              <w:top w:w="0" w:type="dxa"/>
              <w:left w:w="0" w:type="dxa"/>
              <w:bottom w:w="45" w:type="dxa"/>
              <w:right w:w="0" w:type="dxa"/>
            </w:tcMar>
            <w:vAlign w:val="center"/>
            <w:hideMark/>
          </w:tcPr>
          <w:p w14:paraId="19A84250" w14:textId="77777777" w:rsidR="00000000" w:rsidRDefault="00EB4933">
            <w:pPr>
              <w:pStyle w:val="NormalWeb"/>
              <w:spacing w:before="0" w:beforeAutospacing="0" w:after="0" w:afterAutospacing="0"/>
              <w:rPr>
                <w:sz w:val="20"/>
                <w:szCs w:val="20"/>
              </w:rPr>
            </w:pPr>
            <w:r>
              <w:rPr>
                <w:sz w:val="20"/>
                <w:szCs w:val="20"/>
              </w:rPr>
              <w:t> </w:t>
            </w:r>
          </w:p>
        </w:tc>
      </w:tr>
      <w:tr w:rsidR="00000000" w14:paraId="0EBEB923" w14:textId="77777777">
        <w:trPr>
          <w:divId w:val="98525094"/>
          <w:trHeight w:val="225"/>
          <w:tblCellSpacing w:w="15" w:type="dxa"/>
        </w:trPr>
        <w:tc>
          <w:tcPr>
            <w:tcW w:w="0" w:type="auto"/>
            <w:shd w:val="clear" w:color="auto" w:fill="FFFFFF"/>
            <w:vAlign w:val="center"/>
            <w:hideMark/>
          </w:tcPr>
          <w:p w14:paraId="38A7C67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75712A"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shd w:val="clear" w:color="auto" w:fill="FFFFFF"/>
            <w:vAlign w:val="center"/>
            <w:hideMark/>
          </w:tcPr>
          <w:p w14:paraId="0F83190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62C61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55C62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9ECA2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EBE6F9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CB045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7332D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72076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8937F3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85529A" w14:textId="77777777" w:rsidR="00000000" w:rsidRDefault="00EB4933">
            <w:pPr>
              <w:pStyle w:val="NormalWeb"/>
              <w:spacing w:before="0" w:beforeAutospacing="0" w:after="0" w:afterAutospacing="0"/>
              <w:rPr>
                <w:sz w:val="20"/>
                <w:szCs w:val="20"/>
              </w:rPr>
            </w:pPr>
            <w:r>
              <w:rPr>
                <w:sz w:val="20"/>
                <w:szCs w:val="20"/>
              </w:rPr>
              <w:t> </w:t>
            </w:r>
          </w:p>
        </w:tc>
      </w:tr>
      <w:tr w:rsidR="00000000" w14:paraId="7377E0D2" w14:textId="77777777">
        <w:trPr>
          <w:divId w:val="98525094"/>
          <w:trHeight w:val="225"/>
          <w:tblCellSpacing w:w="15" w:type="dxa"/>
        </w:trPr>
        <w:tc>
          <w:tcPr>
            <w:tcW w:w="0" w:type="auto"/>
            <w:shd w:val="clear" w:color="auto" w:fill="CCEEFF"/>
            <w:hideMark/>
          </w:tcPr>
          <w:p w14:paraId="45D1295D" w14:textId="77777777" w:rsidR="00000000" w:rsidRDefault="00EB4933">
            <w:pPr>
              <w:pStyle w:val="NormalWeb"/>
              <w:spacing w:before="0" w:beforeAutospacing="0" w:after="0" w:afterAutospacing="0"/>
              <w:jc w:val="both"/>
              <w:rPr>
                <w:sz w:val="20"/>
                <w:szCs w:val="20"/>
              </w:rPr>
            </w:pPr>
            <w:r>
              <w:rPr>
                <w:sz w:val="20"/>
                <w:szCs w:val="20"/>
              </w:rPr>
              <w:t>Total current liabilities</w:t>
            </w:r>
          </w:p>
        </w:tc>
        <w:tc>
          <w:tcPr>
            <w:tcW w:w="50" w:type="pct"/>
            <w:shd w:val="clear" w:color="auto" w:fill="CCEEFF"/>
            <w:noWrap/>
            <w:vAlign w:val="center"/>
            <w:hideMark/>
          </w:tcPr>
          <w:p w14:paraId="042CB0BA"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shd w:val="clear" w:color="auto" w:fill="CCEEFF"/>
            <w:vAlign w:val="center"/>
            <w:hideMark/>
          </w:tcPr>
          <w:p w14:paraId="41847E2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E95D7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B26A6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0A8CDA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6E67083" w14:textId="77777777" w:rsidR="00000000" w:rsidRDefault="00EB4933">
            <w:pPr>
              <w:jc w:val="right"/>
              <w:rPr>
                <w:rFonts w:eastAsia="Times New Roman"/>
                <w:sz w:val="20"/>
                <w:szCs w:val="20"/>
              </w:rPr>
            </w:pPr>
            <w:r>
              <w:rPr>
                <w:rFonts w:eastAsia="Times New Roman"/>
                <w:sz w:val="20"/>
                <w:szCs w:val="20"/>
              </w:rPr>
              <w:t>274,316</w:t>
            </w:r>
          </w:p>
        </w:tc>
        <w:tc>
          <w:tcPr>
            <w:tcW w:w="50" w:type="pct"/>
            <w:shd w:val="clear" w:color="auto" w:fill="CCEEFF"/>
            <w:noWrap/>
            <w:tcMar>
              <w:top w:w="0" w:type="dxa"/>
              <w:left w:w="0" w:type="dxa"/>
              <w:bottom w:w="15" w:type="dxa"/>
              <w:right w:w="0" w:type="dxa"/>
            </w:tcMar>
            <w:vAlign w:val="center"/>
            <w:hideMark/>
          </w:tcPr>
          <w:p w14:paraId="11771A3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34CA6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144B96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488F61D" w14:textId="77777777" w:rsidR="00000000" w:rsidRDefault="00EB4933">
            <w:pPr>
              <w:jc w:val="right"/>
              <w:rPr>
                <w:rFonts w:eastAsia="Times New Roman"/>
                <w:sz w:val="20"/>
                <w:szCs w:val="20"/>
              </w:rPr>
            </w:pPr>
            <w:r>
              <w:rPr>
                <w:rFonts w:eastAsia="Times New Roman"/>
                <w:sz w:val="20"/>
                <w:szCs w:val="20"/>
              </w:rPr>
              <w:t>237,587</w:t>
            </w:r>
          </w:p>
        </w:tc>
        <w:tc>
          <w:tcPr>
            <w:tcW w:w="50" w:type="pct"/>
            <w:shd w:val="clear" w:color="auto" w:fill="CCEEFF"/>
            <w:noWrap/>
            <w:tcMar>
              <w:top w:w="0" w:type="dxa"/>
              <w:left w:w="0" w:type="dxa"/>
              <w:bottom w:w="15" w:type="dxa"/>
              <w:right w:w="0" w:type="dxa"/>
            </w:tcMar>
            <w:vAlign w:val="center"/>
            <w:hideMark/>
          </w:tcPr>
          <w:p w14:paraId="555686A2" w14:textId="77777777" w:rsidR="00000000" w:rsidRDefault="00EB4933">
            <w:pPr>
              <w:pStyle w:val="NormalWeb"/>
              <w:spacing w:before="0" w:beforeAutospacing="0" w:after="0" w:afterAutospacing="0"/>
              <w:rPr>
                <w:sz w:val="20"/>
                <w:szCs w:val="20"/>
              </w:rPr>
            </w:pPr>
            <w:r>
              <w:rPr>
                <w:sz w:val="20"/>
                <w:szCs w:val="20"/>
              </w:rPr>
              <w:t> </w:t>
            </w:r>
          </w:p>
        </w:tc>
      </w:tr>
      <w:tr w:rsidR="00000000" w14:paraId="5171E369" w14:textId="77777777">
        <w:trPr>
          <w:divId w:val="98525094"/>
          <w:trHeight w:val="225"/>
          <w:tblCellSpacing w:w="15" w:type="dxa"/>
        </w:trPr>
        <w:tc>
          <w:tcPr>
            <w:tcW w:w="0" w:type="auto"/>
            <w:shd w:val="clear" w:color="auto" w:fill="FFFFFF"/>
            <w:hideMark/>
          </w:tcPr>
          <w:p w14:paraId="58F8CEAD" w14:textId="77777777" w:rsidR="00000000" w:rsidRDefault="00EB4933">
            <w:pPr>
              <w:pStyle w:val="NormalWeb"/>
              <w:spacing w:before="0" w:beforeAutospacing="0" w:after="0" w:afterAutospacing="0"/>
              <w:jc w:val="both"/>
              <w:rPr>
                <w:sz w:val="20"/>
                <w:szCs w:val="20"/>
              </w:rPr>
            </w:pPr>
            <w:r>
              <w:rPr>
                <w:sz w:val="20"/>
                <w:szCs w:val="20"/>
              </w:rPr>
              <w:t>Total liabilities</w:t>
            </w:r>
          </w:p>
        </w:tc>
        <w:tc>
          <w:tcPr>
            <w:tcW w:w="50" w:type="pct"/>
            <w:shd w:val="clear" w:color="auto" w:fill="FFFFFF"/>
            <w:noWrap/>
            <w:vAlign w:val="center"/>
            <w:hideMark/>
          </w:tcPr>
          <w:p w14:paraId="5C1D9C6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shd w:val="clear" w:color="auto" w:fill="FFFFFF"/>
            <w:vAlign w:val="center"/>
            <w:hideMark/>
          </w:tcPr>
          <w:p w14:paraId="77055E2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F8DB8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098A4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120B8CC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6024A235" w14:textId="77777777" w:rsidR="00000000" w:rsidRDefault="00EB4933">
            <w:pPr>
              <w:jc w:val="right"/>
              <w:rPr>
                <w:rFonts w:eastAsia="Times New Roman"/>
                <w:sz w:val="20"/>
                <w:szCs w:val="20"/>
              </w:rPr>
            </w:pPr>
            <w:r>
              <w:rPr>
                <w:rFonts w:eastAsia="Times New Roman"/>
                <w:sz w:val="20"/>
                <w:szCs w:val="20"/>
              </w:rPr>
              <w:t>274,316</w:t>
            </w:r>
          </w:p>
        </w:tc>
        <w:tc>
          <w:tcPr>
            <w:tcW w:w="50" w:type="pct"/>
            <w:shd w:val="clear" w:color="auto" w:fill="FFFFFF"/>
            <w:noWrap/>
            <w:tcMar>
              <w:top w:w="0" w:type="dxa"/>
              <w:left w:w="0" w:type="dxa"/>
              <w:bottom w:w="45" w:type="dxa"/>
              <w:right w:w="0" w:type="dxa"/>
            </w:tcMar>
            <w:vAlign w:val="center"/>
            <w:hideMark/>
          </w:tcPr>
          <w:p w14:paraId="786FA50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1A7B8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09017AE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18D4C4D0" w14:textId="77777777" w:rsidR="00000000" w:rsidRDefault="00EB4933">
            <w:pPr>
              <w:jc w:val="right"/>
              <w:rPr>
                <w:rFonts w:eastAsia="Times New Roman"/>
                <w:sz w:val="20"/>
                <w:szCs w:val="20"/>
              </w:rPr>
            </w:pPr>
            <w:r>
              <w:rPr>
                <w:rFonts w:eastAsia="Times New Roman"/>
                <w:sz w:val="20"/>
                <w:szCs w:val="20"/>
              </w:rPr>
              <w:t>237,587</w:t>
            </w:r>
          </w:p>
        </w:tc>
        <w:tc>
          <w:tcPr>
            <w:tcW w:w="50" w:type="pct"/>
            <w:shd w:val="clear" w:color="auto" w:fill="FFFFFF"/>
            <w:noWrap/>
            <w:tcMar>
              <w:top w:w="0" w:type="dxa"/>
              <w:left w:w="0" w:type="dxa"/>
              <w:bottom w:w="45" w:type="dxa"/>
              <w:right w:w="0" w:type="dxa"/>
            </w:tcMar>
            <w:vAlign w:val="center"/>
            <w:hideMark/>
          </w:tcPr>
          <w:p w14:paraId="358F31AF" w14:textId="77777777" w:rsidR="00000000" w:rsidRDefault="00EB4933">
            <w:pPr>
              <w:pStyle w:val="NormalWeb"/>
              <w:spacing w:before="0" w:beforeAutospacing="0" w:after="0" w:afterAutospacing="0"/>
              <w:rPr>
                <w:sz w:val="20"/>
                <w:szCs w:val="20"/>
              </w:rPr>
            </w:pPr>
            <w:r>
              <w:rPr>
                <w:sz w:val="20"/>
                <w:szCs w:val="20"/>
              </w:rPr>
              <w:t> </w:t>
            </w:r>
          </w:p>
        </w:tc>
      </w:tr>
      <w:tr w:rsidR="00000000" w14:paraId="16BA13A5" w14:textId="77777777">
        <w:trPr>
          <w:divId w:val="98525094"/>
          <w:trHeight w:val="225"/>
          <w:tblCellSpacing w:w="15" w:type="dxa"/>
        </w:trPr>
        <w:tc>
          <w:tcPr>
            <w:tcW w:w="0" w:type="auto"/>
            <w:shd w:val="clear" w:color="auto" w:fill="FFFFFF"/>
            <w:vAlign w:val="center"/>
            <w:hideMark/>
          </w:tcPr>
          <w:p w14:paraId="192E0F02" w14:textId="77777777" w:rsidR="00000000" w:rsidRDefault="00EB4933">
            <w:pPr>
              <w:pStyle w:val="NormalWeb"/>
              <w:spacing w:before="0" w:beforeAutospacing="0" w:after="0" w:afterAutospacing="0"/>
              <w:rPr>
                <w:sz w:val="20"/>
                <w:szCs w:val="20"/>
              </w:rPr>
            </w:pPr>
            <w:r>
              <w:rPr>
                <w:sz w:val="20"/>
                <w:szCs w:val="20"/>
              </w:rPr>
              <w:lastRenderedPageBreak/>
              <w:t> </w:t>
            </w:r>
          </w:p>
        </w:tc>
        <w:tc>
          <w:tcPr>
            <w:tcW w:w="50" w:type="pct"/>
            <w:shd w:val="clear" w:color="auto" w:fill="FFFFFF"/>
            <w:noWrap/>
            <w:vAlign w:val="center"/>
            <w:hideMark/>
          </w:tcPr>
          <w:p w14:paraId="17028DB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shd w:val="clear" w:color="auto" w:fill="FFFFFF"/>
            <w:vAlign w:val="center"/>
            <w:hideMark/>
          </w:tcPr>
          <w:p w14:paraId="5803F5C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F8D20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9D036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9818C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5FB510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603F0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5DCB7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52DC9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2E4355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DFFB56" w14:textId="77777777" w:rsidR="00000000" w:rsidRDefault="00EB4933">
            <w:pPr>
              <w:pStyle w:val="NormalWeb"/>
              <w:spacing w:before="0" w:beforeAutospacing="0" w:after="0" w:afterAutospacing="0"/>
              <w:rPr>
                <w:sz w:val="20"/>
                <w:szCs w:val="20"/>
              </w:rPr>
            </w:pPr>
            <w:r>
              <w:rPr>
                <w:sz w:val="20"/>
                <w:szCs w:val="20"/>
              </w:rPr>
              <w:t> </w:t>
            </w:r>
          </w:p>
        </w:tc>
      </w:tr>
      <w:tr w:rsidR="00000000" w14:paraId="7D5438CE" w14:textId="77777777">
        <w:trPr>
          <w:divId w:val="98525094"/>
          <w:trHeight w:val="225"/>
          <w:tblCellSpacing w:w="15" w:type="dxa"/>
        </w:trPr>
        <w:tc>
          <w:tcPr>
            <w:tcW w:w="0" w:type="auto"/>
            <w:shd w:val="clear" w:color="auto" w:fill="FFFFFF"/>
            <w:vAlign w:val="center"/>
            <w:hideMark/>
          </w:tcPr>
          <w:p w14:paraId="7B906F0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FFD0A1" w14:textId="77777777" w:rsidR="00000000" w:rsidRDefault="00EB4933">
            <w:pPr>
              <w:pStyle w:val="NormalWeb"/>
              <w:spacing w:before="0" w:beforeAutospacing="0" w:after="0" w:afterAutospacing="0"/>
              <w:rPr>
                <w:sz w:val="20"/>
                <w:szCs w:val="20"/>
              </w:rPr>
            </w:pPr>
            <w:r>
              <w:rPr>
                <w:sz w:val="20"/>
                <w:szCs w:val="20"/>
              </w:rPr>
              <w:t> </w:t>
            </w:r>
          </w:p>
        </w:tc>
        <w:tc>
          <w:tcPr>
            <w:tcW w:w="0" w:type="auto"/>
            <w:gridSpan w:val="10"/>
            <w:tcBorders>
              <w:bottom w:val="single" w:sz="6" w:space="0" w:color="000000"/>
            </w:tcBorders>
            <w:shd w:val="clear" w:color="auto" w:fill="FFFFFF"/>
            <w:vAlign w:val="center"/>
            <w:hideMark/>
          </w:tcPr>
          <w:p w14:paraId="66F3AB25" w14:textId="77777777" w:rsidR="00000000" w:rsidRDefault="00EB4933">
            <w:pPr>
              <w:pStyle w:val="NormalWeb"/>
              <w:spacing w:before="0" w:beforeAutospacing="0" w:after="0" w:afterAutospacing="0"/>
              <w:jc w:val="center"/>
              <w:rPr>
                <w:sz w:val="20"/>
                <w:szCs w:val="20"/>
              </w:rPr>
            </w:pPr>
            <w:r>
              <w:rPr>
                <w:rStyle w:val="Strong"/>
                <w:sz w:val="20"/>
                <w:szCs w:val="20"/>
              </w:rPr>
              <w:t>For the year ended December 31,</w:t>
            </w:r>
          </w:p>
        </w:tc>
        <w:tc>
          <w:tcPr>
            <w:tcW w:w="50" w:type="pct"/>
            <w:shd w:val="clear" w:color="auto" w:fill="FFFFFF"/>
            <w:noWrap/>
            <w:vAlign w:val="center"/>
            <w:hideMark/>
          </w:tcPr>
          <w:p w14:paraId="2CF9919F" w14:textId="77777777" w:rsidR="00000000" w:rsidRDefault="00EB4933">
            <w:pPr>
              <w:pStyle w:val="NormalWeb"/>
              <w:spacing w:before="0" w:beforeAutospacing="0" w:after="0" w:afterAutospacing="0"/>
              <w:rPr>
                <w:sz w:val="20"/>
                <w:szCs w:val="20"/>
              </w:rPr>
            </w:pPr>
            <w:r>
              <w:rPr>
                <w:sz w:val="20"/>
                <w:szCs w:val="20"/>
              </w:rPr>
              <w:t> </w:t>
            </w:r>
          </w:p>
        </w:tc>
      </w:tr>
      <w:tr w:rsidR="00000000" w14:paraId="0841AB92" w14:textId="77777777">
        <w:trPr>
          <w:divId w:val="98525094"/>
          <w:trHeight w:val="225"/>
          <w:tblCellSpacing w:w="15" w:type="dxa"/>
        </w:trPr>
        <w:tc>
          <w:tcPr>
            <w:tcW w:w="0" w:type="auto"/>
            <w:shd w:val="clear" w:color="auto" w:fill="FFFFFF"/>
            <w:vAlign w:val="center"/>
            <w:hideMark/>
          </w:tcPr>
          <w:p w14:paraId="231431F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CCD52C" w14:textId="77777777" w:rsidR="00000000" w:rsidRDefault="00EB4933">
            <w:pPr>
              <w:pStyle w:val="NormalWeb"/>
              <w:spacing w:before="0" w:beforeAutospacing="0" w:after="0" w:afterAutospacing="0"/>
              <w:rPr>
                <w:sz w:val="20"/>
                <w:szCs w:val="20"/>
              </w:rPr>
            </w:pPr>
            <w:r>
              <w:rPr>
                <w:sz w:val="20"/>
                <w:szCs w:val="20"/>
              </w:rPr>
              <w:t> </w:t>
            </w:r>
          </w:p>
        </w:tc>
        <w:tc>
          <w:tcPr>
            <w:tcW w:w="0" w:type="auto"/>
            <w:gridSpan w:val="2"/>
            <w:tcBorders>
              <w:bottom w:val="single" w:sz="6" w:space="0" w:color="000000"/>
            </w:tcBorders>
            <w:shd w:val="clear" w:color="auto" w:fill="FFFFFF"/>
            <w:vAlign w:val="center"/>
            <w:hideMark/>
          </w:tcPr>
          <w:p w14:paraId="451AE508" w14:textId="77777777" w:rsidR="00000000" w:rsidRDefault="00EB4933">
            <w:pPr>
              <w:pStyle w:val="NormalWeb"/>
              <w:spacing w:before="0" w:beforeAutospacing="0" w:after="0" w:afterAutospacing="0"/>
              <w:jc w:val="center"/>
              <w:rPr>
                <w:sz w:val="20"/>
                <w:szCs w:val="20"/>
              </w:rPr>
            </w:pPr>
            <w:r>
              <w:rPr>
                <w:rStyle w:val="Strong"/>
                <w:sz w:val="20"/>
                <w:szCs w:val="20"/>
              </w:rPr>
              <w:t>2017</w:t>
            </w:r>
          </w:p>
        </w:tc>
        <w:tc>
          <w:tcPr>
            <w:tcW w:w="50" w:type="pct"/>
            <w:shd w:val="clear" w:color="auto" w:fill="FFFFFF"/>
            <w:noWrap/>
            <w:vAlign w:val="center"/>
            <w:hideMark/>
          </w:tcPr>
          <w:p w14:paraId="33D13AE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CD5EF8" w14:textId="77777777" w:rsidR="00000000" w:rsidRDefault="00EB4933">
            <w:pPr>
              <w:pStyle w:val="NormalWeb"/>
              <w:spacing w:before="0" w:beforeAutospacing="0" w:after="0" w:afterAutospacing="0"/>
              <w:rPr>
                <w:sz w:val="20"/>
                <w:szCs w:val="20"/>
              </w:rPr>
            </w:pPr>
            <w:r>
              <w:rPr>
                <w:sz w:val="20"/>
                <w:szCs w:val="20"/>
              </w:rPr>
              <w:t> </w:t>
            </w:r>
          </w:p>
        </w:tc>
        <w:tc>
          <w:tcPr>
            <w:tcW w:w="0" w:type="auto"/>
            <w:gridSpan w:val="2"/>
            <w:tcBorders>
              <w:bottom w:val="single" w:sz="6" w:space="0" w:color="000000"/>
            </w:tcBorders>
            <w:shd w:val="clear" w:color="auto" w:fill="FFFFFF"/>
            <w:vAlign w:val="center"/>
            <w:hideMark/>
          </w:tcPr>
          <w:p w14:paraId="6DC152FE"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50" w:type="pct"/>
            <w:shd w:val="clear" w:color="auto" w:fill="FFFFFF"/>
            <w:noWrap/>
            <w:vAlign w:val="center"/>
            <w:hideMark/>
          </w:tcPr>
          <w:p w14:paraId="2C99C0B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82788F" w14:textId="77777777" w:rsidR="00000000" w:rsidRDefault="00EB4933">
            <w:pPr>
              <w:pStyle w:val="NormalWeb"/>
              <w:spacing w:before="0" w:beforeAutospacing="0" w:after="0" w:afterAutospacing="0"/>
              <w:rPr>
                <w:sz w:val="20"/>
                <w:szCs w:val="20"/>
              </w:rPr>
            </w:pPr>
            <w:r>
              <w:rPr>
                <w:sz w:val="20"/>
                <w:szCs w:val="20"/>
              </w:rPr>
              <w:t> </w:t>
            </w:r>
          </w:p>
        </w:tc>
        <w:tc>
          <w:tcPr>
            <w:tcW w:w="0" w:type="auto"/>
            <w:gridSpan w:val="2"/>
            <w:tcBorders>
              <w:bottom w:val="single" w:sz="6" w:space="0" w:color="000000"/>
            </w:tcBorders>
            <w:shd w:val="clear" w:color="auto" w:fill="FFFFFF"/>
            <w:vAlign w:val="center"/>
            <w:hideMark/>
          </w:tcPr>
          <w:p w14:paraId="2557BE26"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50" w:type="pct"/>
            <w:shd w:val="clear" w:color="auto" w:fill="FFFFFF"/>
            <w:noWrap/>
            <w:vAlign w:val="center"/>
            <w:hideMark/>
          </w:tcPr>
          <w:p w14:paraId="32267420" w14:textId="77777777" w:rsidR="00000000" w:rsidRDefault="00EB4933">
            <w:pPr>
              <w:pStyle w:val="NormalWeb"/>
              <w:spacing w:before="0" w:beforeAutospacing="0" w:after="0" w:afterAutospacing="0"/>
              <w:rPr>
                <w:sz w:val="20"/>
                <w:szCs w:val="20"/>
              </w:rPr>
            </w:pPr>
            <w:r>
              <w:rPr>
                <w:sz w:val="20"/>
                <w:szCs w:val="20"/>
              </w:rPr>
              <w:t> </w:t>
            </w:r>
          </w:p>
        </w:tc>
      </w:tr>
      <w:tr w:rsidR="00000000" w14:paraId="37C1D8F6" w14:textId="77777777">
        <w:trPr>
          <w:divId w:val="98525094"/>
          <w:trHeight w:val="225"/>
          <w:tblCellSpacing w:w="15" w:type="dxa"/>
        </w:trPr>
        <w:tc>
          <w:tcPr>
            <w:tcW w:w="0" w:type="auto"/>
            <w:shd w:val="clear" w:color="auto" w:fill="FFFFFF"/>
            <w:vAlign w:val="center"/>
            <w:hideMark/>
          </w:tcPr>
          <w:p w14:paraId="5A5FBF8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428BEF" w14:textId="77777777" w:rsidR="00000000" w:rsidRDefault="00EB4933">
            <w:pPr>
              <w:pStyle w:val="NormalWeb"/>
              <w:spacing w:before="0" w:beforeAutospacing="0" w:after="0" w:afterAutospacing="0"/>
              <w:rPr>
                <w:sz w:val="20"/>
                <w:szCs w:val="20"/>
              </w:rPr>
            </w:pPr>
            <w:r>
              <w:rPr>
                <w:sz w:val="20"/>
                <w:szCs w:val="20"/>
              </w:rPr>
              <w:t> </w:t>
            </w:r>
          </w:p>
        </w:tc>
        <w:tc>
          <w:tcPr>
            <w:tcW w:w="0" w:type="auto"/>
            <w:gridSpan w:val="2"/>
            <w:shd w:val="clear" w:color="auto" w:fill="FFFFFF"/>
            <w:vAlign w:val="center"/>
            <w:hideMark/>
          </w:tcPr>
          <w:p w14:paraId="61FF2205"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50" w:type="pct"/>
            <w:shd w:val="clear" w:color="auto" w:fill="FFFFFF"/>
            <w:noWrap/>
            <w:vAlign w:val="center"/>
            <w:hideMark/>
          </w:tcPr>
          <w:p w14:paraId="13C8FDA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B69481" w14:textId="77777777" w:rsidR="00000000" w:rsidRDefault="00EB4933">
            <w:pPr>
              <w:pStyle w:val="NormalWeb"/>
              <w:spacing w:before="0" w:beforeAutospacing="0" w:after="0" w:afterAutospacing="0"/>
              <w:rPr>
                <w:sz w:val="20"/>
                <w:szCs w:val="20"/>
              </w:rPr>
            </w:pPr>
            <w:r>
              <w:rPr>
                <w:sz w:val="20"/>
                <w:szCs w:val="20"/>
              </w:rPr>
              <w:t> </w:t>
            </w:r>
          </w:p>
        </w:tc>
        <w:tc>
          <w:tcPr>
            <w:tcW w:w="0" w:type="auto"/>
            <w:gridSpan w:val="2"/>
            <w:shd w:val="clear" w:color="auto" w:fill="FFFFFF"/>
            <w:vAlign w:val="center"/>
            <w:hideMark/>
          </w:tcPr>
          <w:p w14:paraId="176BE73E"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50" w:type="pct"/>
            <w:shd w:val="clear" w:color="auto" w:fill="FFFFFF"/>
            <w:noWrap/>
            <w:vAlign w:val="center"/>
            <w:hideMark/>
          </w:tcPr>
          <w:p w14:paraId="2192E8D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FBB6EF" w14:textId="77777777" w:rsidR="00000000" w:rsidRDefault="00EB4933">
            <w:pPr>
              <w:pStyle w:val="NormalWeb"/>
              <w:spacing w:before="0" w:beforeAutospacing="0" w:after="0" w:afterAutospacing="0"/>
              <w:rPr>
                <w:sz w:val="20"/>
                <w:szCs w:val="20"/>
              </w:rPr>
            </w:pPr>
            <w:r>
              <w:rPr>
                <w:sz w:val="20"/>
                <w:szCs w:val="20"/>
              </w:rPr>
              <w:t> </w:t>
            </w:r>
          </w:p>
        </w:tc>
        <w:tc>
          <w:tcPr>
            <w:tcW w:w="0" w:type="auto"/>
            <w:gridSpan w:val="2"/>
            <w:shd w:val="clear" w:color="auto" w:fill="FFFFFF"/>
            <w:vAlign w:val="center"/>
            <w:hideMark/>
          </w:tcPr>
          <w:p w14:paraId="22A5AA18"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50" w:type="pct"/>
            <w:shd w:val="clear" w:color="auto" w:fill="FFFFFF"/>
            <w:noWrap/>
            <w:vAlign w:val="center"/>
            <w:hideMark/>
          </w:tcPr>
          <w:p w14:paraId="487B2832" w14:textId="77777777" w:rsidR="00000000" w:rsidRDefault="00EB4933">
            <w:pPr>
              <w:pStyle w:val="NormalWeb"/>
              <w:spacing w:before="0" w:beforeAutospacing="0" w:after="0" w:afterAutospacing="0"/>
              <w:rPr>
                <w:sz w:val="20"/>
                <w:szCs w:val="20"/>
              </w:rPr>
            </w:pPr>
            <w:r>
              <w:rPr>
                <w:sz w:val="20"/>
                <w:szCs w:val="20"/>
              </w:rPr>
              <w:t> </w:t>
            </w:r>
          </w:p>
        </w:tc>
      </w:tr>
      <w:tr w:rsidR="00000000" w14:paraId="5FEEC182" w14:textId="77777777">
        <w:trPr>
          <w:divId w:val="98525094"/>
          <w:trHeight w:val="225"/>
          <w:tblCellSpacing w:w="15" w:type="dxa"/>
        </w:trPr>
        <w:tc>
          <w:tcPr>
            <w:tcW w:w="0" w:type="auto"/>
            <w:shd w:val="clear" w:color="auto" w:fill="CCEEFF"/>
            <w:hideMark/>
          </w:tcPr>
          <w:p w14:paraId="22AD2432" w14:textId="77777777" w:rsidR="00000000" w:rsidRDefault="00EB4933">
            <w:pPr>
              <w:pStyle w:val="NormalWeb"/>
              <w:spacing w:before="0" w:beforeAutospacing="0" w:after="0" w:afterAutospacing="0"/>
              <w:jc w:val="both"/>
              <w:rPr>
                <w:sz w:val="20"/>
                <w:szCs w:val="20"/>
              </w:rPr>
            </w:pPr>
            <w:r>
              <w:rPr>
                <w:sz w:val="20"/>
                <w:szCs w:val="20"/>
              </w:rPr>
              <w:t>Interest income on loans</w:t>
            </w:r>
          </w:p>
        </w:tc>
        <w:tc>
          <w:tcPr>
            <w:tcW w:w="50" w:type="pct"/>
            <w:shd w:val="clear" w:color="auto" w:fill="CCEEFF"/>
            <w:noWrap/>
            <w:vAlign w:val="center"/>
            <w:hideMark/>
          </w:tcPr>
          <w:p w14:paraId="675248E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C4F08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04D81D4" w14:textId="77777777" w:rsidR="00000000" w:rsidRDefault="00EB4933">
            <w:pPr>
              <w:jc w:val="right"/>
              <w:rPr>
                <w:rFonts w:eastAsia="Times New Roman"/>
                <w:sz w:val="20"/>
                <w:szCs w:val="20"/>
              </w:rPr>
            </w:pPr>
            <w:r>
              <w:rPr>
                <w:rFonts w:eastAsia="Times New Roman"/>
                <w:sz w:val="20"/>
                <w:szCs w:val="20"/>
              </w:rPr>
              <w:t>119,639</w:t>
            </w:r>
          </w:p>
        </w:tc>
        <w:tc>
          <w:tcPr>
            <w:tcW w:w="50" w:type="pct"/>
            <w:shd w:val="clear" w:color="auto" w:fill="CCEEFF"/>
            <w:noWrap/>
            <w:vAlign w:val="center"/>
            <w:hideMark/>
          </w:tcPr>
          <w:p w14:paraId="487A80B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A929D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B65DB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1361C0F" w14:textId="77777777" w:rsidR="00000000" w:rsidRDefault="00EB4933">
            <w:pPr>
              <w:jc w:val="right"/>
              <w:rPr>
                <w:rFonts w:eastAsia="Times New Roman"/>
                <w:sz w:val="20"/>
                <w:szCs w:val="20"/>
              </w:rPr>
            </w:pPr>
            <w:r>
              <w:rPr>
                <w:rFonts w:eastAsia="Times New Roman"/>
                <w:sz w:val="20"/>
                <w:szCs w:val="20"/>
              </w:rPr>
              <w:t>141,857</w:t>
            </w:r>
          </w:p>
        </w:tc>
        <w:tc>
          <w:tcPr>
            <w:tcW w:w="50" w:type="pct"/>
            <w:shd w:val="clear" w:color="auto" w:fill="CCEEFF"/>
            <w:noWrap/>
            <w:vAlign w:val="center"/>
            <w:hideMark/>
          </w:tcPr>
          <w:p w14:paraId="33DF387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866FA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76DAA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7AFD360" w14:textId="77777777" w:rsidR="00000000" w:rsidRDefault="00EB4933">
            <w:pPr>
              <w:jc w:val="right"/>
              <w:rPr>
                <w:rFonts w:eastAsia="Times New Roman"/>
                <w:sz w:val="20"/>
                <w:szCs w:val="20"/>
              </w:rPr>
            </w:pPr>
            <w:r>
              <w:rPr>
                <w:rFonts w:eastAsia="Times New Roman"/>
                <w:sz w:val="20"/>
                <w:szCs w:val="20"/>
              </w:rPr>
              <w:t>118,396</w:t>
            </w:r>
          </w:p>
        </w:tc>
        <w:tc>
          <w:tcPr>
            <w:tcW w:w="50" w:type="pct"/>
            <w:shd w:val="clear" w:color="auto" w:fill="CCEEFF"/>
            <w:noWrap/>
            <w:vAlign w:val="center"/>
            <w:hideMark/>
          </w:tcPr>
          <w:p w14:paraId="1F4CCA04" w14:textId="77777777" w:rsidR="00000000" w:rsidRDefault="00EB4933">
            <w:pPr>
              <w:pStyle w:val="NormalWeb"/>
              <w:spacing w:before="0" w:beforeAutospacing="0" w:after="0" w:afterAutospacing="0"/>
              <w:rPr>
                <w:sz w:val="20"/>
                <w:szCs w:val="20"/>
              </w:rPr>
            </w:pPr>
            <w:r>
              <w:rPr>
                <w:sz w:val="20"/>
                <w:szCs w:val="20"/>
              </w:rPr>
              <w:t> </w:t>
            </w:r>
          </w:p>
        </w:tc>
      </w:tr>
      <w:tr w:rsidR="00000000" w14:paraId="43E1D867" w14:textId="77777777">
        <w:trPr>
          <w:divId w:val="98525094"/>
          <w:trHeight w:val="225"/>
          <w:tblCellSpacing w:w="15" w:type="dxa"/>
        </w:trPr>
        <w:tc>
          <w:tcPr>
            <w:tcW w:w="0" w:type="auto"/>
            <w:shd w:val="clear" w:color="auto" w:fill="FFFFFF"/>
            <w:hideMark/>
          </w:tcPr>
          <w:p w14:paraId="6582920F" w14:textId="77777777" w:rsidR="00000000" w:rsidRDefault="00EB4933">
            <w:pPr>
              <w:pStyle w:val="NormalWeb"/>
              <w:spacing w:before="0" w:beforeAutospacing="0" w:after="0" w:afterAutospacing="0"/>
              <w:jc w:val="both"/>
              <w:rPr>
                <w:sz w:val="20"/>
                <w:szCs w:val="20"/>
              </w:rPr>
            </w:pPr>
            <w:r>
              <w:rPr>
                <w:sz w:val="20"/>
                <w:szCs w:val="20"/>
              </w:rPr>
              <w:t>Net profit</w:t>
            </w:r>
          </w:p>
        </w:tc>
        <w:tc>
          <w:tcPr>
            <w:tcW w:w="50" w:type="pct"/>
            <w:shd w:val="clear" w:color="auto" w:fill="FFFFFF"/>
            <w:noWrap/>
            <w:vAlign w:val="center"/>
            <w:hideMark/>
          </w:tcPr>
          <w:p w14:paraId="5D2A30A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98488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B238484" w14:textId="77777777" w:rsidR="00000000" w:rsidRDefault="00EB4933">
            <w:pPr>
              <w:jc w:val="right"/>
              <w:rPr>
                <w:rFonts w:eastAsia="Times New Roman"/>
                <w:sz w:val="20"/>
                <w:szCs w:val="20"/>
              </w:rPr>
            </w:pPr>
            <w:r>
              <w:rPr>
                <w:rFonts w:eastAsia="Times New Roman"/>
                <w:sz w:val="20"/>
                <w:szCs w:val="20"/>
              </w:rPr>
              <w:t>28,826</w:t>
            </w:r>
          </w:p>
        </w:tc>
        <w:tc>
          <w:tcPr>
            <w:tcW w:w="50" w:type="pct"/>
            <w:shd w:val="clear" w:color="auto" w:fill="FFFFFF"/>
            <w:noWrap/>
            <w:vAlign w:val="center"/>
            <w:hideMark/>
          </w:tcPr>
          <w:p w14:paraId="6C9F802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03A3C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AF7DE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37F15D6" w14:textId="77777777" w:rsidR="00000000" w:rsidRDefault="00EB4933">
            <w:pPr>
              <w:jc w:val="right"/>
              <w:rPr>
                <w:rFonts w:eastAsia="Times New Roman"/>
                <w:sz w:val="20"/>
                <w:szCs w:val="20"/>
              </w:rPr>
            </w:pPr>
            <w:r>
              <w:rPr>
                <w:rFonts w:eastAsia="Times New Roman"/>
                <w:sz w:val="20"/>
                <w:szCs w:val="20"/>
              </w:rPr>
              <w:t>8,155</w:t>
            </w:r>
          </w:p>
        </w:tc>
        <w:tc>
          <w:tcPr>
            <w:tcW w:w="50" w:type="pct"/>
            <w:shd w:val="clear" w:color="auto" w:fill="FFFFFF"/>
            <w:noWrap/>
            <w:vAlign w:val="center"/>
            <w:hideMark/>
          </w:tcPr>
          <w:p w14:paraId="1D758EA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EF7E2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C883C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675282F" w14:textId="77777777" w:rsidR="00000000" w:rsidRDefault="00EB4933">
            <w:pPr>
              <w:jc w:val="right"/>
              <w:rPr>
                <w:rFonts w:eastAsia="Times New Roman"/>
                <w:sz w:val="20"/>
                <w:szCs w:val="20"/>
              </w:rPr>
            </w:pPr>
            <w:r>
              <w:rPr>
                <w:rFonts w:eastAsia="Times New Roman"/>
                <w:sz w:val="20"/>
                <w:szCs w:val="20"/>
              </w:rPr>
              <w:t>58,616</w:t>
            </w:r>
          </w:p>
        </w:tc>
        <w:tc>
          <w:tcPr>
            <w:tcW w:w="50" w:type="pct"/>
            <w:shd w:val="clear" w:color="auto" w:fill="FFFFFF"/>
            <w:noWrap/>
            <w:vAlign w:val="center"/>
            <w:hideMark/>
          </w:tcPr>
          <w:p w14:paraId="079395AE" w14:textId="77777777" w:rsidR="00000000" w:rsidRDefault="00EB4933">
            <w:pPr>
              <w:pStyle w:val="NormalWeb"/>
              <w:spacing w:before="0" w:beforeAutospacing="0" w:after="0" w:afterAutospacing="0"/>
              <w:rPr>
                <w:sz w:val="20"/>
                <w:szCs w:val="20"/>
              </w:rPr>
            </w:pPr>
            <w:r>
              <w:rPr>
                <w:sz w:val="20"/>
                <w:szCs w:val="20"/>
              </w:rPr>
              <w:t> </w:t>
            </w:r>
          </w:p>
        </w:tc>
      </w:tr>
    </w:tbl>
    <w:p w14:paraId="4A37B6FE"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BD858AD" w14:textId="77777777">
        <w:trPr>
          <w:divId w:val="98525094"/>
          <w:trHeight w:val="225"/>
          <w:tblCellSpacing w:w="15" w:type="dxa"/>
        </w:trPr>
        <w:tc>
          <w:tcPr>
            <w:tcW w:w="0" w:type="auto"/>
            <w:vAlign w:val="center"/>
            <w:hideMark/>
          </w:tcPr>
          <w:p w14:paraId="5674045D" w14:textId="77777777" w:rsidR="00000000" w:rsidRDefault="00EB4933">
            <w:pPr>
              <w:rPr>
                <w:rFonts w:eastAsia="Times New Roman"/>
                <w:sz w:val="20"/>
                <w:szCs w:val="20"/>
              </w:rPr>
            </w:pPr>
            <w:r>
              <w:rPr>
                <w:rFonts w:eastAsia="Times New Roman"/>
                <w:sz w:val="20"/>
                <w:szCs w:val="20"/>
              </w:rPr>
              <w:t> </w:t>
            </w:r>
          </w:p>
        </w:tc>
      </w:tr>
      <w:tr w:rsidR="00000000" w14:paraId="13C76208" w14:textId="77777777">
        <w:trPr>
          <w:divId w:val="98525094"/>
          <w:trHeight w:val="225"/>
          <w:tblCellSpacing w:w="15" w:type="dxa"/>
        </w:trPr>
        <w:tc>
          <w:tcPr>
            <w:tcW w:w="0" w:type="auto"/>
            <w:tcBorders>
              <w:bottom w:val="single" w:sz="6" w:space="0" w:color="000000"/>
            </w:tcBorders>
            <w:vAlign w:val="center"/>
            <w:hideMark/>
          </w:tcPr>
          <w:p w14:paraId="75CEA61B" w14:textId="77777777" w:rsidR="00000000" w:rsidRDefault="00EB4933">
            <w:pPr>
              <w:jc w:val="center"/>
              <w:rPr>
                <w:rFonts w:eastAsia="Times New Roman"/>
                <w:sz w:val="20"/>
                <w:szCs w:val="20"/>
              </w:rPr>
            </w:pPr>
            <w:r>
              <w:rPr>
                <w:rFonts w:eastAsia="Times New Roman"/>
                <w:sz w:val="20"/>
                <w:szCs w:val="20"/>
              </w:rPr>
              <w:t>F-16</w:t>
            </w:r>
          </w:p>
        </w:tc>
      </w:tr>
      <w:tr w:rsidR="00000000" w14:paraId="597F7245" w14:textId="77777777">
        <w:trPr>
          <w:divId w:val="98525094"/>
          <w:trHeight w:val="225"/>
          <w:tblCellSpacing w:w="15" w:type="dxa"/>
        </w:trPr>
        <w:tc>
          <w:tcPr>
            <w:tcW w:w="0" w:type="auto"/>
            <w:vAlign w:val="center"/>
            <w:hideMark/>
          </w:tcPr>
          <w:p w14:paraId="63088912" w14:textId="77777777" w:rsidR="00000000" w:rsidRDefault="00EB4933">
            <w:pPr>
              <w:rPr>
                <w:rFonts w:eastAsia="Times New Roman"/>
                <w:sz w:val="20"/>
                <w:szCs w:val="20"/>
              </w:rPr>
            </w:pPr>
          </w:p>
        </w:tc>
      </w:tr>
      <w:tr w:rsidR="00000000" w14:paraId="50FEA509" w14:textId="77777777">
        <w:trPr>
          <w:divId w:val="98525094"/>
          <w:trHeight w:val="225"/>
          <w:tblCellSpacing w:w="15" w:type="dxa"/>
        </w:trPr>
        <w:tc>
          <w:tcPr>
            <w:tcW w:w="0" w:type="auto"/>
            <w:vAlign w:val="center"/>
            <w:hideMark/>
          </w:tcPr>
          <w:p w14:paraId="094FAF24" w14:textId="77777777" w:rsidR="00000000" w:rsidRDefault="00EB4933">
            <w:pPr>
              <w:rPr>
                <w:rFonts w:eastAsia="Times New Roman"/>
                <w:sz w:val="20"/>
                <w:szCs w:val="20"/>
              </w:rPr>
            </w:pPr>
            <w:hyperlink r:id="rId233" w:anchor="finindex" w:history="1">
              <w:r>
                <w:rPr>
                  <w:rStyle w:val="Hyperlink"/>
                  <w:rFonts w:eastAsia="Times New Roman"/>
                  <w:i/>
                  <w:iCs/>
                  <w:sz w:val="20"/>
                  <w:szCs w:val="20"/>
                </w:rPr>
                <w:t>Table of Contents</w:t>
              </w:r>
            </w:hyperlink>
          </w:p>
        </w:tc>
      </w:tr>
    </w:tbl>
    <w:p w14:paraId="540E2382"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3D7518E1"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504843BB"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7F5B4E85"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FOR THE FINANCIAL YEAR ENDED 2017, 2018 AND 2019 </w:t>
      </w:r>
    </w:p>
    <w:p w14:paraId="6CE0529A"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74CDDBBF" w14:textId="77777777" w:rsidR="00000000" w:rsidRDefault="00EB4933">
      <w:pPr>
        <w:pStyle w:val="NormalWeb"/>
        <w:spacing w:before="0" w:beforeAutospacing="0" w:after="0" w:afterAutospacing="0"/>
        <w:jc w:val="both"/>
        <w:divId w:val="98525094"/>
        <w:rPr>
          <w:sz w:val="20"/>
          <w:szCs w:val="20"/>
        </w:rPr>
      </w:pPr>
      <w:r>
        <w:rPr>
          <w:rStyle w:val="Strong"/>
          <w:sz w:val="20"/>
          <w:szCs w:val="20"/>
        </w:rPr>
        <w:t>1.</w:t>
      </w:r>
      <w:r>
        <w:rPr>
          <w:rStyle w:val="Strong"/>
          <w:sz w:val="14"/>
          <w:szCs w:val="14"/>
        </w:rPr>
        <w:t xml:space="preserve"> </w:t>
      </w:r>
      <w:r>
        <w:rPr>
          <w:rStyle w:val="Strong"/>
          <w:sz w:val="20"/>
          <w:szCs w:val="20"/>
        </w:rPr>
        <w:t>Organization and principal activities – continued</w:t>
      </w:r>
    </w:p>
    <w:p w14:paraId="18742DB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C09AA28" w14:textId="77777777" w:rsidR="00000000" w:rsidRDefault="00EB4933">
      <w:pPr>
        <w:pStyle w:val="NormalWeb"/>
        <w:spacing w:before="0" w:beforeAutospacing="0" w:after="0" w:afterAutospacing="0"/>
        <w:ind w:left="675"/>
        <w:jc w:val="both"/>
        <w:divId w:val="98525094"/>
        <w:rPr>
          <w:sz w:val="20"/>
          <w:szCs w:val="20"/>
        </w:rPr>
      </w:pPr>
      <w:r>
        <w:rPr>
          <w:rStyle w:val="Emphasis"/>
          <w:sz w:val="20"/>
          <w:szCs w:val="20"/>
        </w:rPr>
        <w:t>Risks in relation to the VIE structure</w:t>
      </w:r>
      <w:r>
        <w:rPr>
          <w:sz w:val="20"/>
          <w:szCs w:val="20"/>
        </w:rPr>
        <w:t xml:space="preserve"> – continued</w:t>
      </w:r>
    </w:p>
    <w:p w14:paraId="59D1859D"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55FFC401" w14:textId="77777777" w:rsidR="00000000" w:rsidRDefault="00EB4933">
      <w:pPr>
        <w:pStyle w:val="NormalWeb"/>
        <w:spacing w:before="0" w:beforeAutospacing="0" w:after="0" w:afterAutospacing="0"/>
        <w:ind w:left="675"/>
        <w:jc w:val="both"/>
        <w:divId w:val="98525094"/>
        <w:rPr>
          <w:sz w:val="20"/>
          <w:szCs w:val="20"/>
        </w:rPr>
      </w:pPr>
      <w:r>
        <w:rPr>
          <w:sz w:val="20"/>
          <w:szCs w:val="20"/>
        </w:rPr>
        <w:t>The VIEs contributed an aggregate of 100.0%, 100.0% and 100.0% of the consolidated interest inc</w:t>
      </w:r>
      <w:r>
        <w:rPr>
          <w:sz w:val="20"/>
          <w:szCs w:val="20"/>
        </w:rPr>
        <w:t xml:space="preserve">ome on loans for the years ended December 31, 2017, 2018 and 2019, respectively. As of December 31, 2018 and 2019, the VIEs accounted for an aggregate of 101.4% and 100.0%, respectively, of the consolidated total assets, and 99.9% and 99.3%, respectively, </w:t>
      </w:r>
      <w:r>
        <w:rPr>
          <w:sz w:val="20"/>
          <w:szCs w:val="20"/>
        </w:rPr>
        <w:t>of the consolidated total liabilities.</w:t>
      </w:r>
    </w:p>
    <w:p w14:paraId="500F50C0"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7699AF49" w14:textId="77777777" w:rsidR="00000000" w:rsidRDefault="00EB4933">
      <w:pPr>
        <w:pStyle w:val="NormalWeb"/>
        <w:spacing w:before="0" w:beforeAutospacing="0" w:after="0" w:afterAutospacing="0"/>
        <w:ind w:left="675"/>
        <w:jc w:val="both"/>
        <w:divId w:val="98525094"/>
        <w:rPr>
          <w:sz w:val="20"/>
          <w:szCs w:val="20"/>
        </w:rPr>
      </w:pPr>
      <w:r>
        <w:rPr>
          <w:sz w:val="20"/>
          <w:szCs w:val="20"/>
        </w:rPr>
        <w:t>There are no consolidated VIEs’ assets that are collateral for the VIEs’ obligations and can only be used to settle the VIEs’ obligations. There are no creditors (or beneficial interest holders) of the VIEs that hav</w:t>
      </w:r>
      <w:r>
        <w:rPr>
          <w:sz w:val="20"/>
          <w:szCs w:val="20"/>
        </w:rPr>
        <w:t>e recourse to the general credit of the Company or any of its consolidated subsidiaries. There are no terms in any arrangements, considering both explicit arrangements and implicit variable interests, which require the Company or its subsidiaries to provid</w:t>
      </w:r>
      <w:r>
        <w:rPr>
          <w:sz w:val="20"/>
          <w:szCs w:val="20"/>
        </w:rPr>
        <w:t>e financial support to the VIEs. However, if the VIEs ever need financial support, the Company or its subsidiaries may, at its option and subject to statutory limits and restrictions, provide financial support to its VIEs through loans to the shareholder o</w:t>
      </w:r>
      <w:r>
        <w:rPr>
          <w:sz w:val="20"/>
          <w:szCs w:val="20"/>
        </w:rPr>
        <w:t>f the VIEs or entrustment loans to the VIEs.</w:t>
      </w:r>
    </w:p>
    <w:p w14:paraId="00E6860C"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26B13E06" w14:textId="77777777" w:rsidR="00000000" w:rsidRDefault="00EB4933">
      <w:pPr>
        <w:pStyle w:val="NormalWeb"/>
        <w:spacing w:before="0" w:beforeAutospacing="0" w:after="0" w:afterAutospacing="0"/>
        <w:ind w:left="675"/>
        <w:jc w:val="both"/>
        <w:divId w:val="98525094"/>
        <w:rPr>
          <w:sz w:val="20"/>
          <w:szCs w:val="20"/>
        </w:rPr>
      </w:pPr>
      <w:r>
        <w:rPr>
          <w:sz w:val="20"/>
          <w:szCs w:val="20"/>
        </w:rPr>
        <w:t>On December 23, 2018, the State Council submitted the draft version of the Foreign Investment Law to the Standing Committee of the National People’s Congress, which was promulgated by the National People’s Con</w:t>
      </w:r>
      <w:r>
        <w:rPr>
          <w:sz w:val="20"/>
          <w:szCs w:val="20"/>
        </w:rPr>
        <w:t>gress on its official site on December 26, 2018 for public consultation until February 24, 2019. On March 15, 2019, the National People’s Congress approved the Foreign Investment Law, which On December 23, 2018, the PRC State Council submitted the draft ve</w:t>
      </w:r>
      <w:r>
        <w:rPr>
          <w:sz w:val="20"/>
          <w:szCs w:val="20"/>
        </w:rPr>
        <w:t>rsion of the Foreign Investment Law to the Standing Committee of the National People’s Congress, which was promulgated by the National People’s Congress on its official site on December 26, 2018 for public consultation until February 24, 2019. On March 15,</w:t>
      </w:r>
      <w:r>
        <w:rPr>
          <w:sz w:val="20"/>
          <w:szCs w:val="20"/>
        </w:rPr>
        <w:t xml:space="preserve"> 2019, the National People’s Congress approved the Foreign Investment Law, which will come into effect on January 1, 2020 and replace the trio of existing laws regulating foreign investment in China, namely, the Sino-foreign Equity Joint Venture Enterprise</w:t>
      </w:r>
      <w:r>
        <w:rPr>
          <w:sz w:val="20"/>
          <w:szCs w:val="20"/>
        </w:rPr>
        <w:t xml:space="preserve"> Law, the Sino-foreign Cooperative Joint Venture Enterprise Law and the Wholly Foreign-invested Enterprise Law, together with their implementation rules and ancillary regulations.</w:t>
      </w:r>
    </w:p>
    <w:p w14:paraId="78A5207A"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CF138D7" w14:textId="77777777">
        <w:trPr>
          <w:divId w:val="98525094"/>
          <w:trHeight w:val="225"/>
          <w:tblCellSpacing w:w="15" w:type="dxa"/>
        </w:trPr>
        <w:tc>
          <w:tcPr>
            <w:tcW w:w="0" w:type="auto"/>
            <w:vAlign w:val="center"/>
            <w:hideMark/>
          </w:tcPr>
          <w:p w14:paraId="71DBEBC7" w14:textId="77777777" w:rsidR="00000000" w:rsidRDefault="00EB4933">
            <w:pPr>
              <w:rPr>
                <w:rFonts w:eastAsia="Times New Roman"/>
                <w:sz w:val="20"/>
                <w:szCs w:val="20"/>
              </w:rPr>
            </w:pPr>
            <w:r>
              <w:rPr>
                <w:rFonts w:eastAsia="Times New Roman"/>
                <w:sz w:val="20"/>
                <w:szCs w:val="20"/>
              </w:rPr>
              <w:t> </w:t>
            </w:r>
          </w:p>
        </w:tc>
      </w:tr>
      <w:tr w:rsidR="00000000" w14:paraId="407795BF" w14:textId="77777777">
        <w:trPr>
          <w:divId w:val="98525094"/>
          <w:trHeight w:val="225"/>
          <w:tblCellSpacing w:w="15" w:type="dxa"/>
        </w:trPr>
        <w:tc>
          <w:tcPr>
            <w:tcW w:w="0" w:type="auto"/>
            <w:tcBorders>
              <w:bottom w:val="single" w:sz="6" w:space="0" w:color="000000"/>
            </w:tcBorders>
            <w:vAlign w:val="center"/>
            <w:hideMark/>
          </w:tcPr>
          <w:p w14:paraId="6D1E5A35" w14:textId="77777777" w:rsidR="00000000" w:rsidRDefault="00EB4933">
            <w:pPr>
              <w:jc w:val="center"/>
              <w:rPr>
                <w:rFonts w:eastAsia="Times New Roman"/>
                <w:sz w:val="20"/>
                <w:szCs w:val="20"/>
              </w:rPr>
            </w:pPr>
            <w:r>
              <w:rPr>
                <w:rFonts w:eastAsia="Times New Roman"/>
                <w:sz w:val="20"/>
                <w:szCs w:val="20"/>
              </w:rPr>
              <w:t>F-17</w:t>
            </w:r>
          </w:p>
        </w:tc>
      </w:tr>
      <w:tr w:rsidR="00000000" w14:paraId="306692BF" w14:textId="77777777">
        <w:trPr>
          <w:divId w:val="98525094"/>
          <w:trHeight w:val="225"/>
          <w:tblCellSpacing w:w="15" w:type="dxa"/>
        </w:trPr>
        <w:tc>
          <w:tcPr>
            <w:tcW w:w="0" w:type="auto"/>
            <w:vAlign w:val="center"/>
            <w:hideMark/>
          </w:tcPr>
          <w:p w14:paraId="46B888D8" w14:textId="77777777" w:rsidR="00000000" w:rsidRDefault="00EB4933">
            <w:pPr>
              <w:rPr>
                <w:rFonts w:eastAsia="Times New Roman"/>
                <w:sz w:val="20"/>
                <w:szCs w:val="20"/>
              </w:rPr>
            </w:pPr>
          </w:p>
        </w:tc>
      </w:tr>
      <w:tr w:rsidR="00000000" w14:paraId="48EADFB1" w14:textId="77777777">
        <w:trPr>
          <w:divId w:val="98525094"/>
          <w:trHeight w:val="225"/>
          <w:tblCellSpacing w:w="15" w:type="dxa"/>
        </w:trPr>
        <w:tc>
          <w:tcPr>
            <w:tcW w:w="0" w:type="auto"/>
            <w:vAlign w:val="center"/>
            <w:hideMark/>
          </w:tcPr>
          <w:p w14:paraId="6A187FC7" w14:textId="77777777" w:rsidR="00000000" w:rsidRDefault="00EB4933">
            <w:pPr>
              <w:rPr>
                <w:rFonts w:eastAsia="Times New Roman"/>
                <w:sz w:val="20"/>
                <w:szCs w:val="20"/>
              </w:rPr>
            </w:pPr>
            <w:hyperlink r:id="rId234" w:anchor="finindex" w:history="1">
              <w:r>
                <w:rPr>
                  <w:rStyle w:val="Hyperlink"/>
                  <w:rFonts w:eastAsia="Times New Roman"/>
                  <w:i/>
                  <w:iCs/>
                  <w:sz w:val="20"/>
                  <w:szCs w:val="20"/>
                </w:rPr>
                <w:t>Table of Contents</w:t>
              </w:r>
            </w:hyperlink>
          </w:p>
        </w:tc>
      </w:tr>
    </w:tbl>
    <w:p w14:paraId="7594607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844B268"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5E7D1439"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7F7DC3BE" w14:textId="77777777" w:rsidR="00000000" w:rsidRDefault="00EB4933">
      <w:pPr>
        <w:pStyle w:val="NormalWeb"/>
        <w:spacing w:before="0" w:beforeAutospacing="0" w:after="0" w:afterAutospacing="0"/>
        <w:jc w:val="both"/>
        <w:divId w:val="98525094"/>
        <w:rPr>
          <w:sz w:val="20"/>
          <w:szCs w:val="20"/>
        </w:rPr>
      </w:pPr>
      <w:r>
        <w:rPr>
          <w:rStyle w:val="Strong"/>
          <w:sz w:val="20"/>
          <w:szCs w:val="20"/>
        </w:rPr>
        <w:lastRenderedPageBreak/>
        <w:t xml:space="preserve">FOR THE FINANCIAL YEAR ENDED 2017, 2018 AND 2019 </w:t>
      </w:r>
    </w:p>
    <w:p w14:paraId="16CB459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F39652F" w14:textId="77777777" w:rsidR="00000000" w:rsidRDefault="00EB4933">
      <w:pPr>
        <w:pStyle w:val="NormalWeb"/>
        <w:spacing w:before="0" w:beforeAutospacing="0" w:after="0" w:afterAutospacing="0"/>
        <w:jc w:val="both"/>
        <w:divId w:val="98525094"/>
        <w:rPr>
          <w:sz w:val="20"/>
          <w:szCs w:val="20"/>
        </w:rPr>
      </w:pPr>
      <w:r>
        <w:rPr>
          <w:rStyle w:val="Strong"/>
          <w:sz w:val="20"/>
          <w:szCs w:val="20"/>
        </w:rPr>
        <w:t>2.</w:t>
      </w:r>
      <w:r>
        <w:rPr>
          <w:rStyle w:val="Strong"/>
          <w:sz w:val="14"/>
          <w:szCs w:val="14"/>
        </w:rPr>
        <w:t> </w:t>
      </w:r>
      <w:r>
        <w:rPr>
          <w:rStyle w:val="Strong"/>
          <w:sz w:val="20"/>
          <w:szCs w:val="20"/>
        </w:rPr>
        <w:t>Summary of significant accounting policies</w:t>
      </w:r>
    </w:p>
    <w:p w14:paraId="27EB7FD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09309D6" w14:textId="77777777" w:rsidR="00000000" w:rsidRDefault="00EB4933">
      <w:pPr>
        <w:pStyle w:val="NormalWeb"/>
        <w:spacing w:before="0" w:beforeAutospacing="0" w:after="0" w:afterAutospacing="0"/>
        <w:jc w:val="both"/>
        <w:divId w:val="98525094"/>
        <w:rPr>
          <w:sz w:val="20"/>
          <w:szCs w:val="20"/>
        </w:rPr>
      </w:pPr>
      <w:r>
        <w:rPr>
          <w:sz w:val="20"/>
          <w:szCs w:val="20"/>
        </w:rPr>
        <w:t>This note provides a list of the significant accounting policies adopted in the preparation of these consolidated financial statements. These accounting policies have been consistently applied to all the years p</w:t>
      </w:r>
      <w:r>
        <w:rPr>
          <w:sz w:val="20"/>
          <w:szCs w:val="20"/>
        </w:rPr>
        <w:t>resented, unless otherwise stated. The financial statements are for the group consisting of Dunxin Financial Holdings Limited, its subsidiaries and variable interest entity (the “Group”).</w:t>
      </w:r>
    </w:p>
    <w:p w14:paraId="73ECFDD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5D38D5A" w14:textId="77777777" w:rsidR="00000000" w:rsidRDefault="00EB4933">
      <w:pPr>
        <w:pStyle w:val="NormalWeb"/>
        <w:spacing w:before="0" w:beforeAutospacing="0" w:after="0" w:afterAutospacing="0"/>
        <w:jc w:val="both"/>
        <w:divId w:val="98525094"/>
        <w:rPr>
          <w:sz w:val="20"/>
          <w:szCs w:val="20"/>
        </w:rPr>
      </w:pPr>
      <w:r>
        <w:rPr>
          <w:rStyle w:val="Strong"/>
          <w:sz w:val="20"/>
          <w:szCs w:val="20"/>
        </w:rPr>
        <w:t>2.1</w:t>
      </w:r>
      <w:r>
        <w:rPr>
          <w:rStyle w:val="Strong"/>
          <w:sz w:val="14"/>
          <w:szCs w:val="14"/>
        </w:rPr>
        <w:t> </w:t>
      </w:r>
      <w:r>
        <w:rPr>
          <w:rStyle w:val="Strong"/>
          <w:sz w:val="20"/>
          <w:szCs w:val="20"/>
        </w:rPr>
        <w:t>Basis of preparation</w:t>
      </w:r>
    </w:p>
    <w:p w14:paraId="7FE2AAF4"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46C2BB7D" w14:textId="77777777">
        <w:trPr>
          <w:divId w:val="98525094"/>
          <w:trHeight w:val="225"/>
          <w:tblCellSpacing w:w="15" w:type="dxa"/>
        </w:trPr>
        <w:tc>
          <w:tcPr>
            <w:tcW w:w="200" w:type="pct"/>
            <w:hideMark/>
          </w:tcPr>
          <w:p w14:paraId="35C55D1C" w14:textId="77777777" w:rsidR="00000000" w:rsidRDefault="00EB4933">
            <w:pPr>
              <w:pStyle w:val="NormalWeb"/>
              <w:spacing w:before="0" w:beforeAutospacing="0" w:after="0" w:afterAutospacing="0"/>
              <w:rPr>
                <w:sz w:val="20"/>
                <w:szCs w:val="20"/>
              </w:rPr>
            </w:pPr>
            <w:r>
              <w:rPr>
                <w:sz w:val="20"/>
                <w:szCs w:val="20"/>
              </w:rPr>
              <w:t xml:space="preserve">(i) </w:t>
            </w:r>
          </w:p>
        </w:tc>
        <w:tc>
          <w:tcPr>
            <w:tcW w:w="0" w:type="auto"/>
            <w:hideMark/>
          </w:tcPr>
          <w:p w14:paraId="6F91C86C" w14:textId="77777777" w:rsidR="00000000" w:rsidRDefault="00EB4933">
            <w:pPr>
              <w:rPr>
                <w:rFonts w:eastAsia="Times New Roman"/>
                <w:sz w:val="20"/>
                <w:szCs w:val="20"/>
              </w:rPr>
            </w:pPr>
            <w:r>
              <w:rPr>
                <w:rFonts w:eastAsia="Times New Roman"/>
                <w:sz w:val="20"/>
                <w:szCs w:val="20"/>
              </w:rPr>
              <w:t>Compliance with IFRS</w:t>
            </w:r>
          </w:p>
        </w:tc>
      </w:tr>
      <w:tr w:rsidR="00000000" w14:paraId="4FF6E8F0" w14:textId="77777777">
        <w:trPr>
          <w:divId w:val="98525094"/>
          <w:trHeight w:val="225"/>
          <w:tblCellSpacing w:w="15" w:type="dxa"/>
        </w:trPr>
        <w:tc>
          <w:tcPr>
            <w:tcW w:w="0" w:type="auto"/>
            <w:vAlign w:val="center"/>
            <w:hideMark/>
          </w:tcPr>
          <w:p w14:paraId="379F85C0"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7DDADA55" w14:textId="77777777" w:rsidR="00000000" w:rsidRDefault="00EB4933">
            <w:pPr>
              <w:pStyle w:val="NormalWeb"/>
              <w:spacing w:before="0" w:beforeAutospacing="0" w:after="0" w:afterAutospacing="0"/>
              <w:rPr>
                <w:sz w:val="20"/>
                <w:szCs w:val="20"/>
              </w:rPr>
            </w:pPr>
            <w:r>
              <w:rPr>
                <w:sz w:val="20"/>
                <w:szCs w:val="20"/>
              </w:rPr>
              <w:t> </w:t>
            </w:r>
          </w:p>
        </w:tc>
      </w:tr>
      <w:tr w:rsidR="00000000" w14:paraId="3AEC0846" w14:textId="77777777">
        <w:trPr>
          <w:divId w:val="98525094"/>
          <w:trHeight w:val="225"/>
          <w:tblCellSpacing w:w="15" w:type="dxa"/>
        </w:trPr>
        <w:tc>
          <w:tcPr>
            <w:tcW w:w="0" w:type="auto"/>
            <w:vAlign w:val="center"/>
            <w:hideMark/>
          </w:tcPr>
          <w:p w14:paraId="4E5314FB"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6458BA32" w14:textId="77777777" w:rsidR="00000000" w:rsidRDefault="00EB4933">
            <w:pPr>
              <w:pStyle w:val="NormalWeb"/>
              <w:spacing w:before="0" w:beforeAutospacing="0" w:after="0" w:afterAutospacing="0"/>
              <w:rPr>
                <w:sz w:val="20"/>
                <w:szCs w:val="20"/>
              </w:rPr>
            </w:pPr>
            <w:r>
              <w:rPr>
                <w:sz w:val="20"/>
                <w:szCs w:val="20"/>
              </w:rPr>
              <w:t>The consolidated financial statements of the Group have been prepared in accordance with applicable International Financial Reporting Standards (“IFRS”) as issued by the International Accounting Standards Board.</w:t>
            </w:r>
          </w:p>
        </w:tc>
      </w:tr>
      <w:tr w:rsidR="00000000" w14:paraId="6ADB2789" w14:textId="77777777">
        <w:trPr>
          <w:divId w:val="98525094"/>
          <w:trHeight w:val="225"/>
          <w:tblCellSpacing w:w="15" w:type="dxa"/>
        </w:trPr>
        <w:tc>
          <w:tcPr>
            <w:tcW w:w="0" w:type="auto"/>
            <w:vAlign w:val="center"/>
            <w:hideMark/>
          </w:tcPr>
          <w:p w14:paraId="0C0645CA"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67B0207C" w14:textId="77777777" w:rsidR="00000000" w:rsidRDefault="00EB4933">
            <w:pPr>
              <w:pStyle w:val="NormalWeb"/>
              <w:spacing w:before="0" w:beforeAutospacing="0" w:after="0" w:afterAutospacing="0"/>
              <w:rPr>
                <w:sz w:val="20"/>
                <w:szCs w:val="20"/>
              </w:rPr>
            </w:pPr>
            <w:r>
              <w:rPr>
                <w:sz w:val="20"/>
                <w:szCs w:val="20"/>
              </w:rPr>
              <w:t> </w:t>
            </w:r>
          </w:p>
        </w:tc>
      </w:tr>
      <w:tr w:rsidR="00000000" w14:paraId="3644D0B1" w14:textId="77777777">
        <w:trPr>
          <w:divId w:val="98525094"/>
          <w:trHeight w:val="225"/>
          <w:tblCellSpacing w:w="15" w:type="dxa"/>
        </w:trPr>
        <w:tc>
          <w:tcPr>
            <w:tcW w:w="0" w:type="auto"/>
            <w:vAlign w:val="center"/>
            <w:hideMark/>
          </w:tcPr>
          <w:p w14:paraId="7488A196" w14:textId="77777777" w:rsidR="00000000" w:rsidRDefault="00EB4933">
            <w:pPr>
              <w:pStyle w:val="NormalWeb"/>
              <w:spacing w:before="0" w:beforeAutospacing="0" w:after="0" w:afterAutospacing="0"/>
              <w:rPr>
                <w:sz w:val="20"/>
                <w:szCs w:val="20"/>
              </w:rPr>
            </w:pPr>
            <w:r>
              <w:rPr>
                <w:sz w:val="20"/>
                <w:szCs w:val="20"/>
              </w:rPr>
              <w:t>(ii)</w:t>
            </w:r>
          </w:p>
        </w:tc>
        <w:tc>
          <w:tcPr>
            <w:tcW w:w="0" w:type="auto"/>
            <w:vAlign w:val="center"/>
            <w:hideMark/>
          </w:tcPr>
          <w:p w14:paraId="38ABEA35" w14:textId="77777777" w:rsidR="00000000" w:rsidRDefault="00EB4933">
            <w:pPr>
              <w:pStyle w:val="NormalWeb"/>
              <w:spacing w:before="0" w:beforeAutospacing="0" w:after="0" w:afterAutospacing="0"/>
              <w:rPr>
                <w:sz w:val="20"/>
                <w:szCs w:val="20"/>
              </w:rPr>
            </w:pPr>
            <w:r>
              <w:rPr>
                <w:sz w:val="20"/>
                <w:szCs w:val="20"/>
              </w:rPr>
              <w:t>Hist</w:t>
            </w:r>
            <w:r>
              <w:rPr>
                <w:sz w:val="20"/>
                <w:szCs w:val="20"/>
              </w:rPr>
              <w:t>orical cost convention</w:t>
            </w:r>
          </w:p>
        </w:tc>
      </w:tr>
      <w:tr w:rsidR="00000000" w14:paraId="6ED706CD" w14:textId="77777777">
        <w:trPr>
          <w:divId w:val="98525094"/>
          <w:trHeight w:val="225"/>
          <w:tblCellSpacing w:w="15" w:type="dxa"/>
        </w:trPr>
        <w:tc>
          <w:tcPr>
            <w:tcW w:w="0" w:type="auto"/>
            <w:vAlign w:val="center"/>
            <w:hideMark/>
          </w:tcPr>
          <w:p w14:paraId="0906DD30"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67602778" w14:textId="77777777" w:rsidR="00000000" w:rsidRDefault="00EB4933">
            <w:pPr>
              <w:pStyle w:val="NormalWeb"/>
              <w:spacing w:before="0" w:beforeAutospacing="0" w:after="0" w:afterAutospacing="0"/>
              <w:rPr>
                <w:sz w:val="20"/>
                <w:szCs w:val="20"/>
              </w:rPr>
            </w:pPr>
            <w:r>
              <w:rPr>
                <w:sz w:val="20"/>
                <w:szCs w:val="20"/>
              </w:rPr>
              <w:t> </w:t>
            </w:r>
          </w:p>
        </w:tc>
      </w:tr>
      <w:tr w:rsidR="00000000" w14:paraId="208D76E0" w14:textId="77777777">
        <w:trPr>
          <w:divId w:val="98525094"/>
          <w:trHeight w:val="225"/>
          <w:tblCellSpacing w:w="15" w:type="dxa"/>
        </w:trPr>
        <w:tc>
          <w:tcPr>
            <w:tcW w:w="0" w:type="auto"/>
            <w:vAlign w:val="center"/>
            <w:hideMark/>
          </w:tcPr>
          <w:p w14:paraId="4A2CC901"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3327FFCF" w14:textId="77777777" w:rsidR="00000000" w:rsidRDefault="00EB4933">
            <w:pPr>
              <w:pStyle w:val="NormalWeb"/>
              <w:spacing w:before="0" w:beforeAutospacing="0" w:after="0" w:afterAutospacing="0"/>
              <w:rPr>
                <w:sz w:val="20"/>
                <w:szCs w:val="20"/>
              </w:rPr>
            </w:pPr>
            <w:r>
              <w:rPr>
                <w:sz w:val="20"/>
                <w:szCs w:val="20"/>
              </w:rPr>
              <w:t>The financial statements have been prepared on a historical cost basis.</w:t>
            </w:r>
          </w:p>
        </w:tc>
      </w:tr>
      <w:tr w:rsidR="00000000" w14:paraId="415BE795" w14:textId="77777777">
        <w:trPr>
          <w:divId w:val="98525094"/>
          <w:trHeight w:val="225"/>
          <w:tblCellSpacing w:w="15" w:type="dxa"/>
        </w:trPr>
        <w:tc>
          <w:tcPr>
            <w:tcW w:w="0" w:type="auto"/>
            <w:vAlign w:val="center"/>
            <w:hideMark/>
          </w:tcPr>
          <w:p w14:paraId="6E163E92"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666B6704" w14:textId="77777777" w:rsidR="00000000" w:rsidRDefault="00EB4933">
            <w:pPr>
              <w:pStyle w:val="NormalWeb"/>
              <w:spacing w:before="0" w:beforeAutospacing="0" w:after="0" w:afterAutospacing="0"/>
              <w:rPr>
                <w:sz w:val="20"/>
                <w:szCs w:val="20"/>
              </w:rPr>
            </w:pPr>
            <w:r>
              <w:rPr>
                <w:sz w:val="20"/>
                <w:szCs w:val="20"/>
              </w:rPr>
              <w:t> </w:t>
            </w:r>
          </w:p>
        </w:tc>
      </w:tr>
      <w:tr w:rsidR="00000000" w14:paraId="376B0449" w14:textId="77777777">
        <w:trPr>
          <w:divId w:val="98525094"/>
          <w:trHeight w:val="225"/>
          <w:tblCellSpacing w:w="15" w:type="dxa"/>
        </w:trPr>
        <w:tc>
          <w:tcPr>
            <w:tcW w:w="0" w:type="auto"/>
            <w:vAlign w:val="center"/>
            <w:hideMark/>
          </w:tcPr>
          <w:p w14:paraId="7DD024E1" w14:textId="77777777" w:rsidR="00000000" w:rsidRDefault="00EB4933">
            <w:pPr>
              <w:pStyle w:val="NormalWeb"/>
              <w:spacing w:before="0" w:beforeAutospacing="0" w:after="0" w:afterAutospacing="0"/>
              <w:rPr>
                <w:sz w:val="20"/>
                <w:szCs w:val="20"/>
              </w:rPr>
            </w:pPr>
            <w:r>
              <w:rPr>
                <w:sz w:val="20"/>
                <w:szCs w:val="20"/>
              </w:rPr>
              <w:t>(iii)</w:t>
            </w:r>
          </w:p>
        </w:tc>
        <w:tc>
          <w:tcPr>
            <w:tcW w:w="0" w:type="auto"/>
            <w:vAlign w:val="center"/>
            <w:hideMark/>
          </w:tcPr>
          <w:p w14:paraId="3523BF34" w14:textId="77777777" w:rsidR="00000000" w:rsidRDefault="00EB4933">
            <w:pPr>
              <w:pStyle w:val="NormalWeb"/>
              <w:spacing w:before="0" w:beforeAutospacing="0" w:after="0" w:afterAutospacing="0"/>
              <w:rPr>
                <w:sz w:val="20"/>
                <w:szCs w:val="20"/>
              </w:rPr>
            </w:pPr>
            <w:r>
              <w:rPr>
                <w:sz w:val="20"/>
                <w:szCs w:val="20"/>
              </w:rPr>
              <w:t xml:space="preserve">Liquidity </w:t>
            </w:r>
          </w:p>
        </w:tc>
      </w:tr>
    </w:tbl>
    <w:p w14:paraId="1F90288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870A6B9" w14:textId="77777777" w:rsidR="00000000" w:rsidRDefault="00EB4933">
      <w:pPr>
        <w:pStyle w:val="NormalWeb"/>
        <w:spacing w:before="0" w:beforeAutospacing="0" w:after="0" w:afterAutospacing="0"/>
        <w:ind w:left="675"/>
        <w:jc w:val="both"/>
        <w:divId w:val="98525094"/>
        <w:rPr>
          <w:sz w:val="20"/>
          <w:szCs w:val="20"/>
        </w:rPr>
      </w:pPr>
      <w:r>
        <w:rPr>
          <w:sz w:val="20"/>
          <w:szCs w:val="20"/>
        </w:rPr>
        <w:t>The accompanying financial statements do not include any adjustments or classifications that may result from the possible inability of the Company to continue as a going concern. The accompanying financial statements have been prepared on a basis, which co</w:t>
      </w:r>
      <w:r>
        <w:rPr>
          <w:sz w:val="20"/>
          <w:szCs w:val="20"/>
        </w:rPr>
        <w:t>ntemplates the realization of assets and satisfaction of liabilities in the normal course of business. As shown in the accompanying financial statements as of December 31, 2019, the Company had negative cash flows for the years ended December 31, 2019, 201</w:t>
      </w:r>
      <w:r>
        <w:rPr>
          <w:sz w:val="20"/>
          <w:szCs w:val="20"/>
        </w:rPr>
        <w:t xml:space="preserve">8 and 2017, the net cash decreased during the year were RMB3.5 million, RMB17.9 million and RMB75.1 million for the years ended December 31, 2019, 2018 and 2017, respectively. As of December 31, 2019, we had cash balances totaled RMB132,000. </w:t>
      </w:r>
    </w:p>
    <w:p w14:paraId="14B910EE"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1ACB288B" w14:textId="77777777" w:rsidR="00000000" w:rsidRDefault="00EB4933">
      <w:pPr>
        <w:pStyle w:val="NormalWeb"/>
        <w:spacing w:before="0" w:beforeAutospacing="0" w:after="0" w:afterAutospacing="0"/>
        <w:ind w:left="675"/>
        <w:jc w:val="both"/>
        <w:divId w:val="98525094"/>
        <w:rPr>
          <w:sz w:val="20"/>
          <w:szCs w:val="20"/>
        </w:rPr>
      </w:pPr>
      <w:r>
        <w:rPr>
          <w:sz w:val="20"/>
          <w:szCs w:val="20"/>
        </w:rPr>
        <w:t>The Company</w:t>
      </w:r>
      <w:r>
        <w:rPr>
          <w:sz w:val="20"/>
          <w:szCs w:val="20"/>
        </w:rPr>
        <w:t xml:space="preserve"> has historically met its cash needs through a combination of cash flows from operating activities, loans payable from third parties raised through various securities exchanges, loans from shareholders and loans from related parties. The cash requirements </w:t>
      </w:r>
      <w:r>
        <w:rPr>
          <w:sz w:val="20"/>
          <w:szCs w:val="20"/>
        </w:rPr>
        <w:t>of the Company are generally for operating activities and repayments of loans from third parties, related parties and shareholders. Ever since, securities exchanges have ceased offering any form of financing to the Company through their platforms as well a</w:t>
      </w:r>
      <w:r>
        <w:rPr>
          <w:sz w:val="20"/>
          <w:szCs w:val="20"/>
        </w:rPr>
        <w:t>s loans receivable were credit-impaired, the Company ran into severe liquidity issue. In the beginning of 2019, the Company began to default in certain loans payable, even though certain loans payable were negotiated for revised repayment terms. With loans</w:t>
      </w:r>
      <w:r>
        <w:rPr>
          <w:sz w:val="20"/>
          <w:szCs w:val="20"/>
        </w:rPr>
        <w:t xml:space="preserve"> receivables continued to be further credit-impaired, all obligations of loans payable were defaulted. The liquidity issue of the Company has further severely affected its ability to pay its taxes, service providers, employees and others. Due to non-paymen</w:t>
      </w:r>
      <w:r>
        <w:rPr>
          <w:sz w:val="20"/>
          <w:szCs w:val="20"/>
        </w:rPr>
        <w:t>t of its obligations when due, multiple significant legal proceedings were initiated by its shareholders, service providers and others against the Compay (see Note 28 – Legal proceedings for detailed disclosure). COVID-19 discussed in Note 29 Subsequent ev</w:t>
      </w:r>
      <w:r>
        <w:rPr>
          <w:sz w:val="20"/>
          <w:szCs w:val="20"/>
        </w:rPr>
        <w:t>ent has further exacerbated the liquidity issue of the Company.</w:t>
      </w:r>
    </w:p>
    <w:p w14:paraId="7EDF2B2B"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5288062F" w14:textId="77777777" w:rsidR="00000000" w:rsidRDefault="00EB4933">
      <w:pPr>
        <w:pStyle w:val="NormalWeb"/>
        <w:spacing w:before="0" w:beforeAutospacing="0" w:after="0" w:afterAutospacing="0"/>
        <w:ind w:left="675"/>
        <w:jc w:val="both"/>
        <w:divId w:val="98525094"/>
        <w:rPr>
          <w:sz w:val="20"/>
          <w:szCs w:val="20"/>
        </w:rPr>
      </w:pPr>
      <w:r>
        <w:rPr>
          <w:sz w:val="20"/>
          <w:szCs w:val="20"/>
        </w:rPr>
        <w:t>The Company has taken an intensive review of operations and expenditures, including intensify loan and interest collection initiative and monetizing collaterals of loans receivable. The Comp</w:t>
      </w:r>
      <w:r>
        <w:rPr>
          <w:sz w:val="20"/>
          <w:szCs w:val="20"/>
        </w:rPr>
        <w:t xml:space="preserve">any has also acquired the financial support letter from Hubei New Nature Investment Co., Ltd, a company that is 80.8% owned by the Chairman and the Chief Executive Officer, Mr Ricky Qizhi Wei, and from Dunxin Holdings Co., Ltd, a company that is 70% owned </w:t>
      </w:r>
      <w:r>
        <w:rPr>
          <w:sz w:val="20"/>
          <w:szCs w:val="20"/>
        </w:rPr>
        <w:t>by the Chairman and the Chief Executive Officer, Mr Ricky Qizhi Wei, which have expressed the willingness and intention to provide the necessary financial support to the Company. Further, the Company activitely plans to seek equity financing from private p</w:t>
      </w:r>
      <w:r>
        <w:rPr>
          <w:sz w:val="20"/>
          <w:szCs w:val="20"/>
        </w:rPr>
        <w:t>lacements, so as to enable the Company to meet its liabilities as and when it falls due and to carry on its business without a significant curtailment of operations for the next 12 months from the issuance date of this report.</w:t>
      </w:r>
    </w:p>
    <w:p w14:paraId="476212C3"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BD554D2" w14:textId="77777777">
        <w:trPr>
          <w:divId w:val="98525094"/>
          <w:trHeight w:val="225"/>
          <w:tblCellSpacing w:w="15" w:type="dxa"/>
        </w:trPr>
        <w:tc>
          <w:tcPr>
            <w:tcW w:w="0" w:type="auto"/>
            <w:vAlign w:val="center"/>
            <w:hideMark/>
          </w:tcPr>
          <w:p w14:paraId="1876ACF1" w14:textId="77777777" w:rsidR="00000000" w:rsidRDefault="00EB4933">
            <w:pPr>
              <w:rPr>
                <w:rFonts w:eastAsia="Times New Roman"/>
                <w:sz w:val="20"/>
                <w:szCs w:val="20"/>
              </w:rPr>
            </w:pPr>
            <w:r>
              <w:rPr>
                <w:rFonts w:eastAsia="Times New Roman"/>
                <w:sz w:val="20"/>
                <w:szCs w:val="20"/>
              </w:rPr>
              <w:t> </w:t>
            </w:r>
          </w:p>
        </w:tc>
      </w:tr>
      <w:tr w:rsidR="00000000" w14:paraId="12003701" w14:textId="77777777">
        <w:trPr>
          <w:divId w:val="98525094"/>
          <w:trHeight w:val="225"/>
          <w:tblCellSpacing w:w="15" w:type="dxa"/>
        </w:trPr>
        <w:tc>
          <w:tcPr>
            <w:tcW w:w="0" w:type="auto"/>
            <w:tcBorders>
              <w:bottom w:val="single" w:sz="6" w:space="0" w:color="000000"/>
            </w:tcBorders>
            <w:vAlign w:val="center"/>
            <w:hideMark/>
          </w:tcPr>
          <w:p w14:paraId="6223C9C3" w14:textId="77777777" w:rsidR="00000000" w:rsidRDefault="00EB4933">
            <w:pPr>
              <w:jc w:val="center"/>
              <w:rPr>
                <w:rFonts w:eastAsia="Times New Roman"/>
                <w:sz w:val="20"/>
                <w:szCs w:val="20"/>
              </w:rPr>
            </w:pPr>
            <w:r>
              <w:rPr>
                <w:rFonts w:eastAsia="Times New Roman"/>
                <w:sz w:val="20"/>
                <w:szCs w:val="20"/>
              </w:rPr>
              <w:t>F-18</w:t>
            </w:r>
          </w:p>
        </w:tc>
      </w:tr>
      <w:tr w:rsidR="00000000" w14:paraId="292D80CA" w14:textId="77777777">
        <w:trPr>
          <w:divId w:val="98525094"/>
          <w:trHeight w:val="225"/>
          <w:tblCellSpacing w:w="15" w:type="dxa"/>
        </w:trPr>
        <w:tc>
          <w:tcPr>
            <w:tcW w:w="0" w:type="auto"/>
            <w:vAlign w:val="center"/>
            <w:hideMark/>
          </w:tcPr>
          <w:p w14:paraId="2D4AC9D3" w14:textId="77777777" w:rsidR="00000000" w:rsidRDefault="00EB4933">
            <w:pPr>
              <w:rPr>
                <w:rFonts w:eastAsia="Times New Roman"/>
                <w:sz w:val="20"/>
                <w:szCs w:val="20"/>
              </w:rPr>
            </w:pPr>
          </w:p>
        </w:tc>
      </w:tr>
      <w:tr w:rsidR="00000000" w14:paraId="4B4E4DFE" w14:textId="77777777">
        <w:trPr>
          <w:divId w:val="98525094"/>
          <w:trHeight w:val="225"/>
          <w:tblCellSpacing w:w="15" w:type="dxa"/>
        </w:trPr>
        <w:tc>
          <w:tcPr>
            <w:tcW w:w="0" w:type="auto"/>
            <w:vAlign w:val="center"/>
            <w:hideMark/>
          </w:tcPr>
          <w:p w14:paraId="51B296C1" w14:textId="77777777" w:rsidR="00000000" w:rsidRDefault="00EB4933">
            <w:pPr>
              <w:rPr>
                <w:rFonts w:eastAsia="Times New Roman"/>
                <w:sz w:val="20"/>
                <w:szCs w:val="20"/>
              </w:rPr>
            </w:pPr>
            <w:hyperlink r:id="rId235" w:anchor="finindex" w:history="1">
              <w:r>
                <w:rPr>
                  <w:rStyle w:val="Hyperlink"/>
                  <w:rFonts w:eastAsia="Times New Roman"/>
                  <w:i/>
                  <w:iCs/>
                  <w:sz w:val="20"/>
                  <w:szCs w:val="20"/>
                </w:rPr>
                <w:t>Table of Contents</w:t>
              </w:r>
            </w:hyperlink>
          </w:p>
        </w:tc>
      </w:tr>
    </w:tbl>
    <w:p w14:paraId="1612E7FC"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6E5A78CC"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1FD92A8A"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6941B07E"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181CD31A"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24DB538E" w14:textId="77777777" w:rsidR="00000000" w:rsidRDefault="00EB4933">
      <w:pPr>
        <w:pStyle w:val="NormalWeb"/>
        <w:spacing w:before="0" w:beforeAutospacing="0" w:after="0" w:afterAutospacing="0"/>
        <w:jc w:val="both"/>
        <w:divId w:val="98525094"/>
        <w:rPr>
          <w:sz w:val="20"/>
          <w:szCs w:val="20"/>
        </w:rPr>
      </w:pPr>
      <w:r>
        <w:rPr>
          <w:rStyle w:val="Strong"/>
          <w:sz w:val="20"/>
          <w:szCs w:val="20"/>
        </w:rPr>
        <w:t>2.1 Basis of preparation - continued</w:t>
      </w:r>
    </w:p>
    <w:p w14:paraId="0D213087"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445"/>
        <w:gridCol w:w="8915"/>
      </w:tblGrid>
      <w:tr w:rsidR="00000000" w14:paraId="4A27DD0C" w14:textId="77777777">
        <w:trPr>
          <w:divId w:val="98525094"/>
          <w:trHeight w:val="225"/>
          <w:tblCellSpacing w:w="15" w:type="dxa"/>
        </w:trPr>
        <w:tc>
          <w:tcPr>
            <w:tcW w:w="0" w:type="auto"/>
            <w:vAlign w:val="center"/>
            <w:hideMark/>
          </w:tcPr>
          <w:p w14:paraId="4D4F5886" w14:textId="77777777" w:rsidR="00000000" w:rsidRDefault="00EB4933">
            <w:pPr>
              <w:pStyle w:val="NormalWeb"/>
              <w:spacing w:before="0" w:beforeAutospacing="0" w:after="0" w:afterAutospacing="0"/>
              <w:jc w:val="both"/>
              <w:rPr>
                <w:sz w:val="20"/>
                <w:szCs w:val="20"/>
              </w:rPr>
            </w:pPr>
            <w:r>
              <w:rPr>
                <w:sz w:val="20"/>
                <w:szCs w:val="20"/>
              </w:rPr>
              <w:t>(iii)  </w:t>
            </w:r>
          </w:p>
        </w:tc>
        <w:tc>
          <w:tcPr>
            <w:tcW w:w="0" w:type="auto"/>
            <w:vAlign w:val="center"/>
            <w:hideMark/>
          </w:tcPr>
          <w:p w14:paraId="7803F055" w14:textId="77777777" w:rsidR="00000000" w:rsidRDefault="00EB4933">
            <w:pPr>
              <w:pStyle w:val="NormalWeb"/>
              <w:spacing w:before="0" w:beforeAutospacing="0" w:after="0" w:afterAutospacing="0"/>
              <w:jc w:val="both"/>
              <w:rPr>
                <w:sz w:val="20"/>
                <w:szCs w:val="20"/>
              </w:rPr>
            </w:pPr>
            <w:r>
              <w:rPr>
                <w:sz w:val="20"/>
                <w:szCs w:val="20"/>
              </w:rPr>
              <w:t>Liquidity -</w:t>
            </w:r>
            <w:r>
              <w:rPr>
                <w:sz w:val="20"/>
                <w:szCs w:val="20"/>
              </w:rPr>
              <w:t xml:space="preserve"> continued </w:t>
            </w:r>
          </w:p>
        </w:tc>
      </w:tr>
      <w:tr w:rsidR="00000000" w14:paraId="0AF7A383" w14:textId="77777777">
        <w:trPr>
          <w:divId w:val="98525094"/>
          <w:trHeight w:val="225"/>
          <w:tblCellSpacing w:w="15" w:type="dxa"/>
        </w:trPr>
        <w:tc>
          <w:tcPr>
            <w:tcW w:w="200" w:type="pct"/>
            <w:vAlign w:val="center"/>
            <w:hideMark/>
          </w:tcPr>
          <w:p w14:paraId="7657EC0C"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26078EA2"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2750E127" w14:textId="77777777">
        <w:trPr>
          <w:divId w:val="98525094"/>
          <w:trHeight w:val="225"/>
          <w:tblCellSpacing w:w="15" w:type="dxa"/>
        </w:trPr>
        <w:tc>
          <w:tcPr>
            <w:tcW w:w="0" w:type="auto"/>
            <w:vAlign w:val="center"/>
            <w:hideMark/>
          </w:tcPr>
          <w:p w14:paraId="59489714"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50D8C6D6" w14:textId="77777777" w:rsidR="00000000" w:rsidRDefault="00EB4933">
            <w:pPr>
              <w:pStyle w:val="NormalWeb"/>
              <w:spacing w:before="0" w:beforeAutospacing="0" w:after="0" w:afterAutospacing="0"/>
              <w:jc w:val="both"/>
              <w:rPr>
                <w:sz w:val="20"/>
                <w:szCs w:val="20"/>
              </w:rPr>
            </w:pPr>
            <w:r>
              <w:rPr>
                <w:sz w:val="20"/>
                <w:szCs w:val="20"/>
              </w:rPr>
              <w:t>The Company believes that available cash and cash equivalents, future cash provided by operating activities, together with the efforts from aforementioned management plan and actions, should enable the Company to meet presently anticipated cash needs for a</w:t>
            </w:r>
            <w:r>
              <w:rPr>
                <w:sz w:val="20"/>
                <w:szCs w:val="20"/>
              </w:rPr>
              <w:t>t least the next 12 months after the date that the financial statements are issued and the Company has prepared the consolidated financial statements on a going concern basis. However, the Company continues to have ongoing obligations and it expects that i</w:t>
            </w:r>
            <w:r>
              <w:rPr>
                <w:sz w:val="20"/>
                <w:szCs w:val="20"/>
              </w:rPr>
              <w:t>t will require additional capital in order to execute its longer-term business plan. If the Company encounters unforeseen circumstances that place constraints on its capital resources, management will be required to take various measures to conserve liquid</w:t>
            </w:r>
            <w:r>
              <w:rPr>
                <w:sz w:val="20"/>
                <w:szCs w:val="20"/>
              </w:rPr>
              <w:t>ity, which could include, but not necessarily be limited to, curtailing the Company’s business development activities, suspending the pursuit of its business plan, controlling operating expenses and seeking to further dispose of non-core assets. Management</w:t>
            </w:r>
            <w:r>
              <w:rPr>
                <w:sz w:val="20"/>
                <w:szCs w:val="20"/>
              </w:rPr>
              <w:t xml:space="preserve"> cannot provide any assurance that the Company will raise additional capital if needed.</w:t>
            </w:r>
          </w:p>
        </w:tc>
      </w:tr>
    </w:tbl>
    <w:p w14:paraId="64DA4DB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5E52AD2"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2.2 Basis of consolidation </w:t>
      </w:r>
    </w:p>
    <w:p w14:paraId="63A887FD"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091A2766" w14:textId="77777777">
        <w:trPr>
          <w:divId w:val="98525094"/>
          <w:trHeight w:val="225"/>
          <w:tblCellSpacing w:w="15" w:type="dxa"/>
        </w:trPr>
        <w:tc>
          <w:tcPr>
            <w:tcW w:w="200" w:type="pct"/>
            <w:hideMark/>
          </w:tcPr>
          <w:p w14:paraId="5375DC9C" w14:textId="77777777" w:rsidR="00000000" w:rsidRDefault="00EB4933">
            <w:pPr>
              <w:pStyle w:val="NormalWeb"/>
              <w:spacing w:before="0" w:beforeAutospacing="0" w:after="0" w:afterAutospacing="0"/>
              <w:rPr>
                <w:sz w:val="20"/>
                <w:szCs w:val="20"/>
              </w:rPr>
            </w:pPr>
            <w:r>
              <w:rPr>
                <w:sz w:val="20"/>
                <w:szCs w:val="20"/>
              </w:rPr>
              <w:t xml:space="preserve">(i) </w:t>
            </w:r>
          </w:p>
        </w:tc>
        <w:tc>
          <w:tcPr>
            <w:tcW w:w="0" w:type="auto"/>
            <w:hideMark/>
          </w:tcPr>
          <w:p w14:paraId="6B9D357F" w14:textId="77777777" w:rsidR="00000000" w:rsidRDefault="00EB4933">
            <w:pPr>
              <w:rPr>
                <w:rFonts w:eastAsia="Times New Roman"/>
                <w:sz w:val="20"/>
                <w:szCs w:val="20"/>
              </w:rPr>
            </w:pPr>
            <w:r>
              <w:rPr>
                <w:rFonts w:eastAsia="Times New Roman"/>
                <w:sz w:val="20"/>
                <w:szCs w:val="20"/>
              </w:rPr>
              <w:t>Subsidiaries</w:t>
            </w:r>
          </w:p>
        </w:tc>
      </w:tr>
    </w:tbl>
    <w:p w14:paraId="4B663B0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BF2BC74" w14:textId="77777777" w:rsidR="00000000" w:rsidRDefault="00EB4933">
      <w:pPr>
        <w:pStyle w:val="NormalWeb"/>
        <w:spacing w:before="0" w:beforeAutospacing="0" w:after="0" w:afterAutospacing="0"/>
        <w:ind w:left="675"/>
        <w:jc w:val="both"/>
        <w:divId w:val="98525094"/>
        <w:rPr>
          <w:sz w:val="20"/>
          <w:szCs w:val="20"/>
        </w:rPr>
      </w:pPr>
      <w:r>
        <w:rPr>
          <w:sz w:val="20"/>
          <w:szCs w:val="20"/>
        </w:rPr>
        <w:t>Subsidiaries are entities (including variable interest entity) over which the Group has control. The Group control</w:t>
      </w:r>
      <w:r>
        <w:rPr>
          <w:sz w:val="20"/>
          <w:szCs w:val="20"/>
        </w:rPr>
        <w:t>s an entity when the Group is exposed to, or has rights to, variable returns from its involvement with the entity and has the ability to affect those returns through its power to direct the activities of the entity. Subsidiaries are fully consolidated from</w:t>
      </w:r>
      <w:r>
        <w:rPr>
          <w:sz w:val="20"/>
          <w:szCs w:val="20"/>
        </w:rPr>
        <w:t xml:space="preserve"> the date on which control is transferred to the Group. They are deconsolidated from the date that control ceases.</w:t>
      </w:r>
    </w:p>
    <w:p w14:paraId="1A348A3B"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6CA7B5F9" w14:textId="77777777" w:rsidR="00000000" w:rsidRDefault="00EB4933">
      <w:pPr>
        <w:pStyle w:val="NormalWeb"/>
        <w:spacing w:before="0" w:beforeAutospacing="0" w:after="0" w:afterAutospacing="0"/>
        <w:ind w:left="675"/>
        <w:jc w:val="both"/>
        <w:divId w:val="98525094"/>
        <w:rPr>
          <w:sz w:val="20"/>
          <w:szCs w:val="20"/>
        </w:rPr>
      </w:pPr>
      <w:r>
        <w:rPr>
          <w:sz w:val="20"/>
          <w:szCs w:val="20"/>
        </w:rPr>
        <w:t>The acquisition method of accounting is used to account for business combinations by the Group.</w:t>
      </w:r>
    </w:p>
    <w:p w14:paraId="78FD08AA"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1E4261AA" w14:textId="77777777" w:rsidR="00000000" w:rsidRDefault="00EB4933">
      <w:pPr>
        <w:pStyle w:val="NormalWeb"/>
        <w:spacing w:before="0" w:beforeAutospacing="0" w:after="0" w:afterAutospacing="0"/>
        <w:ind w:left="675"/>
        <w:jc w:val="both"/>
        <w:divId w:val="98525094"/>
        <w:rPr>
          <w:sz w:val="20"/>
          <w:szCs w:val="20"/>
        </w:rPr>
      </w:pPr>
      <w:r>
        <w:rPr>
          <w:sz w:val="20"/>
          <w:szCs w:val="20"/>
        </w:rPr>
        <w:t>Intercompany transactions, balances and u</w:t>
      </w:r>
      <w:r>
        <w:rPr>
          <w:sz w:val="20"/>
          <w:szCs w:val="20"/>
        </w:rPr>
        <w:t xml:space="preserve">nrealized gains on transactions between group companies are eliminated in preparing the consolidated financial statements. Unrealized losses are also eliminated unless the transaction provides evidence of an impairment of the transferred asset. Accounting </w:t>
      </w:r>
      <w:r>
        <w:rPr>
          <w:sz w:val="20"/>
          <w:szCs w:val="20"/>
        </w:rPr>
        <w:t>policies of subsidiaries have been changed where necessary to ensure consistency with the policies adopted by the Group.</w:t>
      </w:r>
    </w:p>
    <w:p w14:paraId="73A96CA1"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3C7EF501" w14:textId="77777777">
        <w:trPr>
          <w:divId w:val="98525094"/>
          <w:trHeight w:val="225"/>
          <w:tblCellSpacing w:w="15" w:type="dxa"/>
        </w:trPr>
        <w:tc>
          <w:tcPr>
            <w:tcW w:w="200" w:type="pct"/>
            <w:hideMark/>
          </w:tcPr>
          <w:p w14:paraId="45B94D55" w14:textId="77777777" w:rsidR="00000000" w:rsidRDefault="00EB4933">
            <w:pPr>
              <w:pStyle w:val="NormalWeb"/>
              <w:spacing w:before="0" w:beforeAutospacing="0" w:after="0" w:afterAutospacing="0"/>
              <w:rPr>
                <w:sz w:val="20"/>
                <w:szCs w:val="20"/>
              </w:rPr>
            </w:pPr>
            <w:r>
              <w:rPr>
                <w:sz w:val="20"/>
                <w:szCs w:val="20"/>
              </w:rPr>
              <w:t xml:space="preserve">(ii) </w:t>
            </w:r>
          </w:p>
        </w:tc>
        <w:tc>
          <w:tcPr>
            <w:tcW w:w="0" w:type="auto"/>
            <w:hideMark/>
          </w:tcPr>
          <w:p w14:paraId="70D87EA2" w14:textId="77777777" w:rsidR="00000000" w:rsidRDefault="00EB4933">
            <w:pPr>
              <w:rPr>
                <w:rFonts w:eastAsia="Times New Roman"/>
                <w:sz w:val="20"/>
                <w:szCs w:val="20"/>
              </w:rPr>
            </w:pPr>
            <w:r>
              <w:rPr>
                <w:rFonts w:eastAsia="Times New Roman"/>
                <w:sz w:val="20"/>
                <w:szCs w:val="20"/>
              </w:rPr>
              <w:t>Non-controlling interests</w:t>
            </w:r>
          </w:p>
        </w:tc>
      </w:tr>
    </w:tbl>
    <w:p w14:paraId="6D89ED6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F661BB4" w14:textId="77777777" w:rsidR="00000000" w:rsidRDefault="00EB4933">
      <w:pPr>
        <w:pStyle w:val="NormalWeb"/>
        <w:spacing w:before="0" w:beforeAutospacing="0" w:after="0" w:afterAutospacing="0"/>
        <w:ind w:left="675"/>
        <w:jc w:val="both"/>
        <w:divId w:val="98525094"/>
        <w:rPr>
          <w:sz w:val="20"/>
          <w:szCs w:val="20"/>
        </w:rPr>
      </w:pPr>
      <w:r>
        <w:rPr>
          <w:sz w:val="20"/>
          <w:szCs w:val="20"/>
        </w:rPr>
        <w:t>Non-controlling interests in the results and equity of subsidiaries are shown separately in the Consolidated Statements of Profit and Other Comprehensive Income, the Consolidated Statements of Financial Position and Consolidated Statements of Changes in Eq</w:t>
      </w:r>
      <w:r>
        <w:rPr>
          <w:sz w:val="20"/>
          <w:szCs w:val="20"/>
        </w:rPr>
        <w:t>uity respectively.</w:t>
      </w:r>
    </w:p>
    <w:p w14:paraId="6B41AFB7"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BA9F0AB" w14:textId="77777777">
        <w:trPr>
          <w:divId w:val="98525094"/>
          <w:trHeight w:val="225"/>
          <w:tblCellSpacing w:w="15" w:type="dxa"/>
        </w:trPr>
        <w:tc>
          <w:tcPr>
            <w:tcW w:w="0" w:type="auto"/>
            <w:vAlign w:val="center"/>
            <w:hideMark/>
          </w:tcPr>
          <w:p w14:paraId="51FEEBD3" w14:textId="77777777" w:rsidR="00000000" w:rsidRDefault="00EB4933">
            <w:pPr>
              <w:rPr>
                <w:rFonts w:eastAsia="Times New Roman"/>
                <w:sz w:val="20"/>
                <w:szCs w:val="20"/>
              </w:rPr>
            </w:pPr>
            <w:r>
              <w:rPr>
                <w:rFonts w:eastAsia="Times New Roman"/>
                <w:sz w:val="20"/>
                <w:szCs w:val="20"/>
              </w:rPr>
              <w:t> </w:t>
            </w:r>
          </w:p>
        </w:tc>
      </w:tr>
      <w:tr w:rsidR="00000000" w14:paraId="0BB3C012" w14:textId="77777777">
        <w:trPr>
          <w:divId w:val="98525094"/>
          <w:trHeight w:val="225"/>
          <w:tblCellSpacing w:w="15" w:type="dxa"/>
        </w:trPr>
        <w:tc>
          <w:tcPr>
            <w:tcW w:w="0" w:type="auto"/>
            <w:tcBorders>
              <w:bottom w:val="single" w:sz="6" w:space="0" w:color="000000"/>
            </w:tcBorders>
            <w:vAlign w:val="center"/>
            <w:hideMark/>
          </w:tcPr>
          <w:p w14:paraId="0182A2FF" w14:textId="77777777" w:rsidR="00000000" w:rsidRDefault="00EB4933">
            <w:pPr>
              <w:jc w:val="center"/>
              <w:rPr>
                <w:rFonts w:eastAsia="Times New Roman"/>
                <w:sz w:val="20"/>
                <w:szCs w:val="20"/>
              </w:rPr>
            </w:pPr>
            <w:r>
              <w:rPr>
                <w:rFonts w:eastAsia="Times New Roman"/>
                <w:sz w:val="20"/>
                <w:szCs w:val="20"/>
              </w:rPr>
              <w:t>F-19</w:t>
            </w:r>
          </w:p>
        </w:tc>
      </w:tr>
      <w:tr w:rsidR="00000000" w14:paraId="5D8BA60C" w14:textId="77777777">
        <w:trPr>
          <w:divId w:val="98525094"/>
          <w:trHeight w:val="225"/>
          <w:tblCellSpacing w:w="15" w:type="dxa"/>
        </w:trPr>
        <w:tc>
          <w:tcPr>
            <w:tcW w:w="0" w:type="auto"/>
            <w:vAlign w:val="center"/>
            <w:hideMark/>
          </w:tcPr>
          <w:p w14:paraId="09DC2532" w14:textId="77777777" w:rsidR="00000000" w:rsidRDefault="00EB4933">
            <w:pPr>
              <w:rPr>
                <w:rFonts w:eastAsia="Times New Roman"/>
                <w:sz w:val="20"/>
                <w:szCs w:val="20"/>
              </w:rPr>
            </w:pPr>
          </w:p>
        </w:tc>
      </w:tr>
      <w:tr w:rsidR="00000000" w14:paraId="056A25A2" w14:textId="77777777">
        <w:trPr>
          <w:divId w:val="98525094"/>
          <w:trHeight w:val="225"/>
          <w:tblCellSpacing w:w="15" w:type="dxa"/>
        </w:trPr>
        <w:tc>
          <w:tcPr>
            <w:tcW w:w="0" w:type="auto"/>
            <w:vAlign w:val="center"/>
            <w:hideMark/>
          </w:tcPr>
          <w:p w14:paraId="516E095D" w14:textId="77777777" w:rsidR="00000000" w:rsidRDefault="00EB4933">
            <w:pPr>
              <w:rPr>
                <w:rFonts w:eastAsia="Times New Roman"/>
                <w:sz w:val="20"/>
                <w:szCs w:val="20"/>
              </w:rPr>
            </w:pPr>
            <w:hyperlink r:id="rId236" w:anchor="finindex" w:history="1">
              <w:r>
                <w:rPr>
                  <w:rStyle w:val="Hyperlink"/>
                  <w:rFonts w:eastAsia="Times New Roman"/>
                  <w:i/>
                  <w:iCs/>
                  <w:sz w:val="20"/>
                  <w:szCs w:val="20"/>
                </w:rPr>
                <w:t>Table of Contents</w:t>
              </w:r>
            </w:hyperlink>
          </w:p>
        </w:tc>
      </w:tr>
    </w:tbl>
    <w:p w14:paraId="54325A18" w14:textId="77777777" w:rsidR="00000000" w:rsidRDefault="00EB4933">
      <w:pPr>
        <w:pStyle w:val="NormalWeb"/>
        <w:spacing w:before="0" w:beforeAutospacing="0" w:after="0" w:afterAutospacing="0"/>
        <w:jc w:val="both"/>
        <w:divId w:val="98525094"/>
        <w:rPr>
          <w:sz w:val="20"/>
          <w:szCs w:val="20"/>
        </w:rPr>
      </w:pPr>
      <w:r>
        <w:rPr>
          <w:rStyle w:val="Strong"/>
          <w:sz w:val="20"/>
          <w:szCs w:val="20"/>
        </w:rPr>
        <w:lastRenderedPageBreak/>
        <w:t xml:space="preserve">  </w:t>
      </w:r>
    </w:p>
    <w:p w14:paraId="2AB724EF"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4F10B2F9"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4EAEE59B"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26AB3B69"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1212E54B" w14:textId="77777777" w:rsidR="00000000" w:rsidRDefault="00EB4933">
      <w:pPr>
        <w:pStyle w:val="NormalWeb"/>
        <w:spacing w:before="0" w:beforeAutospacing="0" w:after="0" w:afterAutospacing="0"/>
        <w:jc w:val="both"/>
        <w:divId w:val="98525094"/>
        <w:rPr>
          <w:sz w:val="20"/>
          <w:szCs w:val="20"/>
        </w:rPr>
      </w:pPr>
      <w:r>
        <w:rPr>
          <w:rStyle w:val="Strong"/>
          <w:sz w:val="20"/>
          <w:szCs w:val="20"/>
        </w:rPr>
        <w:t>2.3 Business combinations</w:t>
      </w:r>
    </w:p>
    <w:p w14:paraId="79F31FE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F1C8AFB" w14:textId="77777777" w:rsidR="00000000" w:rsidRDefault="00EB4933">
      <w:pPr>
        <w:pStyle w:val="NormalWeb"/>
        <w:spacing w:before="0" w:beforeAutospacing="0" w:after="0" w:afterAutospacing="0"/>
        <w:ind w:left="675"/>
        <w:jc w:val="both"/>
        <w:divId w:val="98525094"/>
        <w:rPr>
          <w:sz w:val="20"/>
          <w:szCs w:val="20"/>
        </w:rPr>
      </w:pPr>
      <w:r>
        <w:rPr>
          <w:sz w:val="20"/>
          <w:szCs w:val="20"/>
        </w:rPr>
        <w:t>The acquisition method of accounting is used to account for all business combinations, regardless of whether equity instruments or other assets are acquired. The consideration transferred for the acquisition of a subsidiary comprises the:</w:t>
      </w:r>
    </w:p>
    <w:p w14:paraId="050CAEE8"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17B09E8C" w14:textId="77777777">
        <w:trPr>
          <w:divId w:val="98525094"/>
          <w:trHeight w:val="225"/>
          <w:tblCellSpacing w:w="15" w:type="dxa"/>
        </w:trPr>
        <w:tc>
          <w:tcPr>
            <w:tcW w:w="200" w:type="pct"/>
            <w:vAlign w:val="center"/>
            <w:hideMark/>
          </w:tcPr>
          <w:p w14:paraId="529EA72A"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2B7FC888"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03CCDD0" w14:textId="77777777" w:rsidR="00000000" w:rsidRDefault="00EB4933">
            <w:pPr>
              <w:rPr>
                <w:rFonts w:eastAsia="Times New Roman"/>
                <w:sz w:val="20"/>
                <w:szCs w:val="20"/>
              </w:rPr>
            </w:pPr>
            <w:r>
              <w:rPr>
                <w:rFonts w:eastAsia="Times New Roman"/>
                <w:sz w:val="20"/>
                <w:szCs w:val="20"/>
              </w:rPr>
              <w:t>fair values</w:t>
            </w:r>
            <w:r>
              <w:rPr>
                <w:rFonts w:eastAsia="Times New Roman"/>
                <w:sz w:val="20"/>
                <w:szCs w:val="20"/>
              </w:rPr>
              <w:t xml:space="preserve"> of the assets transferred;</w:t>
            </w:r>
          </w:p>
        </w:tc>
      </w:tr>
      <w:tr w:rsidR="00000000" w14:paraId="3E359AD4" w14:textId="77777777">
        <w:trPr>
          <w:divId w:val="98525094"/>
          <w:trHeight w:val="225"/>
          <w:tblCellSpacing w:w="15" w:type="dxa"/>
        </w:trPr>
        <w:tc>
          <w:tcPr>
            <w:tcW w:w="0" w:type="auto"/>
            <w:vAlign w:val="center"/>
            <w:hideMark/>
          </w:tcPr>
          <w:p w14:paraId="6DBF2F9B"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5A9249D7"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392792C0" w14:textId="77777777" w:rsidR="00000000" w:rsidRDefault="00EB4933">
            <w:pPr>
              <w:pStyle w:val="NormalWeb"/>
              <w:spacing w:before="0" w:beforeAutospacing="0" w:after="0" w:afterAutospacing="0"/>
              <w:rPr>
                <w:sz w:val="20"/>
                <w:szCs w:val="20"/>
              </w:rPr>
            </w:pPr>
            <w:r>
              <w:rPr>
                <w:sz w:val="20"/>
                <w:szCs w:val="20"/>
              </w:rPr>
              <w:t> </w:t>
            </w:r>
          </w:p>
        </w:tc>
      </w:tr>
      <w:tr w:rsidR="00000000" w14:paraId="0DF9C849" w14:textId="77777777">
        <w:trPr>
          <w:divId w:val="98525094"/>
          <w:trHeight w:val="225"/>
          <w:tblCellSpacing w:w="15" w:type="dxa"/>
        </w:trPr>
        <w:tc>
          <w:tcPr>
            <w:tcW w:w="0" w:type="auto"/>
            <w:vAlign w:val="center"/>
            <w:hideMark/>
          </w:tcPr>
          <w:p w14:paraId="29819102"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6AA4B2F8"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B72CB9B" w14:textId="77777777" w:rsidR="00000000" w:rsidRDefault="00EB4933">
            <w:pPr>
              <w:rPr>
                <w:rFonts w:eastAsia="Times New Roman"/>
                <w:sz w:val="20"/>
                <w:szCs w:val="20"/>
              </w:rPr>
            </w:pPr>
            <w:r>
              <w:rPr>
                <w:rFonts w:eastAsia="Times New Roman"/>
                <w:sz w:val="20"/>
                <w:szCs w:val="20"/>
              </w:rPr>
              <w:t>liabilities incurred to the former owners of the acquired business;</w:t>
            </w:r>
          </w:p>
        </w:tc>
      </w:tr>
      <w:tr w:rsidR="00000000" w14:paraId="53E3FE37" w14:textId="77777777">
        <w:trPr>
          <w:divId w:val="98525094"/>
          <w:trHeight w:val="225"/>
          <w:tblCellSpacing w:w="15" w:type="dxa"/>
        </w:trPr>
        <w:tc>
          <w:tcPr>
            <w:tcW w:w="0" w:type="auto"/>
            <w:vAlign w:val="center"/>
            <w:hideMark/>
          </w:tcPr>
          <w:p w14:paraId="42855D3B"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11566991"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3B1C9DF1" w14:textId="77777777" w:rsidR="00000000" w:rsidRDefault="00EB4933">
            <w:pPr>
              <w:pStyle w:val="NormalWeb"/>
              <w:spacing w:before="0" w:beforeAutospacing="0" w:after="0" w:afterAutospacing="0"/>
              <w:rPr>
                <w:sz w:val="20"/>
                <w:szCs w:val="20"/>
              </w:rPr>
            </w:pPr>
            <w:r>
              <w:rPr>
                <w:sz w:val="20"/>
                <w:szCs w:val="20"/>
              </w:rPr>
              <w:t> </w:t>
            </w:r>
          </w:p>
        </w:tc>
      </w:tr>
      <w:tr w:rsidR="00000000" w14:paraId="37E876A3" w14:textId="77777777">
        <w:trPr>
          <w:divId w:val="98525094"/>
          <w:trHeight w:val="225"/>
          <w:tblCellSpacing w:w="15" w:type="dxa"/>
        </w:trPr>
        <w:tc>
          <w:tcPr>
            <w:tcW w:w="0" w:type="auto"/>
            <w:vAlign w:val="center"/>
            <w:hideMark/>
          </w:tcPr>
          <w:p w14:paraId="6C9C71BF"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48C4B08F"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3CB647AC" w14:textId="77777777" w:rsidR="00000000" w:rsidRDefault="00EB4933">
            <w:pPr>
              <w:rPr>
                <w:rFonts w:eastAsia="Times New Roman"/>
                <w:sz w:val="20"/>
                <w:szCs w:val="20"/>
              </w:rPr>
            </w:pPr>
            <w:r>
              <w:rPr>
                <w:rFonts w:eastAsia="Times New Roman"/>
                <w:sz w:val="20"/>
                <w:szCs w:val="20"/>
              </w:rPr>
              <w:t>equity interests issued by the group;</w:t>
            </w:r>
          </w:p>
        </w:tc>
      </w:tr>
      <w:tr w:rsidR="00000000" w14:paraId="0D015B2E" w14:textId="77777777">
        <w:trPr>
          <w:divId w:val="98525094"/>
          <w:trHeight w:val="225"/>
          <w:tblCellSpacing w:w="15" w:type="dxa"/>
        </w:trPr>
        <w:tc>
          <w:tcPr>
            <w:tcW w:w="0" w:type="auto"/>
            <w:vAlign w:val="center"/>
            <w:hideMark/>
          </w:tcPr>
          <w:p w14:paraId="6C1C2D4B"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10028D89"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4CFC7AD7" w14:textId="77777777" w:rsidR="00000000" w:rsidRDefault="00EB4933">
            <w:pPr>
              <w:pStyle w:val="NormalWeb"/>
              <w:spacing w:before="0" w:beforeAutospacing="0" w:after="0" w:afterAutospacing="0"/>
              <w:rPr>
                <w:sz w:val="20"/>
                <w:szCs w:val="20"/>
              </w:rPr>
            </w:pPr>
            <w:r>
              <w:rPr>
                <w:sz w:val="20"/>
                <w:szCs w:val="20"/>
              </w:rPr>
              <w:t> </w:t>
            </w:r>
          </w:p>
        </w:tc>
      </w:tr>
      <w:tr w:rsidR="00000000" w14:paraId="6D6AD72B" w14:textId="77777777">
        <w:trPr>
          <w:divId w:val="98525094"/>
          <w:trHeight w:val="225"/>
          <w:tblCellSpacing w:w="15" w:type="dxa"/>
        </w:trPr>
        <w:tc>
          <w:tcPr>
            <w:tcW w:w="0" w:type="auto"/>
            <w:vAlign w:val="center"/>
            <w:hideMark/>
          </w:tcPr>
          <w:p w14:paraId="0813BBB9"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78154AAC"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3DE979A" w14:textId="77777777" w:rsidR="00000000" w:rsidRDefault="00EB4933">
            <w:pPr>
              <w:rPr>
                <w:rFonts w:eastAsia="Times New Roman"/>
                <w:sz w:val="20"/>
                <w:szCs w:val="20"/>
              </w:rPr>
            </w:pPr>
            <w:r>
              <w:rPr>
                <w:rFonts w:eastAsia="Times New Roman"/>
                <w:sz w:val="20"/>
                <w:szCs w:val="20"/>
              </w:rPr>
              <w:t>fair value of any asset or liability resulting from a contingent consideration arrangement; and</w:t>
            </w:r>
          </w:p>
        </w:tc>
      </w:tr>
      <w:tr w:rsidR="00000000" w14:paraId="1619746D" w14:textId="77777777">
        <w:trPr>
          <w:divId w:val="98525094"/>
          <w:trHeight w:val="225"/>
          <w:tblCellSpacing w:w="15" w:type="dxa"/>
        </w:trPr>
        <w:tc>
          <w:tcPr>
            <w:tcW w:w="0" w:type="auto"/>
            <w:vAlign w:val="center"/>
            <w:hideMark/>
          </w:tcPr>
          <w:p w14:paraId="36CD7FDD"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04AF02DA"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490D1633" w14:textId="77777777" w:rsidR="00000000" w:rsidRDefault="00EB4933">
            <w:pPr>
              <w:pStyle w:val="NormalWeb"/>
              <w:spacing w:before="0" w:beforeAutospacing="0" w:after="0" w:afterAutospacing="0"/>
              <w:rPr>
                <w:sz w:val="20"/>
                <w:szCs w:val="20"/>
              </w:rPr>
            </w:pPr>
            <w:r>
              <w:rPr>
                <w:sz w:val="20"/>
                <w:szCs w:val="20"/>
              </w:rPr>
              <w:t> </w:t>
            </w:r>
          </w:p>
        </w:tc>
      </w:tr>
      <w:tr w:rsidR="00000000" w14:paraId="38537C7A" w14:textId="77777777">
        <w:trPr>
          <w:divId w:val="98525094"/>
          <w:trHeight w:val="225"/>
          <w:tblCellSpacing w:w="15" w:type="dxa"/>
        </w:trPr>
        <w:tc>
          <w:tcPr>
            <w:tcW w:w="0" w:type="auto"/>
            <w:vAlign w:val="center"/>
            <w:hideMark/>
          </w:tcPr>
          <w:p w14:paraId="69944187"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77A2C044"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39B6E3F2" w14:textId="77777777" w:rsidR="00000000" w:rsidRDefault="00EB4933">
            <w:pPr>
              <w:rPr>
                <w:rFonts w:eastAsia="Times New Roman"/>
                <w:sz w:val="20"/>
                <w:szCs w:val="20"/>
              </w:rPr>
            </w:pPr>
            <w:r>
              <w:rPr>
                <w:rFonts w:eastAsia="Times New Roman"/>
                <w:sz w:val="20"/>
                <w:szCs w:val="20"/>
              </w:rPr>
              <w:t>fair value of any pre-existing equity interest in the subsidiary.</w:t>
            </w:r>
          </w:p>
        </w:tc>
      </w:tr>
    </w:tbl>
    <w:p w14:paraId="75DB2BA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427D0D5" w14:textId="77777777" w:rsidR="00000000" w:rsidRDefault="00EB4933">
      <w:pPr>
        <w:pStyle w:val="NormalWeb"/>
        <w:spacing w:before="0" w:beforeAutospacing="0" w:after="0" w:afterAutospacing="0"/>
        <w:ind w:left="675"/>
        <w:jc w:val="both"/>
        <w:divId w:val="98525094"/>
        <w:rPr>
          <w:sz w:val="20"/>
          <w:szCs w:val="20"/>
        </w:rPr>
      </w:pPr>
      <w:r>
        <w:rPr>
          <w:sz w:val="20"/>
          <w:szCs w:val="20"/>
        </w:rPr>
        <w:t>Identifiable assets acquired and liabilities and contingent liabilities assumed in a business combination are with limited exceptions, measured initially at their fair values at the acquisition date. The group recognizes any non-controlling interest in the</w:t>
      </w:r>
      <w:r>
        <w:rPr>
          <w:sz w:val="20"/>
          <w:szCs w:val="20"/>
        </w:rPr>
        <w:t xml:space="preserve"> acquired entity on an acquisition-by-acquisition basis either at fair value or at the non-controlling interest’s proportionate share of the acquired entity’s net identifiable assets.</w:t>
      </w:r>
    </w:p>
    <w:p w14:paraId="368369C0"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6A7CB3A7" w14:textId="77777777" w:rsidR="00000000" w:rsidRDefault="00EB4933">
      <w:pPr>
        <w:pStyle w:val="NormalWeb"/>
        <w:spacing w:before="0" w:beforeAutospacing="0" w:after="0" w:afterAutospacing="0"/>
        <w:ind w:left="675"/>
        <w:jc w:val="both"/>
        <w:divId w:val="98525094"/>
        <w:rPr>
          <w:sz w:val="20"/>
          <w:szCs w:val="20"/>
        </w:rPr>
      </w:pPr>
      <w:r>
        <w:rPr>
          <w:sz w:val="20"/>
          <w:szCs w:val="20"/>
        </w:rPr>
        <w:t>Acquisition-related costs are expensed as incurred.</w:t>
      </w:r>
    </w:p>
    <w:p w14:paraId="4D0503C1"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546DE724" w14:textId="77777777" w:rsidR="00000000" w:rsidRDefault="00EB4933">
      <w:pPr>
        <w:pStyle w:val="NormalWeb"/>
        <w:spacing w:before="0" w:beforeAutospacing="0" w:after="0" w:afterAutospacing="0"/>
        <w:ind w:left="675"/>
        <w:jc w:val="both"/>
        <w:divId w:val="98525094"/>
        <w:rPr>
          <w:sz w:val="20"/>
          <w:szCs w:val="20"/>
        </w:rPr>
      </w:pPr>
      <w:r>
        <w:rPr>
          <w:sz w:val="20"/>
          <w:szCs w:val="20"/>
        </w:rPr>
        <w:t>The excess of th</w:t>
      </w:r>
      <w:r>
        <w:rPr>
          <w:sz w:val="20"/>
          <w:szCs w:val="20"/>
        </w:rPr>
        <w:t>e</w:t>
      </w:r>
    </w:p>
    <w:p w14:paraId="17493CBA"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719"/>
        <w:gridCol w:w="530"/>
        <w:gridCol w:w="8111"/>
      </w:tblGrid>
      <w:tr w:rsidR="00000000" w14:paraId="4D803E2C" w14:textId="77777777">
        <w:trPr>
          <w:divId w:val="98525094"/>
          <w:trHeight w:val="225"/>
          <w:tblCellSpacing w:w="15" w:type="dxa"/>
        </w:trPr>
        <w:tc>
          <w:tcPr>
            <w:tcW w:w="400" w:type="pct"/>
            <w:vAlign w:val="center"/>
            <w:hideMark/>
          </w:tcPr>
          <w:p w14:paraId="6FAB6D94"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1E97C7F2"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3FDE4816" w14:textId="77777777" w:rsidR="00000000" w:rsidRDefault="00EB4933">
            <w:pPr>
              <w:rPr>
                <w:rFonts w:eastAsia="Times New Roman"/>
                <w:sz w:val="20"/>
                <w:szCs w:val="20"/>
              </w:rPr>
            </w:pPr>
            <w:r>
              <w:rPr>
                <w:rFonts w:eastAsia="Times New Roman"/>
                <w:sz w:val="20"/>
                <w:szCs w:val="20"/>
              </w:rPr>
              <w:t>consideration transferred,</w:t>
            </w:r>
          </w:p>
        </w:tc>
      </w:tr>
      <w:tr w:rsidR="00000000" w14:paraId="3934B879" w14:textId="77777777">
        <w:trPr>
          <w:divId w:val="98525094"/>
          <w:trHeight w:val="225"/>
          <w:tblCellSpacing w:w="15" w:type="dxa"/>
        </w:trPr>
        <w:tc>
          <w:tcPr>
            <w:tcW w:w="0" w:type="auto"/>
            <w:vAlign w:val="center"/>
            <w:hideMark/>
          </w:tcPr>
          <w:p w14:paraId="4BDDF114"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1C7676F7"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07BEAE63" w14:textId="77777777" w:rsidR="00000000" w:rsidRDefault="00EB4933">
            <w:pPr>
              <w:pStyle w:val="NormalWeb"/>
              <w:spacing w:before="0" w:beforeAutospacing="0" w:after="0" w:afterAutospacing="0"/>
              <w:rPr>
                <w:sz w:val="20"/>
                <w:szCs w:val="20"/>
              </w:rPr>
            </w:pPr>
            <w:r>
              <w:rPr>
                <w:sz w:val="20"/>
                <w:szCs w:val="20"/>
              </w:rPr>
              <w:t> </w:t>
            </w:r>
          </w:p>
        </w:tc>
      </w:tr>
      <w:tr w:rsidR="00000000" w14:paraId="639CD3A2" w14:textId="77777777">
        <w:trPr>
          <w:divId w:val="98525094"/>
          <w:trHeight w:val="225"/>
          <w:tblCellSpacing w:w="15" w:type="dxa"/>
        </w:trPr>
        <w:tc>
          <w:tcPr>
            <w:tcW w:w="0" w:type="auto"/>
            <w:vAlign w:val="center"/>
            <w:hideMark/>
          </w:tcPr>
          <w:p w14:paraId="3695CFC0"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2C4FD1C4"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0D2F1DF4" w14:textId="77777777" w:rsidR="00000000" w:rsidRDefault="00EB4933">
            <w:pPr>
              <w:rPr>
                <w:rFonts w:eastAsia="Times New Roman"/>
                <w:sz w:val="20"/>
                <w:szCs w:val="20"/>
              </w:rPr>
            </w:pPr>
            <w:r>
              <w:rPr>
                <w:rFonts w:eastAsia="Times New Roman"/>
                <w:sz w:val="20"/>
                <w:szCs w:val="20"/>
              </w:rPr>
              <w:t>amount of any non-controlling interest in the acquired entity, and</w:t>
            </w:r>
          </w:p>
        </w:tc>
      </w:tr>
      <w:tr w:rsidR="00000000" w14:paraId="4D48074B" w14:textId="77777777">
        <w:trPr>
          <w:divId w:val="98525094"/>
          <w:trHeight w:val="225"/>
          <w:tblCellSpacing w:w="15" w:type="dxa"/>
        </w:trPr>
        <w:tc>
          <w:tcPr>
            <w:tcW w:w="0" w:type="auto"/>
            <w:vAlign w:val="center"/>
            <w:hideMark/>
          </w:tcPr>
          <w:p w14:paraId="126FDE52"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68B0BBEA"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5F25EED3" w14:textId="77777777" w:rsidR="00000000" w:rsidRDefault="00EB4933">
            <w:pPr>
              <w:pStyle w:val="NormalWeb"/>
              <w:spacing w:before="0" w:beforeAutospacing="0" w:after="0" w:afterAutospacing="0"/>
              <w:rPr>
                <w:sz w:val="20"/>
                <w:szCs w:val="20"/>
              </w:rPr>
            </w:pPr>
            <w:r>
              <w:rPr>
                <w:sz w:val="20"/>
                <w:szCs w:val="20"/>
              </w:rPr>
              <w:t> </w:t>
            </w:r>
          </w:p>
        </w:tc>
      </w:tr>
      <w:tr w:rsidR="00000000" w14:paraId="19B92CB5" w14:textId="77777777">
        <w:trPr>
          <w:divId w:val="98525094"/>
          <w:trHeight w:val="225"/>
          <w:tblCellSpacing w:w="15" w:type="dxa"/>
        </w:trPr>
        <w:tc>
          <w:tcPr>
            <w:tcW w:w="0" w:type="auto"/>
            <w:vAlign w:val="center"/>
            <w:hideMark/>
          </w:tcPr>
          <w:p w14:paraId="5F4C9EA3"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196EBD9E"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86D072D" w14:textId="77777777" w:rsidR="00000000" w:rsidRDefault="00EB4933">
            <w:pPr>
              <w:rPr>
                <w:rFonts w:eastAsia="Times New Roman"/>
                <w:sz w:val="20"/>
                <w:szCs w:val="20"/>
              </w:rPr>
            </w:pPr>
            <w:r>
              <w:rPr>
                <w:rFonts w:eastAsia="Times New Roman"/>
                <w:sz w:val="20"/>
                <w:szCs w:val="20"/>
              </w:rPr>
              <w:t>acquisition-date fair value of any previous equity interest in the acquired entity</w:t>
            </w:r>
          </w:p>
        </w:tc>
      </w:tr>
    </w:tbl>
    <w:p w14:paraId="6FF4C9A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CEA25AE" w14:textId="77777777" w:rsidR="00000000" w:rsidRDefault="00EB4933">
      <w:pPr>
        <w:pStyle w:val="NormalWeb"/>
        <w:spacing w:before="0" w:beforeAutospacing="0" w:after="0" w:afterAutospacing="0"/>
        <w:ind w:left="675"/>
        <w:jc w:val="both"/>
        <w:divId w:val="98525094"/>
        <w:rPr>
          <w:sz w:val="20"/>
          <w:szCs w:val="20"/>
        </w:rPr>
      </w:pPr>
      <w:r>
        <w:rPr>
          <w:sz w:val="20"/>
          <w:szCs w:val="20"/>
        </w:rPr>
        <w:t>over the fair value of the net identifiable assets acquired is recorded as goodwill. If those amounts are less than the fair value of the net identifiable assets of the b</w:t>
      </w:r>
      <w:r>
        <w:rPr>
          <w:sz w:val="20"/>
          <w:szCs w:val="20"/>
        </w:rPr>
        <w:t>usiness acquired, the difference is recognized directly in profit or loss as a bargain purchase.</w:t>
      </w:r>
    </w:p>
    <w:p w14:paraId="5DB4354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56D30BF" w14:textId="77777777" w:rsidR="00000000" w:rsidRDefault="00EB4933">
      <w:pPr>
        <w:pStyle w:val="NormalWeb"/>
        <w:spacing w:before="0" w:beforeAutospacing="0" w:after="0" w:afterAutospacing="0"/>
        <w:jc w:val="both"/>
        <w:divId w:val="98525094"/>
        <w:rPr>
          <w:sz w:val="20"/>
          <w:szCs w:val="20"/>
        </w:rPr>
      </w:pPr>
      <w:r>
        <w:rPr>
          <w:rStyle w:val="Strong"/>
          <w:sz w:val="20"/>
          <w:szCs w:val="20"/>
        </w:rPr>
        <w:t>2.4 Segments</w:t>
      </w:r>
    </w:p>
    <w:p w14:paraId="28F3F99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2B9CB8D" w14:textId="77777777" w:rsidR="00000000" w:rsidRDefault="00EB4933">
      <w:pPr>
        <w:pStyle w:val="NormalWeb"/>
        <w:spacing w:before="0" w:beforeAutospacing="0" w:after="0" w:afterAutospacing="0"/>
        <w:ind w:left="675"/>
        <w:jc w:val="both"/>
        <w:divId w:val="98525094"/>
        <w:rPr>
          <w:sz w:val="20"/>
          <w:szCs w:val="20"/>
        </w:rPr>
      </w:pPr>
      <w:r>
        <w:rPr>
          <w:sz w:val="20"/>
          <w:szCs w:val="20"/>
        </w:rPr>
        <w:t>Operating segments are reported in a manner consistent with the internal reporting provided to the chief operating decision-maker. The chief operating decision-maker, who is responsible for allocating resources and assessing performance of the operating se</w:t>
      </w:r>
      <w:r>
        <w:rPr>
          <w:sz w:val="20"/>
          <w:szCs w:val="20"/>
        </w:rPr>
        <w:t>gment, has been identified as the steering committee that makes strategic decisions. The Group operates in only one segment.</w:t>
      </w:r>
    </w:p>
    <w:p w14:paraId="1CC2A994"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B83737E" w14:textId="77777777">
        <w:trPr>
          <w:divId w:val="98525094"/>
          <w:trHeight w:val="225"/>
          <w:tblCellSpacing w:w="15" w:type="dxa"/>
        </w:trPr>
        <w:tc>
          <w:tcPr>
            <w:tcW w:w="0" w:type="auto"/>
            <w:vAlign w:val="center"/>
            <w:hideMark/>
          </w:tcPr>
          <w:p w14:paraId="72F065EF" w14:textId="77777777" w:rsidR="00000000" w:rsidRDefault="00EB4933">
            <w:pPr>
              <w:rPr>
                <w:rFonts w:eastAsia="Times New Roman"/>
                <w:sz w:val="20"/>
                <w:szCs w:val="20"/>
              </w:rPr>
            </w:pPr>
            <w:r>
              <w:rPr>
                <w:rFonts w:eastAsia="Times New Roman"/>
                <w:sz w:val="20"/>
                <w:szCs w:val="20"/>
              </w:rPr>
              <w:t> </w:t>
            </w:r>
          </w:p>
        </w:tc>
      </w:tr>
      <w:tr w:rsidR="00000000" w14:paraId="0BF47075" w14:textId="77777777">
        <w:trPr>
          <w:divId w:val="98525094"/>
          <w:trHeight w:val="225"/>
          <w:tblCellSpacing w:w="15" w:type="dxa"/>
        </w:trPr>
        <w:tc>
          <w:tcPr>
            <w:tcW w:w="0" w:type="auto"/>
            <w:tcBorders>
              <w:bottom w:val="single" w:sz="6" w:space="0" w:color="000000"/>
            </w:tcBorders>
            <w:vAlign w:val="center"/>
            <w:hideMark/>
          </w:tcPr>
          <w:p w14:paraId="4CF27161" w14:textId="77777777" w:rsidR="00000000" w:rsidRDefault="00EB4933">
            <w:pPr>
              <w:jc w:val="center"/>
              <w:rPr>
                <w:rFonts w:eastAsia="Times New Roman"/>
                <w:sz w:val="20"/>
                <w:szCs w:val="20"/>
              </w:rPr>
            </w:pPr>
            <w:r>
              <w:rPr>
                <w:rFonts w:eastAsia="Times New Roman"/>
                <w:sz w:val="20"/>
                <w:szCs w:val="20"/>
              </w:rPr>
              <w:t>F-20</w:t>
            </w:r>
          </w:p>
        </w:tc>
      </w:tr>
      <w:tr w:rsidR="00000000" w14:paraId="59CB6207" w14:textId="77777777">
        <w:trPr>
          <w:divId w:val="98525094"/>
          <w:trHeight w:val="225"/>
          <w:tblCellSpacing w:w="15" w:type="dxa"/>
        </w:trPr>
        <w:tc>
          <w:tcPr>
            <w:tcW w:w="0" w:type="auto"/>
            <w:vAlign w:val="center"/>
            <w:hideMark/>
          </w:tcPr>
          <w:p w14:paraId="3B8AE04B" w14:textId="77777777" w:rsidR="00000000" w:rsidRDefault="00EB4933">
            <w:pPr>
              <w:rPr>
                <w:rFonts w:eastAsia="Times New Roman"/>
                <w:sz w:val="20"/>
                <w:szCs w:val="20"/>
              </w:rPr>
            </w:pPr>
          </w:p>
        </w:tc>
      </w:tr>
      <w:tr w:rsidR="00000000" w14:paraId="49A00FDF" w14:textId="77777777">
        <w:trPr>
          <w:divId w:val="98525094"/>
          <w:trHeight w:val="225"/>
          <w:tblCellSpacing w:w="15" w:type="dxa"/>
        </w:trPr>
        <w:tc>
          <w:tcPr>
            <w:tcW w:w="0" w:type="auto"/>
            <w:vAlign w:val="center"/>
            <w:hideMark/>
          </w:tcPr>
          <w:p w14:paraId="6A7C9D01" w14:textId="77777777" w:rsidR="00000000" w:rsidRDefault="00EB4933">
            <w:pPr>
              <w:rPr>
                <w:rFonts w:eastAsia="Times New Roman"/>
                <w:sz w:val="20"/>
                <w:szCs w:val="20"/>
              </w:rPr>
            </w:pPr>
            <w:hyperlink r:id="rId237" w:anchor="finindex" w:history="1">
              <w:r>
                <w:rPr>
                  <w:rStyle w:val="Hyperlink"/>
                  <w:rFonts w:eastAsia="Times New Roman"/>
                  <w:i/>
                  <w:iCs/>
                  <w:sz w:val="20"/>
                  <w:szCs w:val="20"/>
                </w:rPr>
                <w:t>Table of Contents</w:t>
              </w:r>
            </w:hyperlink>
          </w:p>
        </w:tc>
      </w:tr>
    </w:tbl>
    <w:p w14:paraId="1C8DB60E"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038DFAFA"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78E1EBA9" w14:textId="77777777" w:rsidR="00000000" w:rsidRDefault="00EB4933">
      <w:pPr>
        <w:pStyle w:val="NormalWeb"/>
        <w:spacing w:before="0" w:beforeAutospacing="0" w:after="0" w:afterAutospacing="0"/>
        <w:jc w:val="both"/>
        <w:divId w:val="98525094"/>
        <w:rPr>
          <w:sz w:val="20"/>
          <w:szCs w:val="20"/>
        </w:rPr>
      </w:pPr>
      <w:r>
        <w:rPr>
          <w:rStyle w:val="Strong"/>
          <w:sz w:val="20"/>
          <w:szCs w:val="20"/>
        </w:rPr>
        <w:lastRenderedPageBreak/>
        <w:t>NOTES TO THE CONSOLI</w:t>
      </w:r>
      <w:r>
        <w:rPr>
          <w:rStyle w:val="Strong"/>
          <w:sz w:val="20"/>
          <w:szCs w:val="20"/>
        </w:rPr>
        <w:t>DATED FINANCIAL STATEMENTS</w:t>
      </w:r>
    </w:p>
    <w:p w14:paraId="0E1A9DFF"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2E2BECD2"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6628FC12" w14:textId="77777777" w:rsidR="00000000" w:rsidRDefault="00EB4933">
      <w:pPr>
        <w:pStyle w:val="NormalWeb"/>
        <w:spacing w:before="0" w:beforeAutospacing="0" w:after="0" w:afterAutospacing="0"/>
        <w:jc w:val="both"/>
        <w:divId w:val="98525094"/>
        <w:rPr>
          <w:sz w:val="20"/>
          <w:szCs w:val="20"/>
        </w:rPr>
      </w:pPr>
      <w:r>
        <w:rPr>
          <w:sz w:val="20"/>
          <w:szCs w:val="20"/>
        </w:rPr>
        <w:t> </w:t>
      </w:r>
      <w:r>
        <w:rPr>
          <w:rStyle w:val="Strong"/>
          <w:sz w:val="20"/>
          <w:szCs w:val="20"/>
        </w:rPr>
        <w:t>2.5 Foreign currency translation</w:t>
      </w:r>
    </w:p>
    <w:p w14:paraId="4D5B18D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AD45223" w14:textId="77777777" w:rsidR="00000000" w:rsidRDefault="00EB4933">
      <w:pPr>
        <w:pStyle w:val="NormalWeb"/>
        <w:spacing w:before="0" w:beforeAutospacing="0" w:after="0" w:afterAutospacing="0"/>
        <w:jc w:val="both"/>
        <w:divId w:val="98525094"/>
        <w:rPr>
          <w:sz w:val="20"/>
          <w:szCs w:val="20"/>
        </w:rPr>
      </w:pPr>
      <w:r>
        <w:rPr>
          <w:rStyle w:val="Emphasis"/>
          <w:sz w:val="20"/>
          <w:szCs w:val="20"/>
        </w:rPr>
        <w:t>(j)</w:t>
      </w:r>
      <w:r>
        <w:rPr>
          <w:rStyle w:val="Emphasis"/>
          <w:sz w:val="14"/>
          <w:szCs w:val="14"/>
        </w:rPr>
        <w:t xml:space="preserve"> </w:t>
      </w:r>
      <w:r>
        <w:rPr>
          <w:rStyle w:val="Emphasis"/>
          <w:sz w:val="20"/>
          <w:szCs w:val="20"/>
        </w:rPr>
        <w:t>Functional and presentation currency</w:t>
      </w:r>
    </w:p>
    <w:p w14:paraId="7E5FC96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BBD5EB6" w14:textId="77777777" w:rsidR="00000000" w:rsidRDefault="00EB4933">
      <w:pPr>
        <w:pStyle w:val="NormalWeb"/>
        <w:spacing w:before="0" w:beforeAutospacing="0" w:after="0" w:afterAutospacing="0"/>
        <w:ind w:left="675"/>
        <w:jc w:val="both"/>
        <w:divId w:val="98525094"/>
        <w:rPr>
          <w:sz w:val="20"/>
          <w:szCs w:val="20"/>
        </w:rPr>
      </w:pPr>
      <w:r>
        <w:rPr>
          <w:sz w:val="20"/>
          <w:szCs w:val="20"/>
        </w:rPr>
        <w:t xml:space="preserve">Items included in the financial statements of each of the group’s entities are measured using the currency of the primary economic environment in which the entity operates (“the functional currency”). The consolidated financial statements are presented in </w:t>
      </w:r>
      <w:r>
        <w:rPr>
          <w:sz w:val="20"/>
          <w:szCs w:val="20"/>
        </w:rPr>
        <w:t>Chinese Renminbi (RMB), which is the Company’s presentation currency.</w:t>
      </w:r>
    </w:p>
    <w:p w14:paraId="6AE7494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5F213FC" w14:textId="77777777" w:rsidR="00000000" w:rsidRDefault="00EB4933">
      <w:pPr>
        <w:pStyle w:val="NormalWeb"/>
        <w:spacing w:before="0" w:beforeAutospacing="0" w:after="0" w:afterAutospacing="0"/>
        <w:jc w:val="both"/>
        <w:divId w:val="98525094"/>
        <w:rPr>
          <w:sz w:val="20"/>
          <w:szCs w:val="20"/>
        </w:rPr>
      </w:pPr>
      <w:r>
        <w:rPr>
          <w:rStyle w:val="Emphasis"/>
          <w:sz w:val="20"/>
          <w:szCs w:val="20"/>
        </w:rPr>
        <w:t>(ii) Transactions and balances</w:t>
      </w:r>
    </w:p>
    <w:p w14:paraId="72F58E9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16B8A0C" w14:textId="77777777" w:rsidR="00000000" w:rsidRDefault="00EB4933">
      <w:pPr>
        <w:pStyle w:val="NormalWeb"/>
        <w:spacing w:before="0" w:beforeAutospacing="0" w:after="0" w:afterAutospacing="0"/>
        <w:ind w:left="675"/>
        <w:jc w:val="both"/>
        <w:divId w:val="98525094"/>
        <w:rPr>
          <w:sz w:val="20"/>
          <w:szCs w:val="20"/>
        </w:rPr>
      </w:pPr>
      <w:r>
        <w:rPr>
          <w:sz w:val="20"/>
          <w:szCs w:val="20"/>
        </w:rPr>
        <w:t>Foreign currency transactions are translated into the functional currency using the exchange rates prevailing at the dates of the transactions. Foreign exchange gains and losses resulting from the settlement of such transactions and from the translation of</w:t>
      </w:r>
      <w:r>
        <w:rPr>
          <w:sz w:val="20"/>
          <w:szCs w:val="20"/>
        </w:rPr>
        <w:t xml:space="preserve"> monetary assets and liabilities denominated in foreign currencies at year end exchange rates are generally recognized in the statement of profit and other comprehensive income. </w:t>
      </w:r>
    </w:p>
    <w:p w14:paraId="259BD6E3"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668F84D9" w14:textId="77777777" w:rsidR="00000000" w:rsidRDefault="00EB4933">
      <w:pPr>
        <w:pStyle w:val="NormalWeb"/>
        <w:spacing w:before="0" w:beforeAutospacing="0" w:after="0" w:afterAutospacing="0"/>
        <w:ind w:left="675"/>
        <w:jc w:val="both"/>
        <w:divId w:val="98525094"/>
        <w:rPr>
          <w:sz w:val="20"/>
          <w:szCs w:val="20"/>
        </w:rPr>
      </w:pPr>
      <w:r>
        <w:rPr>
          <w:sz w:val="20"/>
          <w:szCs w:val="20"/>
        </w:rPr>
        <w:t>Foreign exchange gains and losses are presented in the Consolidated Stateme</w:t>
      </w:r>
      <w:r>
        <w:rPr>
          <w:sz w:val="20"/>
          <w:szCs w:val="20"/>
        </w:rPr>
        <w:t>nts of Profit and Other Comprehensive Income on a net basis within other income or other expenses.</w:t>
      </w:r>
    </w:p>
    <w:p w14:paraId="2AE8767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3166457" w14:textId="77777777" w:rsidR="00000000" w:rsidRDefault="00EB4933">
      <w:pPr>
        <w:pStyle w:val="NormalWeb"/>
        <w:spacing w:before="0" w:beforeAutospacing="0" w:after="0" w:afterAutospacing="0"/>
        <w:jc w:val="both"/>
        <w:divId w:val="98525094"/>
        <w:rPr>
          <w:sz w:val="20"/>
          <w:szCs w:val="20"/>
        </w:rPr>
      </w:pPr>
      <w:r>
        <w:rPr>
          <w:rStyle w:val="Emphasis"/>
          <w:sz w:val="20"/>
          <w:szCs w:val="20"/>
        </w:rPr>
        <w:t>(iii) Group companies</w:t>
      </w:r>
    </w:p>
    <w:p w14:paraId="7D1429A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98EF9E3" w14:textId="77777777" w:rsidR="00000000" w:rsidRDefault="00EB4933">
      <w:pPr>
        <w:pStyle w:val="NormalWeb"/>
        <w:spacing w:before="0" w:beforeAutospacing="0" w:after="0" w:afterAutospacing="0"/>
        <w:ind w:left="675"/>
        <w:jc w:val="both"/>
        <w:divId w:val="98525094"/>
        <w:rPr>
          <w:sz w:val="20"/>
          <w:szCs w:val="20"/>
        </w:rPr>
      </w:pPr>
      <w:r>
        <w:rPr>
          <w:sz w:val="20"/>
          <w:szCs w:val="20"/>
        </w:rPr>
        <w:t xml:space="preserve">The results and financial position of all the Group entities (none of which has the currency of a hyper-inflationary economy) that </w:t>
      </w:r>
      <w:r>
        <w:rPr>
          <w:sz w:val="20"/>
          <w:szCs w:val="20"/>
        </w:rPr>
        <w:t>have a functional currency different from the presentation currency are translated into the presentation currency as follows:</w:t>
      </w:r>
    </w:p>
    <w:p w14:paraId="4D1523A6"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45"/>
        <w:gridCol w:w="530"/>
        <w:gridCol w:w="8285"/>
      </w:tblGrid>
      <w:tr w:rsidR="00000000" w14:paraId="0C6AA4B3" w14:textId="77777777">
        <w:trPr>
          <w:divId w:val="98525094"/>
          <w:trHeight w:val="225"/>
          <w:tblCellSpacing w:w="15" w:type="dxa"/>
        </w:trPr>
        <w:tc>
          <w:tcPr>
            <w:tcW w:w="200" w:type="pct"/>
            <w:vAlign w:val="center"/>
            <w:hideMark/>
          </w:tcPr>
          <w:p w14:paraId="3F057B42"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505678A7" w14:textId="77777777" w:rsidR="00000000" w:rsidRDefault="00EB4933">
            <w:pPr>
              <w:pStyle w:val="NormalWeb"/>
              <w:spacing w:before="0" w:beforeAutospacing="0" w:after="0" w:afterAutospacing="0"/>
              <w:jc w:val="both"/>
              <w:rPr>
                <w:sz w:val="20"/>
                <w:szCs w:val="20"/>
              </w:rPr>
            </w:pPr>
            <w:r>
              <w:rPr>
                <w:sz w:val="20"/>
                <w:szCs w:val="20"/>
              </w:rPr>
              <w:t xml:space="preserve">(a) </w:t>
            </w:r>
          </w:p>
        </w:tc>
        <w:tc>
          <w:tcPr>
            <w:tcW w:w="0" w:type="auto"/>
            <w:hideMark/>
          </w:tcPr>
          <w:p w14:paraId="205F8B2B" w14:textId="77777777" w:rsidR="00000000" w:rsidRDefault="00EB4933">
            <w:pPr>
              <w:jc w:val="both"/>
              <w:rPr>
                <w:rFonts w:eastAsia="Times New Roman"/>
                <w:sz w:val="20"/>
                <w:szCs w:val="20"/>
              </w:rPr>
            </w:pPr>
            <w:r>
              <w:rPr>
                <w:rFonts w:eastAsia="Times New Roman"/>
                <w:sz w:val="20"/>
                <w:szCs w:val="20"/>
              </w:rPr>
              <w:t>assets and liabilities for each consolidated statement of financial position presented are translated at the closing rate</w:t>
            </w:r>
            <w:r>
              <w:rPr>
                <w:rFonts w:eastAsia="Times New Roman"/>
                <w:sz w:val="20"/>
                <w:szCs w:val="20"/>
              </w:rPr>
              <w:t xml:space="preserve"> at the date of that consolidated statement of financial position;</w:t>
            </w:r>
          </w:p>
        </w:tc>
      </w:tr>
      <w:tr w:rsidR="00000000" w14:paraId="4813F0EE" w14:textId="77777777">
        <w:trPr>
          <w:divId w:val="98525094"/>
          <w:trHeight w:val="225"/>
          <w:tblCellSpacing w:w="15" w:type="dxa"/>
        </w:trPr>
        <w:tc>
          <w:tcPr>
            <w:tcW w:w="0" w:type="auto"/>
            <w:vAlign w:val="center"/>
            <w:hideMark/>
          </w:tcPr>
          <w:p w14:paraId="723D23B7"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2E9028A1"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B7379C8"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568F816F" w14:textId="77777777">
        <w:trPr>
          <w:divId w:val="98525094"/>
          <w:trHeight w:val="225"/>
          <w:tblCellSpacing w:w="15" w:type="dxa"/>
        </w:trPr>
        <w:tc>
          <w:tcPr>
            <w:tcW w:w="0" w:type="auto"/>
            <w:vAlign w:val="center"/>
            <w:hideMark/>
          </w:tcPr>
          <w:p w14:paraId="400EBD4B"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1080B021" w14:textId="77777777" w:rsidR="00000000" w:rsidRDefault="00EB4933">
            <w:pPr>
              <w:pStyle w:val="NormalWeb"/>
              <w:spacing w:before="0" w:beforeAutospacing="0" w:after="0" w:afterAutospacing="0"/>
              <w:jc w:val="both"/>
              <w:rPr>
                <w:sz w:val="20"/>
                <w:szCs w:val="20"/>
              </w:rPr>
            </w:pPr>
            <w:r>
              <w:rPr>
                <w:sz w:val="20"/>
                <w:szCs w:val="20"/>
              </w:rPr>
              <w:t xml:space="preserve">(b) </w:t>
            </w:r>
          </w:p>
        </w:tc>
        <w:tc>
          <w:tcPr>
            <w:tcW w:w="0" w:type="auto"/>
            <w:hideMark/>
          </w:tcPr>
          <w:p w14:paraId="33F19936" w14:textId="77777777" w:rsidR="00000000" w:rsidRDefault="00EB4933">
            <w:pPr>
              <w:jc w:val="both"/>
              <w:rPr>
                <w:rFonts w:eastAsia="Times New Roman"/>
                <w:sz w:val="20"/>
                <w:szCs w:val="20"/>
              </w:rPr>
            </w:pPr>
            <w:r>
              <w:rPr>
                <w:rFonts w:eastAsia="Times New Roman"/>
                <w:sz w:val="20"/>
                <w:szCs w:val="20"/>
              </w:rPr>
              <w:t>income and expenses for each consolidated statement of profit and other comprehensive income are translated at average exchange rates (unless this average is not a reasonable approximation of the cumulative effect of the rates prevailing on the transaction</w:t>
            </w:r>
            <w:r>
              <w:rPr>
                <w:rFonts w:eastAsia="Times New Roman"/>
                <w:sz w:val="20"/>
                <w:szCs w:val="20"/>
              </w:rPr>
              <w:t xml:space="preserve"> dates, in which case income and expenses are translated at the rate on the dates of the transactions); and</w:t>
            </w:r>
          </w:p>
        </w:tc>
      </w:tr>
      <w:tr w:rsidR="00000000" w14:paraId="4FA1C97F" w14:textId="77777777">
        <w:trPr>
          <w:divId w:val="98525094"/>
          <w:trHeight w:val="225"/>
          <w:tblCellSpacing w:w="15" w:type="dxa"/>
        </w:trPr>
        <w:tc>
          <w:tcPr>
            <w:tcW w:w="0" w:type="auto"/>
            <w:vAlign w:val="center"/>
            <w:hideMark/>
          </w:tcPr>
          <w:p w14:paraId="5A6570D7"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00A6C911"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197C464D"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7283339E" w14:textId="77777777">
        <w:trPr>
          <w:divId w:val="98525094"/>
          <w:trHeight w:val="225"/>
          <w:tblCellSpacing w:w="15" w:type="dxa"/>
        </w:trPr>
        <w:tc>
          <w:tcPr>
            <w:tcW w:w="0" w:type="auto"/>
            <w:vAlign w:val="center"/>
            <w:hideMark/>
          </w:tcPr>
          <w:p w14:paraId="0CBBE418"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1F2A2B83" w14:textId="77777777" w:rsidR="00000000" w:rsidRDefault="00EB4933">
            <w:pPr>
              <w:pStyle w:val="NormalWeb"/>
              <w:spacing w:before="0" w:beforeAutospacing="0" w:after="0" w:afterAutospacing="0"/>
              <w:jc w:val="both"/>
              <w:rPr>
                <w:sz w:val="20"/>
                <w:szCs w:val="20"/>
              </w:rPr>
            </w:pPr>
            <w:r>
              <w:rPr>
                <w:sz w:val="20"/>
                <w:szCs w:val="20"/>
              </w:rPr>
              <w:t xml:space="preserve">(c) </w:t>
            </w:r>
          </w:p>
        </w:tc>
        <w:tc>
          <w:tcPr>
            <w:tcW w:w="0" w:type="auto"/>
            <w:hideMark/>
          </w:tcPr>
          <w:p w14:paraId="2FD3FC4F" w14:textId="77777777" w:rsidR="00000000" w:rsidRDefault="00EB4933">
            <w:pPr>
              <w:jc w:val="both"/>
              <w:rPr>
                <w:rFonts w:eastAsia="Times New Roman"/>
                <w:sz w:val="20"/>
                <w:szCs w:val="20"/>
              </w:rPr>
            </w:pPr>
            <w:r>
              <w:rPr>
                <w:rFonts w:eastAsia="Times New Roman"/>
                <w:sz w:val="20"/>
                <w:szCs w:val="20"/>
              </w:rPr>
              <w:t>all resulting exchange differences are recognized in other comprehensive income.</w:t>
            </w:r>
          </w:p>
        </w:tc>
      </w:tr>
    </w:tbl>
    <w:p w14:paraId="2E603B32"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F50D209" w14:textId="77777777">
        <w:trPr>
          <w:divId w:val="98525094"/>
          <w:trHeight w:val="225"/>
          <w:tblCellSpacing w:w="15" w:type="dxa"/>
        </w:trPr>
        <w:tc>
          <w:tcPr>
            <w:tcW w:w="0" w:type="auto"/>
            <w:vAlign w:val="center"/>
            <w:hideMark/>
          </w:tcPr>
          <w:p w14:paraId="3CCBBE50" w14:textId="77777777" w:rsidR="00000000" w:rsidRDefault="00EB4933">
            <w:pPr>
              <w:rPr>
                <w:rFonts w:eastAsia="Times New Roman"/>
                <w:sz w:val="20"/>
                <w:szCs w:val="20"/>
              </w:rPr>
            </w:pPr>
            <w:r>
              <w:rPr>
                <w:rFonts w:eastAsia="Times New Roman"/>
                <w:sz w:val="20"/>
                <w:szCs w:val="20"/>
              </w:rPr>
              <w:t> </w:t>
            </w:r>
          </w:p>
        </w:tc>
      </w:tr>
      <w:tr w:rsidR="00000000" w14:paraId="4CDF8F2C" w14:textId="77777777">
        <w:trPr>
          <w:divId w:val="98525094"/>
          <w:trHeight w:val="225"/>
          <w:tblCellSpacing w:w="15" w:type="dxa"/>
        </w:trPr>
        <w:tc>
          <w:tcPr>
            <w:tcW w:w="0" w:type="auto"/>
            <w:tcBorders>
              <w:bottom w:val="single" w:sz="6" w:space="0" w:color="000000"/>
            </w:tcBorders>
            <w:vAlign w:val="center"/>
            <w:hideMark/>
          </w:tcPr>
          <w:p w14:paraId="0A968E58" w14:textId="77777777" w:rsidR="00000000" w:rsidRDefault="00EB4933">
            <w:pPr>
              <w:jc w:val="center"/>
              <w:rPr>
                <w:rFonts w:eastAsia="Times New Roman"/>
                <w:sz w:val="20"/>
                <w:szCs w:val="20"/>
              </w:rPr>
            </w:pPr>
            <w:r>
              <w:rPr>
                <w:rFonts w:eastAsia="Times New Roman"/>
                <w:sz w:val="20"/>
                <w:szCs w:val="20"/>
              </w:rPr>
              <w:t>F-21</w:t>
            </w:r>
          </w:p>
        </w:tc>
      </w:tr>
      <w:tr w:rsidR="00000000" w14:paraId="6FC605AC" w14:textId="77777777">
        <w:trPr>
          <w:divId w:val="98525094"/>
          <w:trHeight w:val="225"/>
          <w:tblCellSpacing w:w="15" w:type="dxa"/>
        </w:trPr>
        <w:tc>
          <w:tcPr>
            <w:tcW w:w="0" w:type="auto"/>
            <w:vAlign w:val="center"/>
            <w:hideMark/>
          </w:tcPr>
          <w:p w14:paraId="37847695" w14:textId="77777777" w:rsidR="00000000" w:rsidRDefault="00EB4933">
            <w:pPr>
              <w:rPr>
                <w:rFonts w:eastAsia="Times New Roman"/>
                <w:sz w:val="20"/>
                <w:szCs w:val="20"/>
              </w:rPr>
            </w:pPr>
          </w:p>
        </w:tc>
      </w:tr>
      <w:tr w:rsidR="00000000" w14:paraId="66174BED" w14:textId="77777777">
        <w:trPr>
          <w:divId w:val="98525094"/>
          <w:trHeight w:val="225"/>
          <w:tblCellSpacing w:w="15" w:type="dxa"/>
        </w:trPr>
        <w:tc>
          <w:tcPr>
            <w:tcW w:w="0" w:type="auto"/>
            <w:vAlign w:val="center"/>
            <w:hideMark/>
          </w:tcPr>
          <w:p w14:paraId="1AD485A2" w14:textId="77777777" w:rsidR="00000000" w:rsidRDefault="00EB4933">
            <w:pPr>
              <w:rPr>
                <w:rFonts w:eastAsia="Times New Roman"/>
                <w:sz w:val="20"/>
                <w:szCs w:val="20"/>
              </w:rPr>
            </w:pPr>
            <w:hyperlink r:id="rId238" w:anchor="finindex" w:history="1">
              <w:r>
                <w:rPr>
                  <w:rStyle w:val="Hyperlink"/>
                  <w:rFonts w:eastAsia="Times New Roman"/>
                  <w:i/>
                  <w:iCs/>
                  <w:sz w:val="20"/>
                  <w:szCs w:val="20"/>
                </w:rPr>
                <w:t>Table of Contents</w:t>
              </w:r>
            </w:hyperlink>
          </w:p>
        </w:tc>
      </w:tr>
    </w:tbl>
    <w:p w14:paraId="26C8A628"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7A9B04F3"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2819D5DD"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022E553B"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46887906"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7C97A4AF" w14:textId="77777777" w:rsidR="00000000" w:rsidRDefault="00EB4933">
      <w:pPr>
        <w:pStyle w:val="NormalWeb"/>
        <w:spacing w:before="0" w:beforeAutospacing="0" w:after="0" w:afterAutospacing="0"/>
        <w:jc w:val="both"/>
        <w:divId w:val="98525094"/>
        <w:rPr>
          <w:sz w:val="20"/>
          <w:szCs w:val="20"/>
        </w:rPr>
      </w:pPr>
      <w:r>
        <w:rPr>
          <w:rStyle w:val="Strong"/>
          <w:sz w:val="20"/>
          <w:szCs w:val="20"/>
        </w:rPr>
        <w:t>2.6 Interest</w:t>
      </w:r>
    </w:p>
    <w:p w14:paraId="6095C5A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CCDAB01" w14:textId="77777777" w:rsidR="00000000" w:rsidRDefault="00EB4933">
      <w:pPr>
        <w:pStyle w:val="NormalWeb"/>
        <w:spacing w:before="0" w:beforeAutospacing="0" w:after="0" w:afterAutospacing="0"/>
        <w:ind w:left="675"/>
        <w:jc w:val="both"/>
        <w:divId w:val="98525094"/>
        <w:rPr>
          <w:sz w:val="20"/>
          <w:szCs w:val="20"/>
        </w:rPr>
      </w:pPr>
      <w:r>
        <w:rPr>
          <w:sz w:val="20"/>
          <w:szCs w:val="20"/>
        </w:rPr>
        <w:t>Interest (IFRS 9 - 2018 and 2019 only)</w:t>
      </w:r>
    </w:p>
    <w:p w14:paraId="29263CCD"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3AF74CA1" w14:textId="77777777" w:rsidR="00000000" w:rsidRDefault="00EB4933">
      <w:pPr>
        <w:pStyle w:val="NormalWeb"/>
        <w:spacing w:before="0" w:beforeAutospacing="0" w:after="0" w:afterAutospacing="0"/>
        <w:ind w:left="675"/>
        <w:jc w:val="both"/>
        <w:divId w:val="98525094"/>
        <w:rPr>
          <w:sz w:val="20"/>
          <w:szCs w:val="20"/>
        </w:rPr>
      </w:pPr>
      <w:r>
        <w:rPr>
          <w:sz w:val="20"/>
          <w:szCs w:val="20"/>
        </w:rPr>
        <w:t>Int</w:t>
      </w:r>
      <w:r>
        <w:rPr>
          <w:sz w:val="20"/>
          <w:szCs w:val="20"/>
        </w:rPr>
        <w:t xml:space="preserve">erest income and expense for all financial instruments are recognized in “Net interest income” as “Interest income” and “Interest expense” in the Consolidated Statement of Profit and Other Comprehensive Income </w:t>
      </w:r>
      <w:r>
        <w:rPr>
          <w:sz w:val="20"/>
          <w:szCs w:val="20"/>
        </w:rPr>
        <w:lastRenderedPageBreak/>
        <w:t xml:space="preserve">using the effective interest method. Interest </w:t>
      </w:r>
      <w:r>
        <w:rPr>
          <w:sz w:val="20"/>
          <w:szCs w:val="20"/>
        </w:rPr>
        <w:t>income for financial assets held at amortized cost is recognized in profit or loss using the effective interest method.</w:t>
      </w:r>
    </w:p>
    <w:p w14:paraId="3C439341"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07750B7E" w14:textId="77777777" w:rsidR="00000000" w:rsidRDefault="00EB4933">
      <w:pPr>
        <w:pStyle w:val="NormalWeb"/>
        <w:spacing w:before="0" w:beforeAutospacing="0" w:after="0" w:afterAutospacing="0"/>
        <w:ind w:left="675"/>
        <w:jc w:val="both"/>
        <w:divId w:val="98525094"/>
        <w:rPr>
          <w:sz w:val="20"/>
          <w:szCs w:val="20"/>
        </w:rPr>
      </w:pPr>
      <w:r>
        <w:rPr>
          <w:sz w:val="20"/>
          <w:szCs w:val="20"/>
        </w:rPr>
        <w:t>The effective interest rate is the rate that exactly discount estimated future cash payments or receipts through the expected life of the financial asset or financial liability (or, where appropriate, a shorter period) to the gross carrying amount of a fin</w:t>
      </w:r>
      <w:r>
        <w:rPr>
          <w:sz w:val="20"/>
          <w:szCs w:val="20"/>
        </w:rPr>
        <w:t>ancial asset (i.e. its amortized cost before any impairment allowance) or to the amortized cost of a financial liability. When calculating the effective interest rate, the Group estimates cash flows considering all contractual terms of the financial instru</w:t>
      </w:r>
      <w:r>
        <w:rPr>
          <w:sz w:val="20"/>
          <w:szCs w:val="20"/>
        </w:rPr>
        <w:t xml:space="preserve">ment but does not consider expected credit losses and includes transaction costs, premiums or discounts and fees and points paid or received that are integral to the effective interest rate, such as origination fees. </w:t>
      </w:r>
    </w:p>
    <w:p w14:paraId="3046A350"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20F3F2EE" w14:textId="77777777" w:rsidR="00000000" w:rsidRDefault="00EB4933">
      <w:pPr>
        <w:pStyle w:val="NormalWeb"/>
        <w:spacing w:before="0" w:beforeAutospacing="0" w:after="0" w:afterAutospacing="0"/>
        <w:ind w:left="675"/>
        <w:jc w:val="both"/>
        <w:divId w:val="98525094"/>
        <w:rPr>
          <w:sz w:val="20"/>
          <w:szCs w:val="20"/>
        </w:rPr>
      </w:pPr>
      <w:r>
        <w:rPr>
          <w:sz w:val="20"/>
          <w:szCs w:val="20"/>
        </w:rPr>
        <w:t>When the Group revises the estimates</w:t>
      </w:r>
      <w:r>
        <w:rPr>
          <w:sz w:val="20"/>
          <w:szCs w:val="20"/>
        </w:rPr>
        <w:t xml:space="preserve"> of future cash flows, the carrying amount of the respective financial assets or financial liability is adjusted to reflect the new estimate discounted using the original effective interest rate. Any changes are recognized in profit or loss.</w:t>
      </w:r>
    </w:p>
    <w:p w14:paraId="49BB5726"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330B199B" w14:textId="77777777" w:rsidR="00000000" w:rsidRDefault="00EB4933">
      <w:pPr>
        <w:pStyle w:val="NormalWeb"/>
        <w:spacing w:before="0" w:beforeAutospacing="0" w:after="0" w:afterAutospacing="0"/>
        <w:ind w:left="675"/>
        <w:jc w:val="both"/>
        <w:divId w:val="98525094"/>
        <w:rPr>
          <w:sz w:val="20"/>
          <w:szCs w:val="20"/>
        </w:rPr>
      </w:pPr>
      <w:r>
        <w:rPr>
          <w:sz w:val="20"/>
          <w:szCs w:val="20"/>
        </w:rPr>
        <w:t>The interest</w:t>
      </w:r>
      <w:r>
        <w:rPr>
          <w:sz w:val="20"/>
          <w:szCs w:val="20"/>
        </w:rPr>
        <w:t xml:space="preserve"> income / interest expense is calculated by applying the effective interest rate to the gross carrying amount of non-credit impaired financial assets (i.e. at the amortized cost of the financial asset before adjusting for any expected credit loss allowance</w:t>
      </w:r>
      <w:r>
        <w:rPr>
          <w:sz w:val="20"/>
          <w:szCs w:val="20"/>
        </w:rPr>
        <w:t xml:space="preserve">), or at amortized cost of financial liabilities. Interest income for financial assets that are amortized cost that have become credit-impaired subsequent to initial recognition is recognized using the credit adjusted effective interest rate. This rate is </w:t>
      </w:r>
      <w:r>
        <w:rPr>
          <w:sz w:val="20"/>
          <w:szCs w:val="20"/>
        </w:rPr>
        <w:t xml:space="preserve">calculated in the same manner as the effective interest rate except that expected credit losses are included in the expected cash flows. Interest income is therefore recognized on the amortized cost of the financial asset including expected credit losses. </w:t>
      </w:r>
      <w:r>
        <w:rPr>
          <w:sz w:val="20"/>
          <w:szCs w:val="20"/>
        </w:rPr>
        <w:t>Should the credit risk on a credit-impaired financial asset improve such that the financial asset is no longer considered credit-impaired, interest income recognition reverts to a computation based on the rehabilitated gross carrying value of the financial</w:t>
      </w:r>
      <w:r>
        <w:rPr>
          <w:sz w:val="20"/>
          <w:szCs w:val="20"/>
        </w:rPr>
        <w:t xml:space="preserve"> asset.</w:t>
      </w:r>
    </w:p>
    <w:p w14:paraId="4BE2301E"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3F5CBC73" w14:textId="77777777" w:rsidR="00000000" w:rsidRDefault="00EB4933">
      <w:pPr>
        <w:pStyle w:val="NormalWeb"/>
        <w:spacing w:before="0" w:beforeAutospacing="0" w:after="0" w:afterAutospacing="0"/>
        <w:ind w:left="675"/>
        <w:jc w:val="both"/>
        <w:divId w:val="98525094"/>
        <w:rPr>
          <w:sz w:val="20"/>
          <w:szCs w:val="20"/>
        </w:rPr>
      </w:pPr>
      <w:r>
        <w:rPr>
          <w:sz w:val="20"/>
          <w:szCs w:val="20"/>
        </w:rPr>
        <w:t>A contract modification is a change in the scope or interest rate (or both) of a contract that is approved by the parties to the contract. A contract modification exists when the parties to a contract approve a modification that either creates ne</w:t>
      </w:r>
      <w:r>
        <w:rPr>
          <w:sz w:val="20"/>
          <w:szCs w:val="20"/>
        </w:rPr>
        <w:t>w or changes existing enforceable rights and obligations of the parties to the contract. When a contract modification is not accounted for as a separate contract, the Group shall account for the contract modification as if it were a part of the existing co</w:t>
      </w:r>
      <w:r>
        <w:rPr>
          <w:sz w:val="20"/>
          <w:szCs w:val="20"/>
        </w:rPr>
        <w:t>ntract as the remaining services are not distinct and therefore, form part of single performance obligation that is partially satisfied at the date of the contract modification. The effect that the contract modification has on the interest rate, and on the</w:t>
      </w:r>
      <w:r>
        <w:rPr>
          <w:sz w:val="20"/>
          <w:szCs w:val="20"/>
        </w:rPr>
        <w:t xml:space="preserve"> entity’s measure of progress towards complete satisfaction of the performance obligation, is recognized as an adjustment to interest income (either as an increase in or a reduction of interest income) at the date of the contract modification (ie the adjus</w:t>
      </w:r>
      <w:r>
        <w:rPr>
          <w:sz w:val="20"/>
          <w:szCs w:val="20"/>
        </w:rPr>
        <w:t>tment to interest income is made on a cumulative catch-up basis).</w:t>
      </w:r>
    </w:p>
    <w:p w14:paraId="63B6618A"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2B46E0A" w14:textId="77777777">
        <w:trPr>
          <w:divId w:val="98525094"/>
          <w:trHeight w:val="225"/>
          <w:tblCellSpacing w:w="15" w:type="dxa"/>
        </w:trPr>
        <w:tc>
          <w:tcPr>
            <w:tcW w:w="0" w:type="auto"/>
            <w:vAlign w:val="center"/>
            <w:hideMark/>
          </w:tcPr>
          <w:p w14:paraId="66C8DC33" w14:textId="77777777" w:rsidR="00000000" w:rsidRDefault="00EB4933">
            <w:pPr>
              <w:rPr>
                <w:rFonts w:eastAsia="Times New Roman"/>
                <w:sz w:val="20"/>
                <w:szCs w:val="20"/>
              </w:rPr>
            </w:pPr>
            <w:r>
              <w:rPr>
                <w:rFonts w:eastAsia="Times New Roman"/>
                <w:sz w:val="20"/>
                <w:szCs w:val="20"/>
              </w:rPr>
              <w:t> </w:t>
            </w:r>
          </w:p>
        </w:tc>
      </w:tr>
      <w:tr w:rsidR="00000000" w14:paraId="359FBB52" w14:textId="77777777">
        <w:trPr>
          <w:divId w:val="98525094"/>
          <w:trHeight w:val="225"/>
          <w:tblCellSpacing w:w="15" w:type="dxa"/>
        </w:trPr>
        <w:tc>
          <w:tcPr>
            <w:tcW w:w="0" w:type="auto"/>
            <w:tcBorders>
              <w:bottom w:val="single" w:sz="6" w:space="0" w:color="000000"/>
            </w:tcBorders>
            <w:vAlign w:val="center"/>
            <w:hideMark/>
          </w:tcPr>
          <w:p w14:paraId="1EEE437C" w14:textId="77777777" w:rsidR="00000000" w:rsidRDefault="00EB4933">
            <w:pPr>
              <w:jc w:val="center"/>
              <w:rPr>
                <w:rFonts w:eastAsia="Times New Roman"/>
                <w:sz w:val="20"/>
                <w:szCs w:val="20"/>
              </w:rPr>
            </w:pPr>
            <w:r>
              <w:rPr>
                <w:rFonts w:eastAsia="Times New Roman"/>
                <w:sz w:val="20"/>
                <w:szCs w:val="20"/>
              </w:rPr>
              <w:t>F-22</w:t>
            </w:r>
          </w:p>
        </w:tc>
      </w:tr>
      <w:tr w:rsidR="00000000" w14:paraId="3BF43085" w14:textId="77777777">
        <w:trPr>
          <w:divId w:val="98525094"/>
          <w:trHeight w:val="225"/>
          <w:tblCellSpacing w:w="15" w:type="dxa"/>
        </w:trPr>
        <w:tc>
          <w:tcPr>
            <w:tcW w:w="0" w:type="auto"/>
            <w:vAlign w:val="center"/>
            <w:hideMark/>
          </w:tcPr>
          <w:p w14:paraId="4BE2195F" w14:textId="77777777" w:rsidR="00000000" w:rsidRDefault="00EB4933">
            <w:pPr>
              <w:rPr>
                <w:rFonts w:eastAsia="Times New Roman"/>
                <w:sz w:val="20"/>
                <w:szCs w:val="20"/>
              </w:rPr>
            </w:pPr>
          </w:p>
        </w:tc>
      </w:tr>
      <w:tr w:rsidR="00000000" w14:paraId="7FAC92FD" w14:textId="77777777">
        <w:trPr>
          <w:divId w:val="98525094"/>
          <w:trHeight w:val="225"/>
          <w:tblCellSpacing w:w="15" w:type="dxa"/>
        </w:trPr>
        <w:tc>
          <w:tcPr>
            <w:tcW w:w="0" w:type="auto"/>
            <w:vAlign w:val="center"/>
            <w:hideMark/>
          </w:tcPr>
          <w:p w14:paraId="21F64472" w14:textId="77777777" w:rsidR="00000000" w:rsidRDefault="00EB4933">
            <w:pPr>
              <w:rPr>
                <w:rFonts w:eastAsia="Times New Roman"/>
                <w:sz w:val="20"/>
                <w:szCs w:val="20"/>
              </w:rPr>
            </w:pPr>
            <w:hyperlink r:id="rId239" w:anchor="finindex" w:history="1">
              <w:r>
                <w:rPr>
                  <w:rStyle w:val="Hyperlink"/>
                  <w:rFonts w:eastAsia="Times New Roman"/>
                  <w:i/>
                  <w:iCs/>
                  <w:sz w:val="20"/>
                  <w:szCs w:val="20"/>
                </w:rPr>
                <w:t>Table of Contents</w:t>
              </w:r>
            </w:hyperlink>
          </w:p>
        </w:tc>
      </w:tr>
    </w:tbl>
    <w:p w14:paraId="1A90025A"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21B6F5B6"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02FD17BE"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42849895"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73DE6DAF"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3722D673"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2.6 Interest - continued </w:t>
      </w:r>
    </w:p>
    <w:p w14:paraId="4E89C7A1" w14:textId="77777777" w:rsidR="00000000" w:rsidRDefault="00EB4933">
      <w:pPr>
        <w:pStyle w:val="NormalWeb"/>
        <w:spacing w:before="0" w:beforeAutospacing="0" w:after="0" w:afterAutospacing="0"/>
        <w:jc w:val="both"/>
        <w:divId w:val="98525094"/>
        <w:rPr>
          <w:sz w:val="20"/>
          <w:szCs w:val="20"/>
        </w:rPr>
      </w:pPr>
      <w:r>
        <w:rPr>
          <w:rStyle w:val="Strong"/>
          <w:sz w:val="20"/>
          <w:szCs w:val="20"/>
        </w:rPr>
        <w:t> </w:t>
      </w:r>
    </w:p>
    <w:p w14:paraId="16BC3AC4" w14:textId="77777777" w:rsidR="00000000" w:rsidRDefault="00EB4933">
      <w:pPr>
        <w:pStyle w:val="NormalWeb"/>
        <w:spacing w:before="0" w:beforeAutospacing="0" w:after="0" w:afterAutospacing="0"/>
        <w:ind w:left="675"/>
        <w:jc w:val="both"/>
        <w:divId w:val="98525094"/>
        <w:rPr>
          <w:sz w:val="20"/>
          <w:szCs w:val="20"/>
        </w:rPr>
      </w:pPr>
      <w:r>
        <w:rPr>
          <w:sz w:val="20"/>
          <w:szCs w:val="20"/>
        </w:rPr>
        <w:t>Interest (IAS 18 – prior period only)</w:t>
      </w:r>
    </w:p>
    <w:p w14:paraId="4E272B6C"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4FB9AD3E" w14:textId="77777777" w:rsidR="00000000" w:rsidRDefault="00EB4933">
      <w:pPr>
        <w:pStyle w:val="NormalWeb"/>
        <w:spacing w:before="0" w:beforeAutospacing="0" w:after="0" w:afterAutospacing="0"/>
        <w:ind w:left="675"/>
        <w:jc w:val="both"/>
        <w:divId w:val="98525094"/>
        <w:rPr>
          <w:sz w:val="20"/>
          <w:szCs w:val="20"/>
        </w:rPr>
      </w:pPr>
      <w:r>
        <w:rPr>
          <w:sz w:val="20"/>
          <w:szCs w:val="20"/>
        </w:rPr>
        <w:t>The Group applied the revenue recognition requirements of IAS 18, “Revenue” (IAS 18). Rev</w:t>
      </w:r>
      <w:r>
        <w:rPr>
          <w:sz w:val="20"/>
          <w:szCs w:val="20"/>
        </w:rPr>
        <w:t>enue was recognized when the amount of revenue and associated costs could be reliably measured, it is probable that economic benefits associated with the transaction will be realized and the stage of completion of the transaction could be reliably measured</w:t>
      </w:r>
      <w:r>
        <w:rPr>
          <w:sz w:val="20"/>
          <w:szCs w:val="20"/>
        </w:rPr>
        <w:t>. This concept was applied to the key revenue generating activities of the Group as follows.</w:t>
      </w:r>
    </w:p>
    <w:p w14:paraId="213809A7" w14:textId="77777777" w:rsidR="00000000" w:rsidRDefault="00EB4933">
      <w:pPr>
        <w:pStyle w:val="NormalWeb"/>
        <w:spacing w:before="0" w:beforeAutospacing="0" w:after="0" w:afterAutospacing="0"/>
        <w:ind w:left="675"/>
        <w:jc w:val="both"/>
        <w:divId w:val="98525094"/>
        <w:rPr>
          <w:sz w:val="20"/>
          <w:szCs w:val="20"/>
        </w:rPr>
      </w:pPr>
      <w:r>
        <w:rPr>
          <w:sz w:val="20"/>
          <w:szCs w:val="20"/>
        </w:rPr>
        <w:lastRenderedPageBreak/>
        <w:t> </w:t>
      </w:r>
    </w:p>
    <w:p w14:paraId="7DD7153E" w14:textId="77777777" w:rsidR="00000000" w:rsidRDefault="00EB4933">
      <w:pPr>
        <w:pStyle w:val="NormalWeb"/>
        <w:spacing w:before="0" w:beforeAutospacing="0" w:after="0" w:afterAutospacing="0"/>
        <w:ind w:left="675"/>
        <w:jc w:val="both"/>
        <w:divId w:val="98525094"/>
        <w:rPr>
          <w:sz w:val="20"/>
          <w:szCs w:val="20"/>
        </w:rPr>
      </w:pPr>
      <w:r>
        <w:rPr>
          <w:sz w:val="20"/>
          <w:szCs w:val="20"/>
        </w:rPr>
        <w:t>Interest from all interest-bearing assets and liabilities was recognized in “Net interest income” as “Interest income” and “Interest expense” in the Consolidated</w:t>
      </w:r>
      <w:r>
        <w:rPr>
          <w:sz w:val="20"/>
          <w:szCs w:val="20"/>
        </w:rPr>
        <w:t xml:space="preserve"> Statement of Profit and Other Comprehensive Income using the effective interest method. The effective interest rate is a method of calculating the amortized cost of a financial asset or a financial liability and of allocating the interest income or expens</w:t>
      </w:r>
      <w:r>
        <w:rPr>
          <w:sz w:val="20"/>
          <w:szCs w:val="20"/>
        </w:rPr>
        <w:t>e over the relevant period using the estimated future cash flows. The estimated future cash flows used in this calculation include those determined by the contractual terms of the asset or liability, all fees that are considered to be integral to the effec</w:t>
      </w:r>
      <w:r>
        <w:rPr>
          <w:sz w:val="20"/>
          <w:szCs w:val="20"/>
        </w:rPr>
        <w:t>tive interest rate, direct and incremental transaction costs and all other premiums or discounts.</w:t>
      </w:r>
    </w:p>
    <w:p w14:paraId="3F56F9F6"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7276B03" w14:textId="77777777">
        <w:trPr>
          <w:divId w:val="98525094"/>
          <w:trHeight w:val="225"/>
          <w:tblCellSpacing w:w="15" w:type="dxa"/>
        </w:trPr>
        <w:tc>
          <w:tcPr>
            <w:tcW w:w="0" w:type="auto"/>
            <w:vAlign w:val="center"/>
            <w:hideMark/>
          </w:tcPr>
          <w:p w14:paraId="06C037C0" w14:textId="77777777" w:rsidR="00000000" w:rsidRDefault="00EB4933">
            <w:pPr>
              <w:rPr>
                <w:rFonts w:eastAsia="Times New Roman"/>
                <w:sz w:val="20"/>
                <w:szCs w:val="20"/>
              </w:rPr>
            </w:pPr>
            <w:r>
              <w:rPr>
                <w:rFonts w:eastAsia="Times New Roman"/>
                <w:sz w:val="20"/>
                <w:szCs w:val="20"/>
              </w:rPr>
              <w:t> </w:t>
            </w:r>
          </w:p>
        </w:tc>
      </w:tr>
      <w:tr w:rsidR="00000000" w14:paraId="020EBFDE" w14:textId="77777777">
        <w:trPr>
          <w:divId w:val="98525094"/>
          <w:trHeight w:val="225"/>
          <w:tblCellSpacing w:w="15" w:type="dxa"/>
        </w:trPr>
        <w:tc>
          <w:tcPr>
            <w:tcW w:w="0" w:type="auto"/>
            <w:tcBorders>
              <w:bottom w:val="single" w:sz="6" w:space="0" w:color="000000"/>
            </w:tcBorders>
            <w:vAlign w:val="center"/>
            <w:hideMark/>
          </w:tcPr>
          <w:p w14:paraId="5E4116A6" w14:textId="77777777" w:rsidR="00000000" w:rsidRDefault="00EB4933">
            <w:pPr>
              <w:jc w:val="center"/>
              <w:rPr>
                <w:rFonts w:eastAsia="Times New Roman"/>
                <w:sz w:val="20"/>
                <w:szCs w:val="20"/>
              </w:rPr>
            </w:pPr>
            <w:r>
              <w:rPr>
                <w:rFonts w:eastAsia="Times New Roman"/>
                <w:sz w:val="20"/>
                <w:szCs w:val="20"/>
              </w:rPr>
              <w:t>F-23</w:t>
            </w:r>
          </w:p>
        </w:tc>
      </w:tr>
      <w:tr w:rsidR="00000000" w14:paraId="4C460DAA" w14:textId="77777777">
        <w:trPr>
          <w:divId w:val="98525094"/>
          <w:trHeight w:val="225"/>
          <w:tblCellSpacing w:w="15" w:type="dxa"/>
        </w:trPr>
        <w:tc>
          <w:tcPr>
            <w:tcW w:w="0" w:type="auto"/>
            <w:vAlign w:val="center"/>
            <w:hideMark/>
          </w:tcPr>
          <w:p w14:paraId="0AE347CC" w14:textId="77777777" w:rsidR="00000000" w:rsidRDefault="00EB4933">
            <w:pPr>
              <w:rPr>
                <w:rFonts w:eastAsia="Times New Roman"/>
                <w:sz w:val="20"/>
                <w:szCs w:val="20"/>
              </w:rPr>
            </w:pPr>
          </w:p>
        </w:tc>
      </w:tr>
      <w:tr w:rsidR="00000000" w14:paraId="77B84B31" w14:textId="77777777">
        <w:trPr>
          <w:divId w:val="98525094"/>
          <w:trHeight w:val="225"/>
          <w:tblCellSpacing w:w="15" w:type="dxa"/>
        </w:trPr>
        <w:tc>
          <w:tcPr>
            <w:tcW w:w="0" w:type="auto"/>
            <w:vAlign w:val="center"/>
            <w:hideMark/>
          </w:tcPr>
          <w:p w14:paraId="36871834" w14:textId="77777777" w:rsidR="00000000" w:rsidRDefault="00EB4933">
            <w:pPr>
              <w:rPr>
                <w:rFonts w:eastAsia="Times New Roman"/>
                <w:sz w:val="20"/>
                <w:szCs w:val="20"/>
              </w:rPr>
            </w:pPr>
            <w:hyperlink r:id="rId240" w:anchor="finindex" w:history="1">
              <w:r>
                <w:rPr>
                  <w:rStyle w:val="Hyperlink"/>
                  <w:rFonts w:eastAsia="Times New Roman"/>
                  <w:i/>
                  <w:iCs/>
                  <w:sz w:val="20"/>
                  <w:szCs w:val="20"/>
                </w:rPr>
                <w:t>Table of Contents</w:t>
              </w:r>
            </w:hyperlink>
          </w:p>
        </w:tc>
      </w:tr>
    </w:tbl>
    <w:p w14:paraId="7429A1DD"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7C33A048"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6398D3E1"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790543F7"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5A0D43C7"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49EE1C9B"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2.7 </w:t>
      </w:r>
      <w:r>
        <w:rPr>
          <w:rStyle w:val="Strong"/>
          <w:sz w:val="14"/>
          <w:szCs w:val="14"/>
        </w:rPr>
        <w:t> </w:t>
      </w:r>
      <w:r>
        <w:rPr>
          <w:rStyle w:val="Strong"/>
          <w:sz w:val="20"/>
          <w:szCs w:val="20"/>
        </w:rPr>
        <w:t>Income tax</w:t>
      </w:r>
    </w:p>
    <w:p w14:paraId="4ECC550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FE7BF66" w14:textId="77777777" w:rsidR="00000000" w:rsidRDefault="00EB4933">
      <w:pPr>
        <w:pStyle w:val="NormalWeb"/>
        <w:spacing w:before="0" w:beforeAutospacing="0" w:after="0" w:afterAutospacing="0"/>
        <w:ind w:left="675"/>
        <w:jc w:val="both"/>
        <w:divId w:val="98525094"/>
        <w:rPr>
          <w:sz w:val="20"/>
          <w:szCs w:val="20"/>
        </w:rPr>
      </w:pPr>
      <w:r>
        <w:rPr>
          <w:sz w:val="20"/>
          <w:szCs w:val="20"/>
        </w:rPr>
        <w:t>Income tax expense comprises current and deferred tax. It is recognized in the Consolidated Statements of Profit and Other Comprehensive In</w:t>
      </w:r>
      <w:r>
        <w:rPr>
          <w:sz w:val="20"/>
          <w:szCs w:val="20"/>
        </w:rPr>
        <w:t>come.</w:t>
      </w:r>
    </w:p>
    <w:p w14:paraId="48A66034"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113F970E" w14:textId="77777777">
        <w:trPr>
          <w:divId w:val="98525094"/>
          <w:trHeight w:val="225"/>
          <w:tblCellSpacing w:w="15" w:type="dxa"/>
        </w:trPr>
        <w:tc>
          <w:tcPr>
            <w:tcW w:w="200" w:type="pct"/>
            <w:vAlign w:val="center"/>
            <w:hideMark/>
          </w:tcPr>
          <w:p w14:paraId="31C594EA"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03EEAFAD" w14:textId="77777777" w:rsidR="00000000" w:rsidRDefault="00EB4933">
            <w:pPr>
              <w:pStyle w:val="NormalWeb"/>
              <w:spacing w:before="0" w:beforeAutospacing="0" w:after="0" w:afterAutospacing="0"/>
              <w:rPr>
                <w:sz w:val="20"/>
                <w:szCs w:val="20"/>
              </w:rPr>
            </w:pPr>
            <w:r>
              <w:rPr>
                <w:sz w:val="20"/>
                <w:szCs w:val="20"/>
              </w:rPr>
              <w:t xml:space="preserve">i. </w:t>
            </w:r>
          </w:p>
        </w:tc>
        <w:tc>
          <w:tcPr>
            <w:tcW w:w="0" w:type="auto"/>
            <w:hideMark/>
          </w:tcPr>
          <w:p w14:paraId="76D62B14" w14:textId="77777777" w:rsidR="00000000" w:rsidRDefault="00EB4933">
            <w:pPr>
              <w:rPr>
                <w:rFonts w:eastAsia="Times New Roman"/>
                <w:sz w:val="20"/>
                <w:szCs w:val="20"/>
              </w:rPr>
            </w:pPr>
            <w:r>
              <w:rPr>
                <w:rFonts w:eastAsia="Times New Roman"/>
                <w:sz w:val="20"/>
                <w:szCs w:val="20"/>
              </w:rPr>
              <w:t>Current tax</w:t>
            </w:r>
          </w:p>
        </w:tc>
      </w:tr>
    </w:tbl>
    <w:p w14:paraId="4F92A01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7139DEB" w14:textId="77777777" w:rsidR="00000000" w:rsidRDefault="00EB4933">
      <w:pPr>
        <w:pStyle w:val="NormalWeb"/>
        <w:spacing w:before="0" w:beforeAutospacing="0" w:after="0" w:afterAutospacing="0"/>
        <w:ind w:left="1350"/>
        <w:jc w:val="both"/>
        <w:divId w:val="98525094"/>
        <w:rPr>
          <w:sz w:val="20"/>
          <w:szCs w:val="20"/>
        </w:rPr>
      </w:pPr>
      <w:r>
        <w:rPr>
          <w:sz w:val="20"/>
          <w:szCs w:val="20"/>
        </w:rPr>
        <w:t>Current tax comprises the expected tax payable or receivable on taxable income or loss for the year and any adjustment to the tax payable or receivable in respect of previous years. The amount of current tax payable or receivable is the best estimate of th</w:t>
      </w:r>
      <w:r>
        <w:rPr>
          <w:sz w:val="20"/>
          <w:szCs w:val="20"/>
        </w:rPr>
        <w:t xml:space="preserve">e tax amount expected to be paid or received that reflects uncertainty related to income taxes, if any. It is measured using tax rates enacted or substantially enacted at the reporting date. </w:t>
      </w:r>
    </w:p>
    <w:p w14:paraId="569E0FDE"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52FF55DD" w14:textId="77777777">
        <w:trPr>
          <w:divId w:val="98525094"/>
          <w:trHeight w:val="225"/>
          <w:tblCellSpacing w:w="15" w:type="dxa"/>
        </w:trPr>
        <w:tc>
          <w:tcPr>
            <w:tcW w:w="200" w:type="pct"/>
            <w:vAlign w:val="center"/>
            <w:hideMark/>
          </w:tcPr>
          <w:p w14:paraId="08D3AD24"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3BA5EA5D" w14:textId="77777777" w:rsidR="00000000" w:rsidRDefault="00EB4933">
            <w:pPr>
              <w:pStyle w:val="NormalWeb"/>
              <w:spacing w:before="0" w:beforeAutospacing="0" w:after="0" w:afterAutospacing="0"/>
              <w:rPr>
                <w:sz w:val="20"/>
                <w:szCs w:val="20"/>
              </w:rPr>
            </w:pPr>
            <w:r>
              <w:rPr>
                <w:sz w:val="20"/>
                <w:szCs w:val="20"/>
              </w:rPr>
              <w:t xml:space="preserve">ii. </w:t>
            </w:r>
          </w:p>
        </w:tc>
        <w:tc>
          <w:tcPr>
            <w:tcW w:w="0" w:type="auto"/>
            <w:hideMark/>
          </w:tcPr>
          <w:p w14:paraId="671CB2AC" w14:textId="77777777" w:rsidR="00000000" w:rsidRDefault="00EB4933">
            <w:pPr>
              <w:rPr>
                <w:rFonts w:eastAsia="Times New Roman"/>
                <w:sz w:val="20"/>
                <w:szCs w:val="20"/>
              </w:rPr>
            </w:pPr>
            <w:r>
              <w:rPr>
                <w:rFonts w:eastAsia="Times New Roman"/>
                <w:sz w:val="20"/>
                <w:szCs w:val="20"/>
              </w:rPr>
              <w:t>Deferred tax</w:t>
            </w:r>
          </w:p>
        </w:tc>
      </w:tr>
    </w:tbl>
    <w:p w14:paraId="288DCFE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36DE234" w14:textId="77777777" w:rsidR="00000000" w:rsidRDefault="00EB4933">
      <w:pPr>
        <w:pStyle w:val="NormalWeb"/>
        <w:spacing w:before="0" w:beforeAutospacing="0" w:after="0" w:afterAutospacing="0"/>
        <w:ind w:left="1350"/>
        <w:jc w:val="both"/>
        <w:divId w:val="98525094"/>
        <w:rPr>
          <w:sz w:val="20"/>
          <w:szCs w:val="20"/>
        </w:rPr>
      </w:pPr>
      <w:r>
        <w:rPr>
          <w:sz w:val="20"/>
          <w:szCs w:val="20"/>
        </w:rPr>
        <w:t>Deferred tax is recognized in respect o</w:t>
      </w:r>
      <w:r>
        <w:rPr>
          <w:sz w:val="20"/>
          <w:szCs w:val="20"/>
        </w:rPr>
        <w:t xml:space="preserve">f temporary differences between the carrying amounts of assets or liabilities for financial reporting purposes and the amounts used for taxation purposes. </w:t>
      </w:r>
    </w:p>
    <w:p w14:paraId="098BC67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248F049" w14:textId="77777777" w:rsidR="00000000" w:rsidRDefault="00EB4933">
      <w:pPr>
        <w:pStyle w:val="NormalWeb"/>
        <w:spacing w:before="0" w:beforeAutospacing="0" w:after="0" w:afterAutospacing="0"/>
        <w:ind w:left="1350"/>
        <w:jc w:val="both"/>
        <w:divId w:val="98525094"/>
        <w:rPr>
          <w:sz w:val="20"/>
          <w:szCs w:val="20"/>
        </w:rPr>
      </w:pPr>
      <w:r>
        <w:rPr>
          <w:sz w:val="20"/>
          <w:szCs w:val="20"/>
        </w:rPr>
        <w:t>Deferred tax assets are recognized for deductible temporary differences to the extent that it is p</w:t>
      </w:r>
      <w:r>
        <w:rPr>
          <w:sz w:val="20"/>
          <w:szCs w:val="20"/>
        </w:rPr>
        <w:t>robable that future taxable profits will be available against which they can be used. Future taxable profits are determined based on business plans for individual subsidiaries and variable interest entity in the Group and the reversal of temporary differen</w:t>
      </w:r>
      <w:r>
        <w:rPr>
          <w:sz w:val="20"/>
          <w:szCs w:val="20"/>
        </w:rPr>
        <w:t>ces. Deferred tax assets are reviewed at each reporting date and are reduced to the extent that it is no longer probable that the related tax benefit will be realized.</w:t>
      </w:r>
    </w:p>
    <w:p w14:paraId="5336F76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EBF5222" w14:textId="77777777" w:rsidR="00000000" w:rsidRDefault="00EB4933">
      <w:pPr>
        <w:pStyle w:val="NormalWeb"/>
        <w:spacing w:before="0" w:beforeAutospacing="0" w:after="0" w:afterAutospacing="0"/>
        <w:ind w:left="1350"/>
        <w:jc w:val="both"/>
        <w:divId w:val="98525094"/>
        <w:rPr>
          <w:sz w:val="20"/>
          <w:szCs w:val="20"/>
        </w:rPr>
      </w:pPr>
      <w:r>
        <w:rPr>
          <w:sz w:val="20"/>
          <w:szCs w:val="20"/>
        </w:rPr>
        <w:t xml:space="preserve">Unrecognized deferred tax assets are reassessed at each reporting date and recognized </w:t>
      </w:r>
      <w:r>
        <w:rPr>
          <w:sz w:val="20"/>
          <w:szCs w:val="20"/>
        </w:rPr>
        <w:t>to the extent that it has become probable that future taxable profits will be available against which they can be used.</w:t>
      </w:r>
    </w:p>
    <w:p w14:paraId="0CBEE96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30BC7A4" w14:textId="77777777" w:rsidR="00000000" w:rsidRDefault="00EB4933">
      <w:pPr>
        <w:pStyle w:val="NormalWeb"/>
        <w:spacing w:before="0" w:beforeAutospacing="0" w:after="0" w:afterAutospacing="0"/>
        <w:ind w:left="1350"/>
        <w:jc w:val="both"/>
        <w:divId w:val="98525094"/>
        <w:rPr>
          <w:sz w:val="20"/>
          <w:szCs w:val="20"/>
        </w:rPr>
      </w:pPr>
      <w:r>
        <w:rPr>
          <w:sz w:val="20"/>
          <w:szCs w:val="20"/>
        </w:rPr>
        <w:t xml:space="preserve">Deferred tax is measured at the tax rates that are expected to be applied to temporary differences when they reverse, using tax rates </w:t>
      </w:r>
      <w:r>
        <w:rPr>
          <w:sz w:val="20"/>
          <w:szCs w:val="20"/>
        </w:rPr>
        <w:t>enacted or substantially enacted at the reporting date.</w:t>
      </w:r>
    </w:p>
    <w:p w14:paraId="45F6A82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29DEE9C" w14:textId="77777777" w:rsidR="00000000" w:rsidRDefault="00EB4933">
      <w:pPr>
        <w:pStyle w:val="NormalWeb"/>
        <w:spacing w:before="0" w:beforeAutospacing="0" w:after="0" w:afterAutospacing="0"/>
        <w:ind w:left="1350"/>
        <w:jc w:val="both"/>
        <w:divId w:val="98525094"/>
        <w:rPr>
          <w:sz w:val="20"/>
          <w:szCs w:val="20"/>
        </w:rPr>
      </w:pPr>
      <w:r>
        <w:rPr>
          <w:sz w:val="20"/>
          <w:szCs w:val="20"/>
        </w:rPr>
        <w:t>The measurement of deferred tax reflects the tax consequences that would follow the manner in which the Group expects, at the reporting date, to recover or settle the carrying amount of its assets a</w:t>
      </w:r>
      <w:r>
        <w:rPr>
          <w:sz w:val="20"/>
          <w:szCs w:val="20"/>
        </w:rPr>
        <w:t xml:space="preserve">nd liabilities. </w:t>
      </w:r>
    </w:p>
    <w:p w14:paraId="1FD7959D"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35C2192E" w14:textId="77777777">
        <w:trPr>
          <w:divId w:val="98525094"/>
          <w:trHeight w:val="225"/>
          <w:tblCellSpacing w:w="15" w:type="dxa"/>
        </w:trPr>
        <w:tc>
          <w:tcPr>
            <w:tcW w:w="200" w:type="pct"/>
            <w:vAlign w:val="center"/>
            <w:hideMark/>
          </w:tcPr>
          <w:p w14:paraId="2C9371B1" w14:textId="77777777" w:rsidR="00000000" w:rsidRDefault="00EB4933">
            <w:pPr>
              <w:pStyle w:val="NormalWeb"/>
              <w:spacing w:before="0" w:beforeAutospacing="0" w:after="0" w:afterAutospacing="0"/>
              <w:rPr>
                <w:sz w:val="20"/>
                <w:szCs w:val="20"/>
              </w:rPr>
            </w:pPr>
            <w:r>
              <w:rPr>
                <w:sz w:val="20"/>
                <w:szCs w:val="20"/>
              </w:rPr>
              <w:lastRenderedPageBreak/>
              <w:t> </w:t>
            </w:r>
          </w:p>
        </w:tc>
        <w:tc>
          <w:tcPr>
            <w:tcW w:w="200" w:type="pct"/>
            <w:hideMark/>
          </w:tcPr>
          <w:p w14:paraId="2F7D5BFC" w14:textId="77777777" w:rsidR="00000000" w:rsidRDefault="00EB4933">
            <w:pPr>
              <w:pStyle w:val="NormalWeb"/>
              <w:spacing w:before="0" w:beforeAutospacing="0" w:after="0" w:afterAutospacing="0"/>
              <w:rPr>
                <w:sz w:val="20"/>
                <w:szCs w:val="20"/>
              </w:rPr>
            </w:pPr>
            <w:r>
              <w:rPr>
                <w:sz w:val="20"/>
                <w:szCs w:val="20"/>
              </w:rPr>
              <w:t xml:space="preserve">iii. </w:t>
            </w:r>
          </w:p>
        </w:tc>
        <w:tc>
          <w:tcPr>
            <w:tcW w:w="0" w:type="auto"/>
            <w:hideMark/>
          </w:tcPr>
          <w:p w14:paraId="773E8D5D" w14:textId="77777777" w:rsidR="00000000" w:rsidRDefault="00EB4933">
            <w:pPr>
              <w:rPr>
                <w:rFonts w:eastAsia="Times New Roman"/>
                <w:sz w:val="20"/>
                <w:szCs w:val="20"/>
              </w:rPr>
            </w:pPr>
            <w:r>
              <w:rPr>
                <w:rFonts w:eastAsia="Times New Roman"/>
                <w:sz w:val="20"/>
                <w:szCs w:val="20"/>
              </w:rPr>
              <w:t>Tax exposures</w:t>
            </w:r>
          </w:p>
        </w:tc>
      </w:tr>
    </w:tbl>
    <w:p w14:paraId="724CBED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5433D98" w14:textId="77777777" w:rsidR="00000000" w:rsidRDefault="00EB4933">
      <w:pPr>
        <w:pStyle w:val="NormalWeb"/>
        <w:spacing w:before="0" w:beforeAutospacing="0" w:after="0" w:afterAutospacing="0"/>
        <w:ind w:left="1350"/>
        <w:jc w:val="both"/>
        <w:divId w:val="98525094"/>
        <w:rPr>
          <w:sz w:val="20"/>
          <w:szCs w:val="20"/>
        </w:rPr>
      </w:pPr>
      <w:r>
        <w:rPr>
          <w:sz w:val="20"/>
          <w:szCs w:val="20"/>
        </w:rPr>
        <w:t>In determining the amount of current and deferred tax, the Group considers the impact of tax exposures, including whether additional taxes and interest may be due. This assessment relies on estimates and assumptions and may involve a series of judgments ab</w:t>
      </w:r>
      <w:r>
        <w:rPr>
          <w:sz w:val="20"/>
          <w:szCs w:val="20"/>
        </w:rPr>
        <w:t>out future events. New information may become available that causes the Group to change its judgments regarding the adequacy of existing tax liabilities; such changes to tax liabilities would impact tax expense in the period in which such a determination i</w:t>
      </w:r>
      <w:r>
        <w:rPr>
          <w:sz w:val="20"/>
          <w:szCs w:val="20"/>
        </w:rPr>
        <w:t>s made.</w:t>
      </w:r>
    </w:p>
    <w:p w14:paraId="7F9E95E7"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16F61E7" w14:textId="77777777">
        <w:trPr>
          <w:divId w:val="98525094"/>
          <w:trHeight w:val="225"/>
          <w:tblCellSpacing w:w="15" w:type="dxa"/>
        </w:trPr>
        <w:tc>
          <w:tcPr>
            <w:tcW w:w="0" w:type="auto"/>
            <w:vAlign w:val="center"/>
            <w:hideMark/>
          </w:tcPr>
          <w:p w14:paraId="01E9CD23" w14:textId="77777777" w:rsidR="00000000" w:rsidRDefault="00EB4933">
            <w:pPr>
              <w:rPr>
                <w:rFonts w:eastAsia="Times New Roman"/>
                <w:sz w:val="20"/>
                <w:szCs w:val="20"/>
              </w:rPr>
            </w:pPr>
            <w:r>
              <w:rPr>
                <w:rFonts w:eastAsia="Times New Roman"/>
                <w:sz w:val="20"/>
                <w:szCs w:val="20"/>
              </w:rPr>
              <w:t> </w:t>
            </w:r>
          </w:p>
        </w:tc>
      </w:tr>
      <w:tr w:rsidR="00000000" w14:paraId="3CE6AFE7" w14:textId="77777777">
        <w:trPr>
          <w:divId w:val="98525094"/>
          <w:trHeight w:val="225"/>
          <w:tblCellSpacing w:w="15" w:type="dxa"/>
        </w:trPr>
        <w:tc>
          <w:tcPr>
            <w:tcW w:w="0" w:type="auto"/>
            <w:tcBorders>
              <w:bottom w:val="single" w:sz="6" w:space="0" w:color="000000"/>
            </w:tcBorders>
            <w:vAlign w:val="center"/>
            <w:hideMark/>
          </w:tcPr>
          <w:p w14:paraId="290B9883" w14:textId="77777777" w:rsidR="00000000" w:rsidRDefault="00EB4933">
            <w:pPr>
              <w:jc w:val="center"/>
              <w:rPr>
                <w:rFonts w:eastAsia="Times New Roman"/>
                <w:sz w:val="20"/>
                <w:szCs w:val="20"/>
              </w:rPr>
            </w:pPr>
            <w:r>
              <w:rPr>
                <w:rFonts w:eastAsia="Times New Roman"/>
                <w:sz w:val="20"/>
                <w:szCs w:val="20"/>
              </w:rPr>
              <w:t>F-24</w:t>
            </w:r>
          </w:p>
        </w:tc>
      </w:tr>
      <w:tr w:rsidR="00000000" w14:paraId="36F6069A" w14:textId="77777777">
        <w:trPr>
          <w:divId w:val="98525094"/>
          <w:trHeight w:val="225"/>
          <w:tblCellSpacing w:w="15" w:type="dxa"/>
        </w:trPr>
        <w:tc>
          <w:tcPr>
            <w:tcW w:w="0" w:type="auto"/>
            <w:vAlign w:val="center"/>
            <w:hideMark/>
          </w:tcPr>
          <w:p w14:paraId="78F70133" w14:textId="77777777" w:rsidR="00000000" w:rsidRDefault="00EB4933">
            <w:pPr>
              <w:rPr>
                <w:rFonts w:eastAsia="Times New Roman"/>
                <w:sz w:val="20"/>
                <w:szCs w:val="20"/>
              </w:rPr>
            </w:pPr>
          </w:p>
        </w:tc>
      </w:tr>
      <w:tr w:rsidR="00000000" w14:paraId="0DA8DA98" w14:textId="77777777">
        <w:trPr>
          <w:divId w:val="98525094"/>
          <w:trHeight w:val="225"/>
          <w:tblCellSpacing w:w="15" w:type="dxa"/>
        </w:trPr>
        <w:tc>
          <w:tcPr>
            <w:tcW w:w="0" w:type="auto"/>
            <w:vAlign w:val="center"/>
            <w:hideMark/>
          </w:tcPr>
          <w:p w14:paraId="17680C34" w14:textId="77777777" w:rsidR="00000000" w:rsidRDefault="00EB4933">
            <w:pPr>
              <w:rPr>
                <w:rFonts w:eastAsia="Times New Roman"/>
                <w:sz w:val="20"/>
                <w:szCs w:val="20"/>
              </w:rPr>
            </w:pPr>
            <w:hyperlink r:id="rId241" w:anchor="finindex" w:history="1">
              <w:r>
                <w:rPr>
                  <w:rStyle w:val="Hyperlink"/>
                  <w:rFonts w:eastAsia="Times New Roman"/>
                  <w:i/>
                  <w:iCs/>
                  <w:sz w:val="20"/>
                  <w:szCs w:val="20"/>
                </w:rPr>
                <w:t>Table of Contents</w:t>
              </w:r>
            </w:hyperlink>
          </w:p>
        </w:tc>
      </w:tr>
    </w:tbl>
    <w:p w14:paraId="21D6B96F"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4594A45A"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7271E00B"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15ACED8D"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2621EEE6"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7ED6BBA0" w14:textId="77777777" w:rsidR="00000000" w:rsidRDefault="00EB4933">
      <w:pPr>
        <w:pStyle w:val="NormalWeb"/>
        <w:spacing w:before="0" w:beforeAutospacing="0" w:after="0" w:afterAutospacing="0"/>
        <w:jc w:val="both"/>
        <w:divId w:val="98525094"/>
        <w:rPr>
          <w:sz w:val="20"/>
          <w:szCs w:val="20"/>
        </w:rPr>
      </w:pPr>
      <w:r>
        <w:rPr>
          <w:rStyle w:val="Strong"/>
          <w:sz w:val="20"/>
          <w:szCs w:val="20"/>
        </w:rPr>
        <w:t>2.8 Financial assets and financial liabilities (IFRS 9 – 2018 and 2019 only)</w:t>
      </w:r>
    </w:p>
    <w:p w14:paraId="0EE8F3AC"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4CDC0166" w14:textId="77777777">
        <w:trPr>
          <w:divId w:val="98525094"/>
          <w:trHeight w:val="225"/>
          <w:tblCellSpacing w:w="15" w:type="dxa"/>
        </w:trPr>
        <w:tc>
          <w:tcPr>
            <w:tcW w:w="200" w:type="pct"/>
            <w:vAlign w:val="center"/>
            <w:hideMark/>
          </w:tcPr>
          <w:p w14:paraId="19D8BB6B"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2A9AB89C" w14:textId="77777777" w:rsidR="00000000" w:rsidRDefault="00EB4933">
            <w:pPr>
              <w:pStyle w:val="NormalWeb"/>
              <w:spacing w:before="0" w:beforeAutospacing="0" w:after="0" w:afterAutospacing="0"/>
              <w:rPr>
                <w:sz w:val="20"/>
                <w:szCs w:val="20"/>
              </w:rPr>
            </w:pPr>
            <w:r>
              <w:rPr>
                <w:rStyle w:val="Strong"/>
                <w:sz w:val="20"/>
                <w:szCs w:val="20"/>
              </w:rPr>
              <w:t xml:space="preserve">i </w:t>
            </w:r>
          </w:p>
        </w:tc>
        <w:tc>
          <w:tcPr>
            <w:tcW w:w="0" w:type="auto"/>
            <w:hideMark/>
          </w:tcPr>
          <w:p w14:paraId="0CA9101E" w14:textId="77777777" w:rsidR="00000000" w:rsidRDefault="00EB4933">
            <w:pPr>
              <w:rPr>
                <w:rFonts w:eastAsia="Times New Roman"/>
                <w:sz w:val="20"/>
                <w:szCs w:val="20"/>
              </w:rPr>
            </w:pPr>
            <w:r>
              <w:rPr>
                <w:rStyle w:val="Strong"/>
                <w:rFonts w:eastAsia="Times New Roman"/>
                <w:sz w:val="20"/>
                <w:szCs w:val="20"/>
              </w:rPr>
              <w:t>Initial recognition and measurement</w:t>
            </w:r>
          </w:p>
        </w:tc>
      </w:tr>
    </w:tbl>
    <w:p w14:paraId="2F2E903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85FE9AC" w14:textId="77777777" w:rsidR="00000000" w:rsidRDefault="00EB4933">
      <w:pPr>
        <w:pStyle w:val="NormalWeb"/>
        <w:spacing w:before="0" w:beforeAutospacing="0" w:after="0" w:afterAutospacing="0"/>
        <w:ind w:left="1350"/>
        <w:jc w:val="both"/>
        <w:divId w:val="98525094"/>
        <w:rPr>
          <w:sz w:val="20"/>
          <w:szCs w:val="20"/>
        </w:rPr>
      </w:pPr>
      <w:r>
        <w:rPr>
          <w:sz w:val="20"/>
          <w:szCs w:val="20"/>
        </w:rPr>
        <w:t>Financial assets and financial liabilities are recognized when the entity becomes</w:t>
      </w:r>
      <w:r>
        <w:rPr>
          <w:sz w:val="20"/>
          <w:szCs w:val="20"/>
        </w:rPr>
        <w:t xml:space="preserve"> a party to the contractual provisions of the instrument.</w:t>
      </w:r>
    </w:p>
    <w:p w14:paraId="029434D8"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0ABBEF48" w14:textId="77777777" w:rsidR="00000000" w:rsidRDefault="00EB4933">
      <w:pPr>
        <w:pStyle w:val="NormalWeb"/>
        <w:spacing w:before="0" w:beforeAutospacing="0" w:after="0" w:afterAutospacing="0"/>
        <w:ind w:left="1350"/>
        <w:jc w:val="both"/>
        <w:divId w:val="98525094"/>
        <w:rPr>
          <w:sz w:val="20"/>
          <w:szCs w:val="20"/>
        </w:rPr>
      </w:pPr>
      <w:r>
        <w:rPr>
          <w:sz w:val="20"/>
          <w:szCs w:val="20"/>
        </w:rPr>
        <w:t>At initial recognition, the Group measures a financial asset or financial liability at its fair value plus or minus transaction costs that are incremental and directly attributable to the acquisit</w:t>
      </w:r>
      <w:r>
        <w:rPr>
          <w:sz w:val="20"/>
          <w:szCs w:val="20"/>
        </w:rPr>
        <w:t>ion or issue of the financial asset or financial liability, such as fees and commissions. Immediately after initial recognition, an expected credit loss allowance is recognized for financial assets measured at amortized cost, which results in an accounting</w:t>
      </w:r>
      <w:r>
        <w:rPr>
          <w:sz w:val="20"/>
          <w:szCs w:val="20"/>
        </w:rPr>
        <w:t xml:space="preserve"> loss being recognized in profit or loss when an asset is newly originated. </w:t>
      </w:r>
    </w:p>
    <w:p w14:paraId="66D74219"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41B117A1" w14:textId="77777777">
        <w:trPr>
          <w:divId w:val="98525094"/>
          <w:trHeight w:val="225"/>
          <w:tblCellSpacing w:w="15" w:type="dxa"/>
        </w:trPr>
        <w:tc>
          <w:tcPr>
            <w:tcW w:w="200" w:type="pct"/>
            <w:vAlign w:val="center"/>
            <w:hideMark/>
          </w:tcPr>
          <w:p w14:paraId="6B0F989B"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505E5391" w14:textId="77777777" w:rsidR="00000000" w:rsidRDefault="00EB4933">
            <w:pPr>
              <w:pStyle w:val="NormalWeb"/>
              <w:spacing w:before="0" w:beforeAutospacing="0" w:after="0" w:afterAutospacing="0"/>
              <w:rPr>
                <w:sz w:val="20"/>
                <w:szCs w:val="20"/>
              </w:rPr>
            </w:pPr>
            <w:r>
              <w:rPr>
                <w:rStyle w:val="Strong"/>
                <w:sz w:val="20"/>
                <w:szCs w:val="20"/>
              </w:rPr>
              <w:t xml:space="preserve">ii </w:t>
            </w:r>
          </w:p>
        </w:tc>
        <w:tc>
          <w:tcPr>
            <w:tcW w:w="0" w:type="auto"/>
            <w:hideMark/>
          </w:tcPr>
          <w:p w14:paraId="4DB8B2D3" w14:textId="77777777" w:rsidR="00000000" w:rsidRDefault="00EB4933">
            <w:pPr>
              <w:rPr>
                <w:rFonts w:eastAsia="Times New Roman"/>
                <w:sz w:val="20"/>
                <w:szCs w:val="20"/>
              </w:rPr>
            </w:pPr>
            <w:r>
              <w:rPr>
                <w:rStyle w:val="Strong"/>
                <w:rFonts w:eastAsia="Times New Roman"/>
                <w:sz w:val="20"/>
                <w:szCs w:val="20"/>
              </w:rPr>
              <w:t>Classification and subsequent measurement</w:t>
            </w:r>
          </w:p>
        </w:tc>
      </w:tr>
    </w:tbl>
    <w:p w14:paraId="41E4403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C7FADA8" w14:textId="77777777" w:rsidR="00000000" w:rsidRDefault="00EB4933">
      <w:pPr>
        <w:pStyle w:val="NormalWeb"/>
        <w:spacing w:before="0" w:beforeAutospacing="0" w:after="0" w:afterAutospacing="0"/>
        <w:ind w:left="1350"/>
        <w:jc w:val="both"/>
        <w:divId w:val="98525094"/>
        <w:rPr>
          <w:sz w:val="20"/>
          <w:szCs w:val="20"/>
        </w:rPr>
      </w:pPr>
      <w:r>
        <w:rPr>
          <w:sz w:val="20"/>
          <w:szCs w:val="20"/>
        </w:rPr>
        <w:t>Management determines the classification of its financial assets and liabilities at initial recognition of the instrument or, where applicable, at the time of reclassification.</w:t>
      </w:r>
    </w:p>
    <w:p w14:paraId="7935EAA8"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24782D23" w14:textId="77777777" w:rsidR="00000000" w:rsidRDefault="00EB4933">
      <w:pPr>
        <w:pStyle w:val="NormalWeb"/>
        <w:spacing w:before="0" w:beforeAutospacing="0" w:after="0" w:afterAutospacing="0"/>
        <w:ind w:left="1350"/>
        <w:jc w:val="both"/>
        <w:divId w:val="98525094"/>
        <w:rPr>
          <w:sz w:val="20"/>
          <w:szCs w:val="20"/>
        </w:rPr>
      </w:pPr>
      <w:r>
        <w:rPr>
          <w:sz w:val="20"/>
          <w:szCs w:val="20"/>
        </w:rPr>
        <w:t>Financial assets</w:t>
      </w:r>
    </w:p>
    <w:p w14:paraId="3168662A"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0D2439EB" w14:textId="77777777" w:rsidR="00000000" w:rsidRDefault="00EB4933">
      <w:pPr>
        <w:pStyle w:val="NormalWeb"/>
        <w:spacing w:before="0" w:beforeAutospacing="0" w:after="0" w:afterAutospacing="0"/>
        <w:ind w:left="1350"/>
        <w:jc w:val="both"/>
        <w:divId w:val="98525094"/>
        <w:rPr>
          <w:sz w:val="20"/>
          <w:szCs w:val="20"/>
        </w:rPr>
      </w:pPr>
      <w:r>
        <w:rPr>
          <w:sz w:val="20"/>
          <w:szCs w:val="20"/>
        </w:rPr>
        <w:t>From January 1, 2018, the Group has applied IFRS 9 and cla</w:t>
      </w:r>
      <w:r>
        <w:rPr>
          <w:sz w:val="20"/>
          <w:szCs w:val="20"/>
        </w:rPr>
        <w:t>ssifies its financial assets into amortized cost measurement category. The Company’s financial assets that are held to collect the contractual cash flows and which contain contractual terms that give rise on specified dates to cash flows that are solely pa</w:t>
      </w:r>
      <w:r>
        <w:rPr>
          <w:sz w:val="20"/>
          <w:szCs w:val="20"/>
        </w:rPr>
        <w:t xml:space="preserve">yments of principal and interest (“SPPI”) are measured at amortized cost. </w:t>
      </w:r>
    </w:p>
    <w:p w14:paraId="41CEABFC"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30A8C48E" w14:textId="77777777" w:rsidR="00000000" w:rsidRDefault="00EB4933">
      <w:pPr>
        <w:pStyle w:val="NormalWeb"/>
        <w:spacing w:before="0" w:beforeAutospacing="0" w:after="0" w:afterAutospacing="0"/>
        <w:ind w:left="1350"/>
        <w:jc w:val="both"/>
        <w:divId w:val="98525094"/>
        <w:rPr>
          <w:sz w:val="20"/>
          <w:szCs w:val="20"/>
        </w:rPr>
      </w:pPr>
      <w:r>
        <w:rPr>
          <w:sz w:val="20"/>
          <w:szCs w:val="20"/>
        </w:rPr>
        <w:t>Financial liabilities</w:t>
      </w:r>
    </w:p>
    <w:p w14:paraId="5589458A"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0E3DA3B1" w14:textId="77777777" w:rsidR="00000000" w:rsidRDefault="00EB4933">
      <w:pPr>
        <w:pStyle w:val="NormalWeb"/>
        <w:spacing w:before="0" w:beforeAutospacing="0" w:after="0" w:afterAutospacing="0"/>
        <w:ind w:left="1350"/>
        <w:jc w:val="both"/>
        <w:divId w:val="98525094"/>
        <w:rPr>
          <w:sz w:val="20"/>
          <w:szCs w:val="20"/>
        </w:rPr>
      </w:pPr>
      <w:r>
        <w:rPr>
          <w:sz w:val="20"/>
          <w:szCs w:val="20"/>
        </w:rPr>
        <w:t>The Group classifies its financial liabilities as measured at amortized cost.</w:t>
      </w:r>
    </w:p>
    <w:p w14:paraId="6DBD67A2"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5BF8D75" w14:textId="77777777">
        <w:trPr>
          <w:divId w:val="98525094"/>
          <w:trHeight w:val="225"/>
          <w:tblCellSpacing w:w="15" w:type="dxa"/>
        </w:trPr>
        <w:tc>
          <w:tcPr>
            <w:tcW w:w="0" w:type="auto"/>
            <w:vAlign w:val="center"/>
            <w:hideMark/>
          </w:tcPr>
          <w:p w14:paraId="163DA3BF" w14:textId="77777777" w:rsidR="00000000" w:rsidRDefault="00EB4933">
            <w:pPr>
              <w:rPr>
                <w:rFonts w:eastAsia="Times New Roman"/>
                <w:sz w:val="20"/>
                <w:szCs w:val="20"/>
              </w:rPr>
            </w:pPr>
            <w:r>
              <w:rPr>
                <w:rFonts w:eastAsia="Times New Roman"/>
                <w:sz w:val="20"/>
                <w:szCs w:val="20"/>
              </w:rPr>
              <w:t> </w:t>
            </w:r>
          </w:p>
        </w:tc>
      </w:tr>
      <w:tr w:rsidR="00000000" w14:paraId="6C16CF25" w14:textId="77777777">
        <w:trPr>
          <w:divId w:val="98525094"/>
          <w:trHeight w:val="225"/>
          <w:tblCellSpacing w:w="15" w:type="dxa"/>
        </w:trPr>
        <w:tc>
          <w:tcPr>
            <w:tcW w:w="0" w:type="auto"/>
            <w:tcBorders>
              <w:bottom w:val="single" w:sz="6" w:space="0" w:color="000000"/>
            </w:tcBorders>
            <w:vAlign w:val="center"/>
            <w:hideMark/>
          </w:tcPr>
          <w:p w14:paraId="30A2AEC0" w14:textId="77777777" w:rsidR="00000000" w:rsidRDefault="00EB4933">
            <w:pPr>
              <w:jc w:val="center"/>
              <w:rPr>
                <w:rFonts w:eastAsia="Times New Roman"/>
                <w:sz w:val="20"/>
                <w:szCs w:val="20"/>
              </w:rPr>
            </w:pPr>
            <w:r>
              <w:rPr>
                <w:rFonts w:eastAsia="Times New Roman"/>
                <w:sz w:val="20"/>
                <w:szCs w:val="20"/>
              </w:rPr>
              <w:t>F-25</w:t>
            </w:r>
          </w:p>
        </w:tc>
      </w:tr>
      <w:tr w:rsidR="00000000" w14:paraId="527428D6" w14:textId="77777777">
        <w:trPr>
          <w:divId w:val="98525094"/>
          <w:trHeight w:val="225"/>
          <w:tblCellSpacing w:w="15" w:type="dxa"/>
        </w:trPr>
        <w:tc>
          <w:tcPr>
            <w:tcW w:w="0" w:type="auto"/>
            <w:vAlign w:val="center"/>
            <w:hideMark/>
          </w:tcPr>
          <w:p w14:paraId="42159EA6" w14:textId="77777777" w:rsidR="00000000" w:rsidRDefault="00EB4933">
            <w:pPr>
              <w:rPr>
                <w:rFonts w:eastAsia="Times New Roman"/>
                <w:sz w:val="20"/>
                <w:szCs w:val="20"/>
              </w:rPr>
            </w:pPr>
          </w:p>
        </w:tc>
      </w:tr>
      <w:tr w:rsidR="00000000" w14:paraId="7B40163D" w14:textId="77777777">
        <w:trPr>
          <w:divId w:val="98525094"/>
          <w:trHeight w:val="225"/>
          <w:tblCellSpacing w:w="15" w:type="dxa"/>
        </w:trPr>
        <w:tc>
          <w:tcPr>
            <w:tcW w:w="0" w:type="auto"/>
            <w:vAlign w:val="center"/>
            <w:hideMark/>
          </w:tcPr>
          <w:p w14:paraId="4D4F6E1C" w14:textId="77777777" w:rsidR="00000000" w:rsidRDefault="00EB4933">
            <w:pPr>
              <w:rPr>
                <w:rFonts w:eastAsia="Times New Roman"/>
                <w:sz w:val="20"/>
                <w:szCs w:val="20"/>
              </w:rPr>
            </w:pPr>
            <w:hyperlink r:id="rId242" w:anchor="finindex" w:history="1">
              <w:r>
                <w:rPr>
                  <w:rStyle w:val="Hyperlink"/>
                  <w:rFonts w:eastAsia="Times New Roman"/>
                  <w:i/>
                  <w:iCs/>
                  <w:sz w:val="20"/>
                  <w:szCs w:val="20"/>
                </w:rPr>
                <w:t>Table of Contents</w:t>
              </w:r>
            </w:hyperlink>
          </w:p>
        </w:tc>
      </w:tr>
    </w:tbl>
    <w:p w14:paraId="64A21BD7"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3A1306B6"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06F53469" w14:textId="77777777" w:rsidR="00000000" w:rsidRDefault="00EB4933">
      <w:pPr>
        <w:pStyle w:val="NormalWeb"/>
        <w:spacing w:before="0" w:beforeAutospacing="0" w:after="0" w:afterAutospacing="0"/>
        <w:jc w:val="both"/>
        <w:divId w:val="98525094"/>
        <w:rPr>
          <w:sz w:val="20"/>
          <w:szCs w:val="20"/>
        </w:rPr>
      </w:pPr>
      <w:r>
        <w:rPr>
          <w:rStyle w:val="Strong"/>
          <w:sz w:val="20"/>
          <w:szCs w:val="20"/>
        </w:rPr>
        <w:lastRenderedPageBreak/>
        <w:t>NOTES TO THE CONSOLIDATED FINANCIAL STATEMENTS</w:t>
      </w:r>
    </w:p>
    <w:p w14:paraId="07E84DC8"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75FC9685"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7627543D" w14:textId="77777777" w:rsidR="00000000" w:rsidRDefault="00EB4933">
      <w:pPr>
        <w:pStyle w:val="NormalWeb"/>
        <w:spacing w:before="0" w:beforeAutospacing="0" w:after="0" w:afterAutospacing="0"/>
        <w:jc w:val="both"/>
        <w:divId w:val="98525094"/>
        <w:rPr>
          <w:sz w:val="20"/>
          <w:szCs w:val="20"/>
        </w:rPr>
      </w:pPr>
      <w:r>
        <w:rPr>
          <w:rStyle w:val="Strong"/>
          <w:sz w:val="20"/>
          <w:szCs w:val="20"/>
        </w:rPr>
        <w:t>2.8 Financial assets and financial liabilities (IFRS 9 – 2018 and 2019 only) - continued</w:t>
      </w:r>
    </w:p>
    <w:p w14:paraId="5DD7A5F7"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3739205" w14:textId="77777777">
        <w:trPr>
          <w:divId w:val="98525094"/>
          <w:trHeight w:val="225"/>
          <w:tblCellSpacing w:w="15" w:type="dxa"/>
        </w:trPr>
        <w:tc>
          <w:tcPr>
            <w:tcW w:w="200" w:type="pct"/>
            <w:vAlign w:val="center"/>
            <w:hideMark/>
          </w:tcPr>
          <w:p w14:paraId="3506CDAC"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610D0A43" w14:textId="77777777" w:rsidR="00000000" w:rsidRDefault="00EB4933">
            <w:pPr>
              <w:pStyle w:val="NormalWeb"/>
              <w:spacing w:before="0" w:beforeAutospacing="0" w:after="0" w:afterAutospacing="0"/>
              <w:rPr>
                <w:sz w:val="20"/>
                <w:szCs w:val="20"/>
              </w:rPr>
            </w:pPr>
            <w:r>
              <w:rPr>
                <w:rStyle w:val="Strong"/>
                <w:sz w:val="20"/>
                <w:szCs w:val="20"/>
              </w:rPr>
              <w:t xml:space="preserve">iii </w:t>
            </w:r>
          </w:p>
        </w:tc>
        <w:tc>
          <w:tcPr>
            <w:tcW w:w="0" w:type="auto"/>
            <w:hideMark/>
          </w:tcPr>
          <w:p w14:paraId="4C4F90D1" w14:textId="77777777" w:rsidR="00000000" w:rsidRDefault="00EB4933">
            <w:pPr>
              <w:rPr>
                <w:rFonts w:eastAsia="Times New Roman"/>
                <w:sz w:val="20"/>
                <w:szCs w:val="20"/>
              </w:rPr>
            </w:pPr>
            <w:r>
              <w:rPr>
                <w:rStyle w:val="Strong"/>
                <w:rFonts w:eastAsia="Times New Roman"/>
                <w:sz w:val="20"/>
                <w:szCs w:val="20"/>
              </w:rPr>
              <w:t>Derecognition</w:t>
            </w:r>
          </w:p>
        </w:tc>
      </w:tr>
    </w:tbl>
    <w:p w14:paraId="23B5997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8CD474C" w14:textId="77777777" w:rsidR="00000000" w:rsidRDefault="00EB4933">
      <w:pPr>
        <w:pStyle w:val="NormalWeb"/>
        <w:spacing w:before="0" w:beforeAutospacing="0" w:after="0" w:afterAutospacing="0"/>
        <w:ind w:left="1350"/>
        <w:jc w:val="both"/>
        <w:divId w:val="98525094"/>
        <w:rPr>
          <w:sz w:val="20"/>
          <w:szCs w:val="20"/>
        </w:rPr>
      </w:pPr>
      <w:r>
        <w:rPr>
          <w:sz w:val="20"/>
          <w:szCs w:val="20"/>
        </w:rPr>
        <w:t>Finan</w:t>
      </w:r>
      <w:r>
        <w:rPr>
          <w:sz w:val="20"/>
          <w:szCs w:val="20"/>
        </w:rPr>
        <w:t>cial assets</w:t>
      </w:r>
    </w:p>
    <w:p w14:paraId="4634D2A6"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7382124D" w14:textId="77777777" w:rsidR="00000000" w:rsidRDefault="00EB4933">
      <w:pPr>
        <w:pStyle w:val="NormalWeb"/>
        <w:spacing w:before="0" w:beforeAutospacing="0" w:after="0" w:afterAutospacing="0"/>
        <w:ind w:left="1350"/>
        <w:jc w:val="both"/>
        <w:divId w:val="98525094"/>
        <w:rPr>
          <w:sz w:val="20"/>
          <w:szCs w:val="20"/>
        </w:rPr>
      </w:pPr>
      <w:r>
        <w:rPr>
          <w:sz w:val="20"/>
          <w:szCs w:val="20"/>
        </w:rPr>
        <w:t xml:space="preserve">The Group derecognizes a financial asset when the contractual rights to the cash flows from the financial asset expire, or it transfers the rights to receive the contractual cash flows in a transaction in which substantially all of the risks </w:t>
      </w:r>
      <w:r>
        <w:rPr>
          <w:sz w:val="20"/>
          <w:szCs w:val="20"/>
        </w:rPr>
        <w:t>and rewards of ownership of the financial asset are transferred or in which the Group neither transfers nor retains substantially all of the risks and rewards of ownership and it does not retain control of the financial asset.</w:t>
      </w:r>
    </w:p>
    <w:p w14:paraId="600518AB"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3E904C56" w14:textId="77777777" w:rsidR="00000000" w:rsidRDefault="00EB4933">
      <w:pPr>
        <w:pStyle w:val="NormalWeb"/>
        <w:spacing w:before="0" w:beforeAutospacing="0" w:after="0" w:afterAutospacing="0"/>
        <w:ind w:left="1350"/>
        <w:jc w:val="both"/>
        <w:divId w:val="98525094"/>
        <w:rPr>
          <w:sz w:val="20"/>
          <w:szCs w:val="20"/>
        </w:rPr>
      </w:pPr>
      <w:r>
        <w:rPr>
          <w:sz w:val="20"/>
          <w:szCs w:val="20"/>
        </w:rPr>
        <w:t xml:space="preserve">In transactions in which the Group neither retains or transfers substantially all of the risks and rewards of ownership of a financial asset and its retains control over the asset, the Group continues to recognize the asset to the extent of its continuing </w:t>
      </w:r>
      <w:r>
        <w:rPr>
          <w:sz w:val="20"/>
          <w:szCs w:val="20"/>
        </w:rPr>
        <w:t>involvement, determined by the extent to which its is exposed to changes in the value of the transferred asset.</w:t>
      </w:r>
    </w:p>
    <w:p w14:paraId="40CD4E84"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1F49FE8A" w14:textId="77777777" w:rsidR="00000000" w:rsidRDefault="00EB4933">
      <w:pPr>
        <w:pStyle w:val="NormalWeb"/>
        <w:spacing w:before="0" w:beforeAutospacing="0" w:after="0" w:afterAutospacing="0"/>
        <w:ind w:left="1350"/>
        <w:jc w:val="both"/>
        <w:divId w:val="98525094"/>
        <w:rPr>
          <w:sz w:val="20"/>
          <w:szCs w:val="20"/>
        </w:rPr>
      </w:pPr>
      <w:r>
        <w:rPr>
          <w:sz w:val="20"/>
          <w:szCs w:val="20"/>
        </w:rPr>
        <w:t>Financial liabilities</w:t>
      </w:r>
    </w:p>
    <w:p w14:paraId="74B6ACC7"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1F0F346C" w14:textId="77777777" w:rsidR="00000000" w:rsidRDefault="00EB4933">
      <w:pPr>
        <w:pStyle w:val="NormalWeb"/>
        <w:spacing w:before="0" w:beforeAutospacing="0" w:after="0" w:afterAutospacing="0"/>
        <w:ind w:left="1350"/>
        <w:jc w:val="both"/>
        <w:divId w:val="98525094"/>
        <w:rPr>
          <w:sz w:val="20"/>
          <w:szCs w:val="20"/>
        </w:rPr>
      </w:pPr>
      <w:r>
        <w:rPr>
          <w:sz w:val="20"/>
          <w:szCs w:val="20"/>
        </w:rPr>
        <w:t>The Group derecognizes a financial liability when its contractual obligations are discharged or cancelled, or expire.</w:t>
      </w:r>
    </w:p>
    <w:p w14:paraId="255ADCE4"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111CC883" w14:textId="77777777">
        <w:trPr>
          <w:divId w:val="98525094"/>
          <w:trHeight w:val="225"/>
          <w:tblCellSpacing w:w="15" w:type="dxa"/>
        </w:trPr>
        <w:tc>
          <w:tcPr>
            <w:tcW w:w="200" w:type="pct"/>
            <w:vAlign w:val="center"/>
            <w:hideMark/>
          </w:tcPr>
          <w:p w14:paraId="29D8DF83"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00035F6A" w14:textId="77777777" w:rsidR="00000000" w:rsidRDefault="00EB4933">
            <w:pPr>
              <w:pStyle w:val="NormalWeb"/>
              <w:spacing w:before="0" w:beforeAutospacing="0" w:after="0" w:afterAutospacing="0"/>
              <w:rPr>
                <w:sz w:val="20"/>
                <w:szCs w:val="20"/>
              </w:rPr>
            </w:pPr>
            <w:r>
              <w:rPr>
                <w:rStyle w:val="Strong"/>
                <w:sz w:val="20"/>
                <w:szCs w:val="20"/>
              </w:rPr>
              <w:t xml:space="preserve">iv </w:t>
            </w:r>
          </w:p>
        </w:tc>
        <w:tc>
          <w:tcPr>
            <w:tcW w:w="0" w:type="auto"/>
            <w:hideMark/>
          </w:tcPr>
          <w:p w14:paraId="1C70092D" w14:textId="77777777" w:rsidR="00000000" w:rsidRDefault="00EB4933">
            <w:pPr>
              <w:rPr>
                <w:rFonts w:eastAsia="Times New Roman"/>
                <w:sz w:val="20"/>
                <w:szCs w:val="20"/>
              </w:rPr>
            </w:pPr>
            <w:r>
              <w:rPr>
                <w:rStyle w:val="Strong"/>
                <w:rFonts w:eastAsia="Times New Roman"/>
                <w:sz w:val="20"/>
                <w:szCs w:val="20"/>
              </w:rPr>
              <w:t>Amortized cost measurement</w:t>
            </w:r>
          </w:p>
        </w:tc>
      </w:tr>
    </w:tbl>
    <w:p w14:paraId="1844FDA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9C2D5E1" w14:textId="77777777" w:rsidR="00000000" w:rsidRDefault="00EB4933">
      <w:pPr>
        <w:pStyle w:val="NormalWeb"/>
        <w:spacing w:before="0" w:beforeAutospacing="0" w:after="0" w:afterAutospacing="0"/>
        <w:ind w:left="1350"/>
        <w:jc w:val="both"/>
        <w:divId w:val="98525094"/>
        <w:rPr>
          <w:sz w:val="20"/>
          <w:szCs w:val="20"/>
        </w:rPr>
      </w:pPr>
      <w:r>
        <w:rPr>
          <w:sz w:val="20"/>
          <w:szCs w:val="20"/>
        </w:rPr>
        <w:t>The “amortized cost” of a financial asset or financial liability is the amount at which the financial asset or financial liability is measured at initial recognition, minus principal repayments, plus or minus the cumul</w:t>
      </w:r>
      <w:r>
        <w:rPr>
          <w:sz w:val="20"/>
          <w:szCs w:val="20"/>
        </w:rPr>
        <w:t>ative amortization using the effective interest method of any difference between the initial amount and the maturity amount and, for financial assets, adjusted for any loss allowance.</w:t>
      </w:r>
    </w:p>
    <w:p w14:paraId="3293E667"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6CF0FD9" w14:textId="77777777">
        <w:trPr>
          <w:divId w:val="98525094"/>
          <w:trHeight w:val="225"/>
          <w:tblCellSpacing w:w="15" w:type="dxa"/>
        </w:trPr>
        <w:tc>
          <w:tcPr>
            <w:tcW w:w="0" w:type="auto"/>
            <w:vAlign w:val="center"/>
            <w:hideMark/>
          </w:tcPr>
          <w:p w14:paraId="6EFACE73" w14:textId="77777777" w:rsidR="00000000" w:rsidRDefault="00EB4933">
            <w:pPr>
              <w:rPr>
                <w:rFonts w:eastAsia="Times New Roman"/>
                <w:sz w:val="20"/>
                <w:szCs w:val="20"/>
              </w:rPr>
            </w:pPr>
            <w:r>
              <w:rPr>
                <w:rFonts w:eastAsia="Times New Roman"/>
                <w:sz w:val="20"/>
                <w:szCs w:val="20"/>
              </w:rPr>
              <w:t> </w:t>
            </w:r>
          </w:p>
        </w:tc>
      </w:tr>
      <w:tr w:rsidR="00000000" w14:paraId="39227FDF" w14:textId="77777777">
        <w:trPr>
          <w:divId w:val="98525094"/>
          <w:trHeight w:val="225"/>
          <w:tblCellSpacing w:w="15" w:type="dxa"/>
        </w:trPr>
        <w:tc>
          <w:tcPr>
            <w:tcW w:w="0" w:type="auto"/>
            <w:tcBorders>
              <w:bottom w:val="single" w:sz="6" w:space="0" w:color="000000"/>
            </w:tcBorders>
            <w:vAlign w:val="center"/>
            <w:hideMark/>
          </w:tcPr>
          <w:p w14:paraId="709FAFA7" w14:textId="77777777" w:rsidR="00000000" w:rsidRDefault="00EB4933">
            <w:pPr>
              <w:jc w:val="center"/>
              <w:rPr>
                <w:rFonts w:eastAsia="Times New Roman"/>
                <w:sz w:val="20"/>
                <w:szCs w:val="20"/>
              </w:rPr>
            </w:pPr>
            <w:r>
              <w:rPr>
                <w:rFonts w:eastAsia="Times New Roman"/>
                <w:sz w:val="20"/>
                <w:szCs w:val="20"/>
              </w:rPr>
              <w:t>F-26</w:t>
            </w:r>
          </w:p>
        </w:tc>
      </w:tr>
      <w:tr w:rsidR="00000000" w14:paraId="6C8877E7" w14:textId="77777777">
        <w:trPr>
          <w:divId w:val="98525094"/>
          <w:trHeight w:val="225"/>
          <w:tblCellSpacing w:w="15" w:type="dxa"/>
        </w:trPr>
        <w:tc>
          <w:tcPr>
            <w:tcW w:w="0" w:type="auto"/>
            <w:vAlign w:val="center"/>
            <w:hideMark/>
          </w:tcPr>
          <w:p w14:paraId="7B905E8E" w14:textId="77777777" w:rsidR="00000000" w:rsidRDefault="00EB4933">
            <w:pPr>
              <w:rPr>
                <w:rFonts w:eastAsia="Times New Roman"/>
                <w:sz w:val="20"/>
                <w:szCs w:val="20"/>
              </w:rPr>
            </w:pPr>
          </w:p>
        </w:tc>
      </w:tr>
      <w:tr w:rsidR="00000000" w14:paraId="48DE7988" w14:textId="77777777">
        <w:trPr>
          <w:divId w:val="98525094"/>
          <w:trHeight w:val="225"/>
          <w:tblCellSpacing w:w="15" w:type="dxa"/>
        </w:trPr>
        <w:tc>
          <w:tcPr>
            <w:tcW w:w="0" w:type="auto"/>
            <w:vAlign w:val="center"/>
            <w:hideMark/>
          </w:tcPr>
          <w:p w14:paraId="4A6CBEBF" w14:textId="77777777" w:rsidR="00000000" w:rsidRDefault="00EB4933">
            <w:pPr>
              <w:rPr>
                <w:rFonts w:eastAsia="Times New Roman"/>
                <w:sz w:val="20"/>
                <w:szCs w:val="20"/>
              </w:rPr>
            </w:pPr>
            <w:hyperlink r:id="rId243" w:anchor="finindex" w:history="1">
              <w:r>
                <w:rPr>
                  <w:rStyle w:val="Hyperlink"/>
                  <w:rFonts w:eastAsia="Times New Roman"/>
                  <w:i/>
                  <w:iCs/>
                  <w:sz w:val="20"/>
                  <w:szCs w:val="20"/>
                </w:rPr>
                <w:t>Table of Contents</w:t>
              </w:r>
            </w:hyperlink>
          </w:p>
        </w:tc>
      </w:tr>
    </w:tbl>
    <w:p w14:paraId="19E92F93"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21D2D3BA"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30113853"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1FAA9302"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6DD678CF"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57E5892B"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2.8 Financial assets and financial liabilities (IFRS 9 – 2018 and 2019 only) - continued </w:t>
      </w:r>
    </w:p>
    <w:p w14:paraId="1BCC2D16"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A4EAF12" w14:textId="77777777">
        <w:trPr>
          <w:divId w:val="98525094"/>
          <w:trHeight w:val="225"/>
          <w:tblCellSpacing w:w="15" w:type="dxa"/>
        </w:trPr>
        <w:tc>
          <w:tcPr>
            <w:tcW w:w="200" w:type="pct"/>
            <w:vAlign w:val="center"/>
            <w:hideMark/>
          </w:tcPr>
          <w:p w14:paraId="02EA5F24"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745099C1" w14:textId="77777777" w:rsidR="00000000" w:rsidRDefault="00EB4933">
            <w:pPr>
              <w:pStyle w:val="NormalWeb"/>
              <w:spacing w:before="0" w:beforeAutospacing="0" w:after="0" w:afterAutospacing="0"/>
              <w:rPr>
                <w:sz w:val="20"/>
                <w:szCs w:val="20"/>
              </w:rPr>
            </w:pPr>
            <w:r>
              <w:rPr>
                <w:rStyle w:val="Strong"/>
                <w:sz w:val="20"/>
                <w:szCs w:val="20"/>
              </w:rPr>
              <w:t xml:space="preserve">v. </w:t>
            </w:r>
          </w:p>
        </w:tc>
        <w:tc>
          <w:tcPr>
            <w:tcW w:w="0" w:type="auto"/>
            <w:hideMark/>
          </w:tcPr>
          <w:p w14:paraId="53276B5D" w14:textId="77777777" w:rsidR="00000000" w:rsidRDefault="00EB4933">
            <w:pPr>
              <w:rPr>
                <w:rFonts w:eastAsia="Times New Roman"/>
                <w:sz w:val="20"/>
                <w:szCs w:val="20"/>
              </w:rPr>
            </w:pPr>
            <w:r>
              <w:rPr>
                <w:rStyle w:val="Strong"/>
                <w:rFonts w:eastAsia="Times New Roman"/>
                <w:sz w:val="20"/>
                <w:szCs w:val="20"/>
              </w:rPr>
              <w:t xml:space="preserve">Identification and measurement of impairment </w:t>
            </w:r>
          </w:p>
        </w:tc>
      </w:tr>
    </w:tbl>
    <w:p w14:paraId="279F08A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B1CA519" w14:textId="77777777" w:rsidR="00000000" w:rsidRDefault="00EB4933">
      <w:pPr>
        <w:pStyle w:val="NormalWeb"/>
        <w:spacing w:before="0" w:beforeAutospacing="0" w:after="0" w:afterAutospacing="0"/>
        <w:ind w:left="1350"/>
        <w:jc w:val="both"/>
        <w:divId w:val="98525094"/>
        <w:rPr>
          <w:sz w:val="20"/>
          <w:szCs w:val="20"/>
        </w:rPr>
      </w:pPr>
      <w:r>
        <w:rPr>
          <w:sz w:val="20"/>
          <w:szCs w:val="20"/>
        </w:rPr>
        <w:t>IFRS 9 outlines a “three-stage” model for impairment based on changes in credit quality since initial recogni</w:t>
      </w:r>
      <w:r>
        <w:rPr>
          <w:sz w:val="20"/>
          <w:szCs w:val="20"/>
        </w:rPr>
        <w:t>tion as summarized below:</w:t>
      </w:r>
    </w:p>
    <w:p w14:paraId="34F6782A"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719"/>
        <w:gridCol w:w="530"/>
        <w:gridCol w:w="8111"/>
      </w:tblGrid>
      <w:tr w:rsidR="00000000" w14:paraId="3FB179EB" w14:textId="77777777">
        <w:trPr>
          <w:divId w:val="98525094"/>
          <w:trHeight w:val="225"/>
          <w:tblCellSpacing w:w="15" w:type="dxa"/>
        </w:trPr>
        <w:tc>
          <w:tcPr>
            <w:tcW w:w="400" w:type="pct"/>
            <w:vAlign w:val="center"/>
            <w:hideMark/>
          </w:tcPr>
          <w:p w14:paraId="6E6CB30E"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5B1E0B15"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2A9C0D28" w14:textId="77777777" w:rsidR="00000000" w:rsidRDefault="00EB4933">
            <w:pPr>
              <w:jc w:val="both"/>
              <w:rPr>
                <w:rFonts w:eastAsia="Times New Roman"/>
                <w:sz w:val="20"/>
                <w:szCs w:val="20"/>
              </w:rPr>
            </w:pPr>
            <w:r>
              <w:rPr>
                <w:rFonts w:eastAsia="Times New Roman"/>
                <w:sz w:val="20"/>
                <w:szCs w:val="20"/>
              </w:rPr>
              <w:t>A financial instrument that is not credit-impaired on initial recognition is classified in “Stage 1” and has its credit risk continuously monitored by the Group.</w:t>
            </w:r>
          </w:p>
        </w:tc>
      </w:tr>
      <w:tr w:rsidR="00000000" w14:paraId="3A81E3D6" w14:textId="77777777">
        <w:trPr>
          <w:divId w:val="98525094"/>
          <w:trHeight w:val="225"/>
          <w:tblCellSpacing w:w="15" w:type="dxa"/>
        </w:trPr>
        <w:tc>
          <w:tcPr>
            <w:tcW w:w="0" w:type="auto"/>
            <w:vAlign w:val="center"/>
            <w:hideMark/>
          </w:tcPr>
          <w:p w14:paraId="169F03AA"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6D5C5BAF"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0B363AFE"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177239D2" w14:textId="77777777">
        <w:trPr>
          <w:divId w:val="98525094"/>
          <w:trHeight w:val="225"/>
          <w:tblCellSpacing w:w="15" w:type="dxa"/>
        </w:trPr>
        <w:tc>
          <w:tcPr>
            <w:tcW w:w="0" w:type="auto"/>
            <w:vAlign w:val="center"/>
            <w:hideMark/>
          </w:tcPr>
          <w:p w14:paraId="240E601C"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5689E411"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02FF4E79" w14:textId="77777777" w:rsidR="00000000" w:rsidRDefault="00EB4933">
            <w:pPr>
              <w:jc w:val="both"/>
              <w:rPr>
                <w:rFonts w:eastAsia="Times New Roman"/>
                <w:sz w:val="20"/>
                <w:szCs w:val="20"/>
              </w:rPr>
            </w:pPr>
            <w:r>
              <w:rPr>
                <w:rFonts w:eastAsia="Times New Roman"/>
                <w:sz w:val="20"/>
                <w:szCs w:val="20"/>
              </w:rPr>
              <w:t>If a significant increase in credit risk since initial recognition is identified, the financial instrument is moved to “Stage 2” but is not yet deemed to be credit-impaired.</w:t>
            </w:r>
          </w:p>
        </w:tc>
      </w:tr>
      <w:tr w:rsidR="00000000" w14:paraId="7875F099" w14:textId="77777777">
        <w:trPr>
          <w:divId w:val="98525094"/>
          <w:trHeight w:val="225"/>
          <w:tblCellSpacing w:w="15" w:type="dxa"/>
        </w:trPr>
        <w:tc>
          <w:tcPr>
            <w:tcW w:w="0" w:type="auto"/>
            <w:vAlign w:val="center"/>
            <w:hideMark/>
          </w:tcPr>
          <w:p w14:paraId="1420FA2C"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502A1C09"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7A826BFE"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60829021" w14:textId="77777777">
        <w:trPr>
          <w:divId w:val="98525094"/>
          <w:trHeight w:val="225"/>
          <w:tblCellSpacing w:w="15" w:type="dxa"/>
        </w:trPr>
        <w:tc>
          <w:tcPr>
            <w:tcW w:w="0" w:type="auto"/>
            <w:vAlign w:val="center"/>
            <w:hideMark/>
          </w:tcPr>
          <w:p w14:paraId="5F9C0B33" w14:textId="77777777" w:rsidR="00000000" w:rsidRDefault="00EB4933">
            <w:pPr>
              <w:pStyle w:val="NormalWeb"/>
              <w:spacing w:before="0" w:beforeAutospacing="0" w:after="0" w:afterAutospacing="0"/>
              <w:jc w:val="both"/>
              <w:rPr>
                <w:sz w:val="20"/>
                <w:szCs w:val="20"/>
              </w:rPr>
            </w:pPr>
            <w:r>
              <w:rPr>
                <w:sz w:val="20"/>
                <w:szCs w:val="20"/>
              </w:rPr>
              <w:lastRenderedPageBreak/>
              <w:t> </w:t>
            </w:r>
          </w:p>
        </w:tc>
        <w:tc>
          <w:tcPr>
            <w:tcW w:w="0" w:type="auto"/>
            <w:hideMark/>
          </w:tcPr>
          <w:p w14:paraId="006699D8"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7B289FAC" w14:textId="77777777" w:rsidR="00000000" w:rsidRDefault="00EB4933">
            <w:pPr>
              <w:jc w:val="both"/>
              <w:rPr>
                <w:rFonts w:eastAsia="Times New Roman"/>
                <w:sz w:val="20"/>
                <w:szCs w:val="20"/>
              </w:rPr>
            </w:pPr>
            <w:r>
              <w:rPr>
                <w:rFonts w:eastAsia="Times New Roman"/>
                <w:sz w:val="20"/>
                <w:szCs w:val="20"/>
              </w:rPr>
              <w:t>If the financial instrument is credit-impaired, the financial instrument is then moved to “Stage 3”.</w:t>
            </w:r>
          </w:p>
        </w:tc>
      </w:tr>
      <w:tr w:rsidR="00000000" w14:paraId="34DD5841" w14:textId="77777777">
        <w:trPr>
          <w:divId w:val="98525094"/>
          <w:trHeight w:val="225"/>
          <w:tblCellSpacing w:w="15" w:type="dxa"/>
        </w:trPr>
        <w:tc>
          <w:tcPr>
            <w:tcW w:w="0" w:type="auto"/>
            <w:vAlign w:val="center"/>
            <w:hideMark/>
          </w:tcPr>
          <w:p w14:paraId="0BE039F4"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341BF1B3"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2F143260"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8866CE3" w14:textId="77777777">
        <w:trPr>
          <w:divId w:val="98525094"/>
          <w:trHeight w:val="225"/>
          <w:tblCellSpacing w:w="15" w:type="dxa"/>
        </w:trPr>
        <w:tc>
          <w:tcPr>
            <w:tcW w:w="0" w:type="auto"/>
            <w:vAlign w:val="center"/>
            <w:hideMark/>
          </w:tcPr>
          <w:p w14:paraId="2A8F851D"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5EF278A8"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170BBE0B" w14:textId="77777777" w:rsidR="00000000" w:rsidRDefault="00EB4933">
            <w:pPr>
              <w:jc w:val="both"/>
              <w:rPr>
                <w:rFonts w:eastAsia="Times New Roman"/>
                <w:sz w:val="20"/>
                <w:szCs w:val="20"/>
              </w:rPr>
            </w:pPr>
            <w:r>
              <w:rPr>
                <w:rFonts w:eastAsia="Times New Roman"/>
                <w:sz w:val="20"/>
                <w:szCs w:val="20"/>
              </w:rPr>
              <w:t xml:space="preserve">Financial instruments in Stage 1 have their expected credit loss measured at an amount equal to the portion of lifetime expected credit losses </w:t>
            </w:r>
            <w:r>
              <w:rPr>
                <w:rFonts w:eastAsia="Times New Roman"/>
                <w:sz w:val="20"/>
                <w:szCs w:val="20"/>
              </w:rPr>
              <w:t>that result from default events possible within the next 12 months. Financial instruments in Stages 2 or 3 have their expected credit loss measured based on expected credit losses on a lifetime basis.</w:t>
            </w:r>
          </w:p>
        </w:tc>
      </w:tr>
      <w:tr w:rsidR="00000000" w14:paraId="7C888688" w14:textId="77777777">
        <w:trPr>
          <w:divId w:val="98525094"/>
          <w:trHeight w:val="225"/>
          <w:tblCellSpacing w:w="15" w:type="dxa"/>
        </w:trPr>
        <w:tc>
          <w:tcPr>
            <w:tcW w:w="0" w:type="auto"/>
            <w:vAlign w:val="center"/>
            <w:hideMark/>
          </w:tcPr>
          <w:p w14:paraId="180BFF7B"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1F54E24F"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167AB543"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2A66FF3A" w14:textId="77777777">
        <w:trPr>
          <w:divId w:val="98525094"/>
          <w:trHeight w:val="225"/>
          <w:tblCellSpacing w:w="15" w:type="dxa"/>
        </w:trPr>
        <w:tc>
          <w:tcPr>
            <w:tcW w:w="0" w:type="auto"/>
            <w:vAlign w:val="center"/>
            <w:hideMark/>
          </w:tcPr>
          <w:p w14:paraId="1C9DFC48"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73E406C8"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0DE52271" w14:textId="77777777" w:rsidR="00000000" w:rsidRDefault="00EB4933">
            <w:pPr>
              <w:jc w:val="both"/>
              <w:rPr>
                <w:rFonts w:eastAsia="Times New Roman"/>
                <w:sz w:val="20"/>
                <w:szCs w:val="20"/>
              </w:rPr>
            </w:pPr>
            <w:r>
              <w:rPr>
                <w:rFonts w:eastAsia="Times New Roman"/>
                <w:sz w:val="20"/>
                <w:szCs w:val="20"/>
              </w:rPr>
              <w:t>A pervasive concept in measuring expected c</w:t>
            </w:r>
            <w:r>
              <w:rPr>
                <w:rFonts w:eastAsia="Times New Roman"/>
                <w:sz w:val="20"/>
                <w:szCs w:val="20"/>
              </w:rPr>
              <w:t>redit loss in accordance with IFRS 9 is that it should consider forward looking information.</w:t>
            </w:r>
          </w:p>
        </w:tc>
      </w:tr>
    </w:tbl>
    <w:p w14:paraId="4C5A140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6C061EF" w14:textId="77777777" w:rsidR="00000000" w:rsidRDefault="00EB4933">
      <w:pPr>
        <w:pStyle w:val="NormalWeb"/>
        <w:spacing w:before="0" w:beforeAutospacing="0" w:after="0" w:afterAutospacing="0"/>
        <w:ind w:left="1350"/>
        <w:jc w:val="both"/>
        <w:divId w:val="98525094"/>
        <w:rPr>
          <w:sz w:val="20"/>
          <w:szCs w:val="20"/>
        </w:rPr>
      </w:pPr>
      <w:r>
        <w:rPr>
          <w:rStyle w:val="Strong"/>
          <w:sz w:val="20"/>
          <w:szCs w:val="20"/>
        </w:rPr>
        <w:t>Significant increase in credit risk</w:t>
      </w:r>
    </w:p>
    <w:p w14:paraId="0D79E98A"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19011333" w14:textId="77777777" w:rsidR="00000000" w:rsidRDefault="00EB4933">
      <w:pPr>
        <w:pStyle w:val="NormalWeb"/>
        <w:spacing w:before="0" w:beforeAutospacing="0" w:after="0" w:afterAutospacing="0"/>
        <w:ind w:left="1350"/>
        <w:jc w:val="both"/>
        <w:divId w:val="98525094"/>
        <w:rPr>
          <w:sz w:val="20"/>
          <w:szCs w:val="20"/>
        </w:rPr>
      </w:pPr>
      <w:r>
        <w:rPr>
          <w:sz w:val="20"/>
          <w:szCs w:val="20"/>
        </w:rPr>
        <w:t>The Group monitors its financial assets that are subject to the impairment requirements to assess whether there has been a significant increase in credit risk since initial recognition. If there has been a significant increase in credit risk the Group will</w:t>
      </w:r>
      <w:r>
        <w:rPr>
          <w:sz w:val="20"/>
          <w:szCs w:val="20"/>
        </w:rPr>
        <w:t xml:space="preserve"> measure the loss allowance based on lifetime rather than 12-month expected credit loss. The Group’s accounting policy is not to use the practical expedient that financial assets with “low” credit risk at the reporting date are deemed not to have had a sig</w:t>
      </w:r>
      <w:r>
        <w:rPr>
          <w:sz w:val="20"/>
          <w:szCs w:val="20"/>
        </w:rPr>
        <w:t>nificant increase in credit risk. As a result, the Group monitors all financial assets that are subject to impairment for significant increase in credit risk.</w:t>
      </w:r>
    </w:p>
    <w:p w14:paraId="594A4A9E"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121D66FE" w14:textId="77777777" w:rsidR="00000000" w:rsidRDefault="00EB4933">
      <w:pPr>
        <w:pStyle w:val="NormalWeb"/>
        <w:spacing w:before="0" w:beforeAutospacing="0" w:after="0" w:afterAutospacing="0"/>
        <w:ind w:left="1350"/>
        <w:jc w:val="both"/>
        <w:divId w:val="98525094"/>
        <w:rPr>
          <w:sz w:val="20"/>
          <w:szCs w:val="20"/>
        </w:rPr>
      </w:pPr>
      <w:r>
        <w:rPr>
          <w:sz w:val="20"/>
          <w:szCs w:val="20"/>
        </w:rPr>
        <w:t>In assessing whether the credit risk on a financial instrument has increased significantly sinc</w:t>
      </w:r>
      <w:r>
        <w:rPr>
          <w:sz w:val="20"/>
          <w:szCs w:val="20"/>
        </w:rPr>
        <w:t>e initial recognition, the Group compares the risk of a default occurring on the financial instrument at the reporting date based on the remaining maturity of the instrument with the risk of a default occurring that was anticipated for the remaining maturi</w:t>
      </w:r>
      <w:r>
        <w:rPr>
          <w:sz w:val="20"/>
          <w:szCs w:val="20"/>
        </w:rPr>
        <w:t>ty at the current reporting date when the financial instrument was first recognized. In making this assessment, the Group considers both quantitative and qualitative information that is reasonable and supportable, including historical experience and forwar</w:t>
      </w:r>
      <w:r>
        <w:rPr>
          <w:sz w:val="20"/>
          <w:szCs w:val="20"/>
        </w:rPr>
        <w:t xml:space="preserve">d-looking information that is available without undue cost or effort, based on the Group’s historical experience and expert credit assessment including forward-looking information. </w:t>
      </w:r>
    </w:p>
    <w:p w14:paraId="0D04DEB7"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0EE0CE0D" w14:textId="77777777" w:rsidR="00000000" w:rsidRDefault="00EB4933">
      <w:pPr>
        <w:pStyle w:val="NormalWeb"/>
        <w:spacing w:before="0" w:beforeAutospacing="0" w:after="0" w:afterAutospacing="0"/>
        <w:ind w:left="1350"/>
        <w:jc w:val="both"/>
        <w:divId w:val="98525094"/>
        <w:rPr>
          <w:sz w:val="20"/>
          <w:szCs w:val="20"/>
        </w:rPr>
      </w:pPr>
      <w:r>
        <w:rPr>
          <w:sz w:val="20"/>
          <w:szCs w:val="20"/>
        </w:rPr>
        <w:t>The quantitative information is a primary indicator of significant incre</w:t>
      </w:r>
      <w:r>
        <w:rPr>
          <w:sz w:val="20"/>
          <w:szCs w:val="20"/>
        </w:rPr>
        <w:t>ase in credit risk and is based on the change in lifetime probability of default by comparing:</w:t>
      </w:r>
    </w:p>
    <w:p w14:paraId="614D8BB5"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719"/>
        <w:gridCol w:w="530"/>
        <w:gridCol w:w="8111"/>
      </w:tblGrid>
      <w:tr w:rsidR="00000000" w14:paraId="017D5EB9" w14:textId="77777777">
        <w:trPr>
          <w:divId w:val="98525094"/>
          <w:trHeight w:val="225"/>
          <w:tblCellSpacing w:w="15" w:type="dxa"/>
        </w:trPr>
        <w:tc>
          <w:tcPr>
            <w:tcW w:w="400" w:type="pct"/>
            <w:vAlign w:val="center"/>
            <w:hideMark/>
          </w:tcPr>
          <w:p w14:paraId="76F5876D"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44595749"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32765A92" w14:textId="77777777" w:rsidR="00000000" w:rsidRDefault="00EB4933">
            <w:pPr>
              <w:rPr>
                <w:rFonts w:eastAsia="Times New Roman"/>
                <w:sz w:val="20"/>
                <w:szCs w:val="20"/>
              </w:rPr>
            </w:pPr>
            <w:r>
              <w:rPr>
                <w:rFonts w:eastAsia="Times New Roman"/>
                <w:sz w:val="20"/>
                <w:szCs w:val="20"/>
              </w:rPr>
              <w:t>the remaining lifetime probability of default at the reporting date; with</w:t>
            </w:r>
          </w:p>
        </w:tc>
      </w:tr>
      <w:tr w:rsidR="00000000" w14:paraId="102184DE" w14:textId="77777777">
        <w:trPr>
          <w:divId w:val="98525094"/>
          <w:trHeight w:val="225"/>
          <w:tblCellSpacing w:w="15" w:type="dxa"/>
        </w:trPr>
        <w:tc>
          <w:tcPr>
            <w:tcW w:w="0" w:type="auto"/>
            <w:vAlign w:val="center"/>
            <w:hideMark/>
          </w:tcPr>
          <w:p w14:paraId="41A77DDA"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5193F933"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34CBF923" w14:textId="77777777" w:rsidR="00000000" w:rsidRDefault="00EB4933">
            <w:pPr>
              <w:pStyle w:val="NormalWeb"/>
              <w:spacing w:before="0" w:beforeAutospacing="0" w:after="0" w:afterAutospacing="0"/>
              <w:rPr>
                <w:sz w:val="20"/>
                <w:szCs w:val="20"/>
              </w:rPr>
            </w:pPr>
            <w:r>
              <w:rPr>
                <w:sz w:val="20"/>
                <w:szCs w:val="20"/>
              </w:rPr>
              <w:t> </w:t>
            </w:r>
          </w:p>
        </w:tc>
      </w:tr>
      <w:tr w:rsidR="00000000" w14:paraId="138E4AB3" w14:textId="77777777">
        <w:trPr>
          <w:divId w:val="98525094"/>
          <w:trHeight w:val="225"/>
          <w:tblCellSpacing w:w="15" w:type="dxa"/>
        </w:trPr>
        <w:tc>
          <w:tcPr>
            <w:tcW w:w="0" w:type="auto"/>
            <w:vAlign w:val="center"/>
            <w:hideMark/>
          </w:tcPr>
          <w:p w14:paraId="70F2E142"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30B88C0D"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32E197EE" w14:textId="77777777" w:rsidR="00000000" w:rsidRDefault="00EB4933">
            <w:pPr>
              <w:rPr>
                <w:rFonts w:eastAsia="Times New Roman"/>
                <w:sz w:val="20"/>
                <w:szCs w:val="20"/>
              </w:rPr>
            </w:pPr>
            <w:r>
              <w:rPr>
                <w:rFonts w:eastAsia="Times New Roman"/>
                <w:sz w:val="20"/>
                <w:szCs w:val="20"/>
              </w:rPr>
              <w:t>the remaining lifetime probability of default for this point in time that was estimated based on facts and circumstances at the time of initial recognition of the exposure.</w:t>
            </w:r>
          </w:p>
        </w:tc>
      </w:tr>
    </w:tbl>
    <w:p w14:paraId="54D4623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2C87965" w14:textId="77777777" w:rsidR="00000000" w:rsidRDefault="00EB4933">
      <w:pPr>
        <w:pStyle w:val="NormalWeb"/>
        <w:spacing w:before="0" w:beforeAutospacing="0" w:after="0" w:afterAutospacing="0"/>
        <w:ind w:left="1350"/>
        <w:jc w:val="both"/>
        <w:divId w:val="98525094"/>
        <w:rPr>
          <w:sz w:val="20"/>
          <w:szCs w:val="20"/>
        </w:rPr>
      </w:pPr>
      <w:r>
        <w:rPr>
          <w:sz w:val="20"/>
          <w:szCs w:val="20"/>
        </w:rPr>
        <w:t>The probability of defaults used are forward looking and the Group uses the same</w:t>
      </w:r>
      <w:r>
        <w:rPr>
          <w:sz w:val="20"/>
          <w:szCs w:val="20"/>
        </w:rPr>
        <w:t xml:space="preserve"> methodologies and data used to measure the loss allowance for expected credit loss.</w:t>
      </w:r>
    </w:p>
    <w:p w14:paraId="0FE61859"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3A5BBE4" w14:textId="77777777">
        <w:trPr>
          <w:divId w:val="98525094"/>
          <w:trHeight w:val="225"/>
          <w:tblCellSpacing w:w="15" w:type="dxa"/>
        </w:trPr>
        <w:tc>
          <w:tcPr>
            <w:tcW w:w="0" w:type="auto"/>
            <w:vAlign w:val="center"/>
            <w:hideMark/>
          </w:tcPr>
          <w:p w14:paraId="0940BD2A" w14:textId="77777777" w:rsidR="00000000" w:rsidRDefault="00EB4933">
            <w:pPr>
              <w:rPr>
                <w:rFonts w:eastAsia="Times New Roman"/>
                <w:sz w:val="20"/>
                <w:szCs w:val="20"/>
              </w:rPr>
            </w:pPr>
            <w:r>
              <w:rPr>
                <w:rFonts w:eastAsia="Times New Roman"/>
                <w:sz w:val="20"/>
                <w:szCs w:val="20"/>
              </w:rPr>
              <w:t> </w:t>
            </w:r>
          </w:p>
        </w:tc>
      </w:tr>
      <w:tr w:rsidR="00000000" w14:paraId="40FC5012" w14:textId="77777777">
        <w:trPr>
          <w:divId w:val="98525094"/>
          <w:trHeight w:val="225"/>
          <w:tblCellSpacing w:w="15" w:type="dxa"/>
        </w:trPr>
        <w:tc>
          <w:tcPr>
            <w:tcW w:w="0" w:type="auto"/>
            <w:tcBorders>
              <w:bottom w:val="single" w:sz="6" w:space="0" w:color="000000"/>
            </w:tcBorders>
            <w:vAlign w:val="center"/>
            <w:hideMark/>
          </w:tcPr>
          <w:p w14:paraId="5825E62E" w14:textId="77777777" w:rsidR="00000000" w:rsidRDefault="00EB4933">
            <w:pPr>
              <w:jc w:val="center"/>
              <w:rPr>
                <w:rFonts w:eastAsia="Times New Roman"/>
                <w:sz w:val="20"/>
                <w:szCs w:val="20"/>
              </w:rPr>
            </w:pPr>
            <w:r>
              <w:rPr>
                <w:rFonts w:eastAsia="Times New Roman"/>
                <w:sz w:val="20"/>
                <w:szCs w:val="20"/>
              </w:rPr>
              <w:t>F-27</w:t>
            </w:r>
          </w:p>
        </w:tc>
      </w:tr>
      <w:tr w:rsidR="00000000" w14:paraId="3D913171" w14:textId="77777777">
        <w:trPr>
          <w:divId w:val="98525094"/>
          <w:trHeight w:val="225"/>
          <w:tblCellSpacing w:w="15" w:type="dxa"/>
        </w:trPr>
        <w:tc>
          <w:tcPr>
            <w:tcW w:w="0" w:type="auto"/>
            <w:vAlign w:val="center"/>
            <w:hideMark/>
          </w:tcPr>
          <w:p w14:paraId="2A98A8D1" w14:textId="77777777" w:rsidR="00000000" w:rsidRDefault="00EB4933">
            <w:pPr>
              <w:rPr>
                <w:rFonts w:eastAsia="Times New Roman"/>
                <w:sz w:val="20"/>
                <w:szCs w:val="20"/>
              </w:rPr>
            </w:pPr>
          </w:p>
        </w:tc>
      </w:tr>
      <w:tr w:rsidR="00000000" w14:paraId="78C31327" w14:textId="77777777">
        <w:trPr>
          <w:divId w:val="98525094"/>
          <w:trHeight w:val="225"/>
          <w:tblCellSpacing w:w="15" w:type="dxa"/>
        </w:trPr>
        <w:tc>
          <w:tcPr>
            <w:tcW w:w="0" w:type="auto"/>
            <w:vAlign w:val="center"/>
            <w:hideMark/>
          </w:tcPr>
          <w:p w14:paraId="06229BE3" w14:textId="77777777" w:rsidR="00000000" w:rsidRDefault="00EB4933">
            <w:pPr>
              <w:rPr>
                <w:rFonts w:eastAsia="Times New Roman"/>
                <w:sz w:val="20"/>
                <w:szCs w:val="20"/>
              </w:rPr>
            </w:pPr>
            <w:hyperlink r:id="rId244" w:anchor="finindex" w:history="1">
              <w:r>
                <w:rPr>
                  <w:rStyle w:val="Hyperlink"/>
                  <w:rFonts w:eastAsia="Times New Roman"/>
                  <w:i/>
                  <w:iCs/>
                  <w:sz w:val="20"/>
                  <w:szCs w:val="20"/>
                </w:rPr>
                <w:t>Table of Contents</w:t>
              </w:r>
            </w:hyperlink>
          </w:p>
        </w:tc>
      </w:tr>
    </w:tbl>
    <w:p w14:paraId="6EC2A824"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3CB9595A"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2DA5974E"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44AA5B5C"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567FB1F6"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7BDB0687" w14:textId="77777777" w:rsidR="00000000" w:rsidRDefault="00EB4933">
      <w:pPr>
        <w:pStyle w:val="NormalWeb"/>
        <w:spacing w:before="0" w:beforeAutospacing="0" w:after="0" w:afterAutospacing="0"/>
        <w:jc w:val="both"/>
        <w:divId w:val="98525094"/>
        <w:rPr>
          <w:sz w:val="20"/>
          <w:szCs w:val="20"/>
        </w:rPr>
      </w:pPr>
      <w:r>
        <w:rPr>
          <w:rStyle w:val="Strong"/>
          <w:sz w:val="20"/>
          <w:szCs w:val="20"/>
        </w:rPr>
        <w:t>2.8  Financial assets and financial liabilities (IFRS 9 – 2018 and 2019 only) - continued</w:t>
      </w:r>
    </w:p>
    <w:p w14:paraId="1C9652EB"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76EA305F" w14:textId="77777777">
        <w:trPr>
          <w:divId w:val="98525094"/>
          <w:trHeight w:val="225"/>
          <w:tblCellSpacing w:w="15" w:type="dxa"/>
        </w:trPr>
        <w:tc>
          <w:tcPr>
            <w:tcW w:w="200" w:type="pct"/>
            <w:vAlign w:val="center"/>
            <w:hideMark/>
          </w:tcPr>
          <w:p w14:paraId="4DF7CE2C"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36AD4ECB" w14:textId="77777777" w:rsidR="00000000" w:rsidRDefault="00EB4933">
            <w:pPr>
              <w:pStyle w:val="NormalWeb"/>
              <w:spacing w:before="0" w:beforeAutospacing="0" w:after="0" w:afterAutospacing="0"/>
              <w:rPr>
                <w:sz w:val="20"/>
                <w:szCs w:val="20"/>
              </w:rPr>
            </w:pPr>
            <w:r>
              <w:rPr>
                <w:rStyle w:val="Strong"/>
                <w:sz w:val="20"/>
                <w:szCs w:val="20"/>
              </w:rPr>
              <w:t xml:space="preserve">v. </w:t>
            </w:r>
          </w:p>
        </w:tc>
        <w:tc>
          <w:tcPr>
            <w:tcW w:w="0" w:type="auto"/>
            <w:hideMark/>
          </w:tcPr>
          <w:p w14:paraId="31B48F4C" w14:textId="77777777" w:rsidR="00000000" w:rsidRDefault="00EB4933">
            <w:pPr>
              <w:rPr>
                <w:rFonts w:eastAsia="Times New Roman"/>
                <w:sz w:val="20"/>
                <w:szCs w:val="20"/>
              </w:rPr>
            </w:pPr>
            <w:r>
              <w:rPr>
                <w:rStyle w:val="Strong"/>
                <w:rFonts w:eastAsia="Times New Roman"/>
                <w:sz w:val="20"/>
                <w:szCs w:val="20"/>
              </w:rPr>
              <w:t>Identification and measurement of impairment - continued</w:t>
            </w:r>
          </w:p>
        </w:tc>
      </w:tr>
    </w:tbl>
    <w:p w14:paraId="114E9D9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000145B" w14:textId="77777777" w:rsidR="00000000" w:rsidRDefault="00EB4933">
      <w:pPr>
        <w:pStyle w:val="NormalWeb"/>
        <w:spacing w:before="0" w:beforeAutospacing="0" w:after="0" w:afterAutospacing="0"/>
        <w:ind w:left="1350"/>
        <w:jc w:val="both"/>
        <w:divId w:val="98525094"/>
        <w:rPr>
          <w:sz w:val="20"/>
          <w:szCs w:val="20"/>
        </w:rPr>
      </w:pPr>
      <w:r>
        <w:rPr>
          <w:rStyle w:val="Strong"/>
          <w:sz w:val="20"/>
          <w:szCs w:val="20"/>
        </w:rPr>
        <w:t>Significant increase in credit risk - continued</w:t>
      </w:r>
    </w:p>
    <w:p w14:paraId="6E199583"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p w14:paraId="6689B41B" w14:textId="77777777" w:rsidR="00000000" w:rsidRDefault="00EB4933">
      <w:pPr>
        <w:pStyle w:val="NormalWeb"/>
        <w:spacing w:before="0" w:beforeAutospacing="0" w:after="0" w:afterAutospacing="0"/>
        <w:ind w:left="1350"/>
        <w:jc w:val="both"/>
        <w:divId w:val="98525094"/>
        <w:rPr>
          <w:sz w:val="20"/>
          <w:szCs w:val="20"/>
        </w:rPr>
      </w:pPr>
      <w:r>
        <w:rPr>
          <w:sz w:val="20"/>
          <w:szCs w:val="20"/>
        </w:rPr>
        <w:t xml:space="preserve">The qualitative factors that indicate significant increase in credit risk are reflected in probability of default models on a timely basis. </w:t>
      </w:r>
    </w:p>
    <w:p w14:paraId="4BCF50D7"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6B5D2A8F" w14:textId="77777777" w:rsidR="00000000" w:rsidRDefault="00EB4933">
      <w:pPr>
        <w:pStyle w:val="NormalWeb"/>
        <w:spacing w:before="0" w:beforeAutospacing="0" w:after="0" w:afterAutospacing="0"/>
        <w:ind w:left="1350"/>
        <w:jc w:val="both"/>
        <w:divId w:val="98525094"/>
        <w:rPr>
          <w:sz w:val="20"/>
          <w:szCs w:val="20"/>
        </w:rPr>
      </w:pPr>
      <w:r>
        <w:rPr>
          <w:sz w:val="20"/>
          <w:szCs w:val="20"/>
        </w:rPr>
        <w:t>Given that a significant increase in credit risk since initial recognition is a relative measure, a given change,</w:t>
      </w:r>
      <w:r>
        <w:rPr>
          <w:sz w:val="20"/>
          <w:szCs w:val="20"/>
        </w:rPr>
        <w:t xml:space="preserve"> in absolute terms, in the probability of default will be more significant for a financial instrument with a lower initial probability of default than compared to a financial instrument with a higher probability of default.</w:t>
      </w:r>
    </w:p>
    <w:p w14:paraId="7036A3B6"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7B336F61" w14:textId="77777777" w:rsidR="00000000" w:rsidRDefault="00EB4933">
      <w:pPr>
        <w:pStyle w:val="NormalWeb"/>
        <w:spacing w:before="0" w:beforeAutospacing="0" w:after="0" w:afterAutospacing="0"/>
        <w:ind w:left="1350"/>
        <w:jc w:val="both"/>
        <w:divId w:val="98525094"/>
        <w:rPr>
          <w:sz w:val="20"/>
          <w:szCs w:val="20"/>
        </w:rPr>
      </w:pPr>
      <w:r>
        <w:rPr>
          <w:sz w:val="20"/>
          <w:szCs w:val="20"/>
        </w:rPr>
        <w:t>As a back-stop when an asset b</w:t>
      </w:r>
      <w:r>
        <w:rPr>
          <w:sz w:val="20"/>
          <w:szCs w:val="20"/>
        </w:rPr>
        <w:t>ecomes 30 days past due, the Group considers that a significant increase in credit risk has occurred and the asset is in stage 2 of the impairment model, i.e. the loss allowance is measured as the lifetime expected credit loss.</w:t>
      </w:r>
    </w:p>
    <w:p w14:paraId="7F44DC9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FCF6C8B" w14:textId="77777777" w:rsidR="00000000" w:rsidRDefault="00EB4933">
      <w:pPr>
        <w:pStyle w:val="NormalWeb"/>
        <w:spacing w:before="0" w:beforeAutospacing="0" w:after="0" w:afterAutospacing="0"/>
        <w:ind w:left="1350"/>
        <w:jc w:val="both"/>
        <w:divId w:val="98525094"/>
        <w:rPr>
          <w:sz w:val="20"/>
          <w:szCs w:val="20"/>
        </w:rPr>
      </w:pPr>
      <w:r>
        <w:rPr>
          <w:rStyle w:val="Strong"/>
          <w:sz w:val="20"/>
          <w:szCs w:val="20"/>
        </w:rPr>
        <w:t xml:space="preserve">Credit-impaired financial </w:t>
      </w:r>
      <w:r>
        <w:rPr>
          <w:rStyle w:val="Strong"/>
          <w:sz w:val="20"/>
          <w:szCs w:val="20"/>
        </w:rPr>
        <w:t>assets</w:t>
      </w:r>
    </w:p>
    <w:p w14:paraId="2383C253"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10C2BBFA" w14:textId="77777777" w:rsidR="00000000" w:rsidRDefault="00EB4933">
      <w:pPr>
        <w:pStyle w:val="NormalWeb"/>
        <w:spacing w:before="0" w:beforeAutospacing="0" w:after="0" w:afterAutospacing="0"/>
        <w:ind w:left="1350"/>
        <w:jc w:val="both"/>
        <w:divId w:val="98525094"/>
        <w:rPr>
          <w:sz w:val="20"/>
          <w:szCs w:val="20"/>
        </w:rPr>
      </w:pPr>
      <w:r>
        <w:rPr>
          <w:sz w:val="20"/>
          <w:szCs w:val="20"/>
        </w:rPr>
        <w:t xml:space="preserve">A financial asset is “credit-impaired” when one or more events that have a detrimental impact on the estimated future cash flows of the financial asset have occurred. Credit-impaired financial assets are referred to as Stage 3 assets. Evidence of </w:t>
      </w:r>
      <w:r>
        <w:rPr>
          <w:sz w:val="20"/>
          <w:szCs w:val="20"/>
        </w:rPr>
        <w:t>credit-impairment includes observable data about the following events:</w:t>
      </w:r>
    </w:p>
    <w:p w14:paraId="19B226C9"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719"/>
        <w:gridCol w:w="530"/>
        <w:gridCol w:w="8111"/>
      </w:tblGrid>
      <w:tr w:rsidR="00000000" w14:paraId="5B7FF82A" w14:textId="77777777">
        <w:trPr>
          <w:divId w:val="98525094"/>
          <w:trHeight w:val="225"/>
          <w:tblCellSpacing w:w="15" w:type="dxa"/>
        </w:trPr>
        <w:tc>
          <w:tcPr>
            <w:tcW w:w="400" w:type="pct"/>
            <w:vAlign w:val="center"/>
            <w:hideMark/>
          </w:tcPr>
          <w:p w14:paraId="6286B300"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648DF9DD"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35B77E95" w14:textId="77777777" w:rsidR="00000000" w:rsidRDefault="00EB4933">
            <w:pPr>
              <w:rPr>
                <w:rFonts w:eastAsia="Times New Roman"/>
                <w:sz w:val="20"/>
                <w:szCs w:val="20"/>
              </w:rPr>
            </w:pPr>
            <w:r>
              <w:rPr>
                <w:rFonts w:eastAsia="Times New Roman"/>
                <w:sz w:val="20"/>
                <w:szCs w:val="20"/>
              </w:rPr>
              <w:t>Significant financial difficulty of the borrower;</w:t>
            </w:r>
          </w:p>
        </w:tc>
      </w:tr>
      <w:tr w:rsidR="00000000" w14:paraId="7D2260D4" w14:textId="77777777">
        <w:trPr>
          <w:divId w:val="98525094"/>
          <w:trHeight w:val="225"/>
          <w:tblCellSpacing w:w="15" w:type="dxa"/>
        </w:trPr>
        <w:tc>
          <w:tcPr>
            <w:tcW w:w="0" w:type="auto"/>
            <w:vAlign w:val="center"/>
            <w:hideMark/>
          </w:tcPr>
          <w:p w14:paraId="57603B86"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21D85C79"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04604ACE" w14:textId="77777777" w:rsidR="00000000" w:rsidRDefault="00EB4933">
            <w:pPr>
              <w:pStyle w:val="NormalWeb"/>
              <w:spacing w:before="0" w:beforeAutospacing="0" w:after="0" w:afterAutospacing="0"/>
              <w:rPr>
                <w:sz w:val="20"/>
                <w:szCs w:val="20"/>
              </w:rPr>
            </w:pPr>
            <w:r>
              <w:rPr>
                <w:sz w:val="20"/>
                <w:szCs w:val="20"/>
              </w:rPr>
              <w:t> </w:t>
            </w:r>
          </w:p>
        </w:tc>
      </w:tr>
      <w:tr w:rsidR="00000000" w14:paraId="79738BD9" w14:textId="77777777">
        <w:trPr>
          <w:divId w:val="98525094"/>
          <w:trHeight w:val="225"/>
          <w:tblCellSpacing w:w="15" w:type="dxa"/>
        </w:trPr>
        <w:tc>
          <w:tcPr>
            <w:tcW w:w="0" w:type="auto"/>
            <w:vAlign w:val="center"/>
            <w:hideMark/>
          </w:tcPr>
          <w:p w14:paraId="2AE9945C"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5DED6443"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772C4C2F" w14:textId="77777777" w:rsidR="00000000" w:rsidRDefault="00EB4933">
            <w:pPr>
              <w:rPr>
                <w:rFonts w:eastAsia="Times New Roman"/>
                <w:sz w:val="20"/>
                <w:szCs w:val="20"/>
              </w:rPr>
            </w:pPr>
            <w:r>
              <w:rPr>
                <w:rFonts w:eastAsia="Times New Roman"/>
                <w:sz w:val="20"/>
                <w:szCs w:val="20"/>
              </w:rPr>
              <w:t>a breach of contract such as a default or past due event; or</w:t>
            </w:r>
          </w:p>
        </w:tc>
      </w:tr>
      <w:tr w:rsidR="00000000" w14:paraId="7C0C41B3" w14:textId="77777777">
        <w:trPr>
          <w:divId w:val="98525094"/>
          <w:trHeight w:val="225"/>
          <w:tblCellSpacing w:w="15" w:type="dxa"/>
        </w:trPr>
        <w:tc>
          <w:tcPr>
            <w:tcW w:w="0" w:type="auto"/>
            <w:vAlign w:val="center"/>
            <w:hideMark/>
          </w:tcPr>
          <w:p w14:paraId="60C90FDF"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1C72CA96"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7AD29788" w14:textId="77777777" w:rsidR="00000000" w:rsidRDefault="00EB4933">
            <w:pPr>
              <w:pStyle w:val="NormalWeb"/>
              <w:spacing w:before="0" w:beforeAutospacing="0" w:after="0" w:afterAutospacing="0"/>
              <w:rPr>
                <w:sz w:val="20"/>
                <w:szCs w:val="20"/>
              </w:rPr>
            </w:pPr>
            <w:r>
              <w:rPr>
                <w:sz w:val="20"/>
                <w:szCs w:val="20"/>
              </w:rPr>
              <w:t> </w:t>
            </w:r>
          </w:p>
        </w:tc>
      </w:tr>
      <w:tr w:rsidR="00000000" w14:paraId="08835D1E" w14:textId="77777777">
        <w:trPr>
          <w:divId w:val="98525094"/>
          <w:trHeight w:val="225"/>
          <w:tblCellSpacing w:w="15" w:type="dxa"/>
        </w:trPr>
        <w:tc>
          <w:tcPr>
            <w:tcW w:w="0" w:type="auto"/>
            <w:vAlign w:val="center"/>
            <w:hideMark/>
          </w:tcPr>
          <w:p w14:paraId="7D41759F"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534A4FDE"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4E6E245" w14:textId="77777777" w:rsidR="00000000" w:rsidRDefault="00EB4933">
            <w:pPr>
              <w:rPr>
                <w:rFonts w:eastAsia="Times New Roman"/>
                <w:sz w:val="20"/>
                <w:szCs w:val="20"/>
              </w:rPr>
            </w:pPr>
            <w:r>
              <w:rPr>
                <w:rFonts w:eastAsia="Times New Roman"/>
                <w:sz w:val="20"/>
                <w:szCs w:val="20"/>
              </w:rPr>
              <w:t xml:space="preserve">the lender of the borrower, for economic or contractual reasons relating to the borrower’s financial difficulty, having granted to the borrower a concession that the lender would not </w:t>
            </w:r>
            <w:r>
              <w:rPr>
                <w:rFonts w:eastAsia="Times New Roman"/>
                <w:sz w:val="20"/>
                <w:szCs w:val="20"/>
              </w:rPr>
              <w:t>otherwise consider.</w:t>
            </w:r>
          </w:p>
        </w:tc>
      </w:tr>
    </w:tbl>
    <w:p w14:paraId="3297F88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B262877" w14:textId="77777777" w:rsidR="00000000" w:rsidRDefault="00EB4933">
      <w:pPr>
        <w:pStyle w:val="NormalWeb"/>
        <w:spacing w:before="0" w:beforeAutospacing="0" w:after="0" w:afterAutospacing="0"/>
        <w:ind w:left="1350"/>
        <w:jc w:val="both"/>
        <w:divId w:val="98525094"/>
        <w:rPr>
          <w:sz w:val="20"/>
          <w:szCs w:val="20"/>
        </w:rPr>
      </w:pPr>
      <w:r>
        <w:rPr>
          <w:sz w:val="20"/>
          <w:szCs w:val="20"/>
        </w:rPr>
        <w:t xml:space="preserve">It may not be possible to identify a single discrete event – instead, the combined effect of several events may have caused financial assets to become credit-impaired. </w:t>
      </w:r>
    </w:p>
    <w:p w14:paraId="51EB1367"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42543CC5" w14:textId="77777777" w:rsidR="00000000" w:rsidRDefault="00EB4933">
      <w:pPr>
        <w:pStyle w:val="NormalWeb"/>
        <w:spacing w:before="0" w:beforeAutospacing="0" w:after="0" w:afterAutospacing="0"/>
        <w:ind w:left="1350"/>
        <w:jc w:val="both"/>
        <w:divId w:val="98525094"/>
        <w:rPr>
          <w:sz w:val="20"/>
          <w:szCs w:val="20"/>
        </w:rPr>
      </w:pPr>
      <w:r>
        <w:rPr>
          <w:sz w:val="20"/>
          <w:szCs w:val="20"/>
        </w:rPr>
        <w:t>A loan is considered credit-impaired when a concession is gran</w:t>
      </w:r>
      <w:r>
        <w:rPr>
          <w:sz w:val="20"/>
          <w:szCs w:val="20"/>
        </w:rPr>
        <w:t>ted to the borrower due to a deterioration in the borrower’s financial condition, unless there is evidence that as a result of granting the concession the risk of not receiving the contractual cash flows has reduced significantly and there are no other ind</w:t>
      </w:r>
      <w:r>
        <w:rPr>
          <w:sz w:val="20"/>
          <w:szCs w:val="20"/>
        </w:rPr>
        <w:t>icators of impairment. For financial assets where concessions are contemplated but not granted the asset is deemed credit impaired when there is observable evidence of credit-impairment including meeting the definition of default. The definition of default</w:t>
      </w:r>
      <w:r>
        <w:rPr>
          <w:sz w:val="20"/>
          <w:szCs w:val="20"/>
        </w:rPr>
        <w:t xml:space="preserve"> (see below) include unlikeliness to pay indicators.</w:t>
      </w:r>
      <w:r>
        <w:rPr>
          <w:rStyle w:val="Strong"/>
          <w:sz w:val="20"/>
          <w:szCs w:val="20"/>
        </w:rPr>
        <w:t xml:space="preserve"> </w:t>
      </w:r>
    </w:p>
    <w:p w14:paraId="34AC300D"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CB40EC0" w14:textId="77777777">
        <w:trPr>
          <w:divId w:val="98525094"/>
          <w:trHeight w:val="225"/>
          <w:tblCellSpacing w:w="15" w:type="dxa"/>
        </w:trPr>
        <w:tc>
          <w:tcPr>
            <w:tcW w:w="0" w:type="auto"/>
            <w:vAlign w:val="center"/>
            <w:hideMark/>
          </w:tcPr>
          <w:p w14:paraId="4CBC3E6F" w14:textId="77777777" w:rsidR="00000000" w:rsidRDefault="00EB4933">
            <w:pPr>
              <w:rPr>
                <w:rFonts w:eastAsia="Times New Roman"/>
                <w:sz w:val="20"/>
                <w:szCs w:val="20"/>
              </w:rPr>
            </w:pPr>
            <w:r>
              <w:rPr>
                <w:rFonts w:eastAsia="Times New Roman"/>
                <w:sz w:val="20"/>
                <w:szCs w:val="20"/>
              </w:rPr>
              <w:t> </w:t>
            </w:r>
          </w:p>
        </w:tc>
      </w:tr>
      <w:tr w:rsidR="00000000" w14:paraId="624EBFA1" w14:textId="77777777">
        <w:trPr>
          <w:divId w:val="98525094"/>
          <w:trHeight w:val="225"/>
          <w:tblCellSpacing w:w="15" w:type="dxa"/>
        </w:trPr>
        <w:tc>
          <w:tcPr>
            <w:tcW w:w="0" w:type="auto"/>
            <w:tcBorders>
              <w:bottom w:val="single" w:sz="6" w:space="0" w:color="000000"/>
            </w:tcBorders>
            <w:vAlign w:val="center"/>
            <w:hideMark/>
          </w:tcPr>
          <w:p w14:paraId="52A6C134" w14:textId="77777777" w:rsidR="00000000" w:rsidRDefault="00EB4933">
            <w:pPr>
              <w:jc w:val="center"/>
              <w:rPr>
                <w:rFonts w:eastAsia="Times New Roman"/>
                <w:sz w:val="20"/>
                <w:szCs w:val="20"/>
              </w:rPr>
            </w:pPr>
            <w:r>
              <w:rPr>
                <w:rFonts w:eastAsia="Times New Roman"/>
                <w:sz w:val="20"/>
                <w:szCs w:val="20"/>
              </w:rPr>
              <w:t>F-28</w:t>
            </w:r>
          </w:p>
        </w:tc>
      </w:tr>
      <w:tr w:rsidR="00000000" w14:paraId="4C8322C2" w14:textId="77777777">
        <w:trPr>
          <w:divId w:val="98525094"/>
          <w:trHeight w:val="225"/>
          <w:tblCellSpacing w:w="15" w:type="dxa"/>
        </w:trPr>
        <w:tc>
          <w:tcPr>
            <w:tcW w:w="0" w:type="auto"/>
            <w:vAlign w:val="center"/>
            <w:hideMark/>
          </w:tcPr>
          <w:p w14:paraId="021A783B" w14:textId="77777777" w:rsidR="00000000" w:rsidRDefault="00EB4933">
            <w:pPr>
              <w:rPr>
                <w:rFonts w:eastAsia="Times New Roman"/>
                <w:sz w:val="20"/>
                <w:szCs w:val="20"/>
              </w:rPr>
            </w:pPr>
          </w:p>
        </w:tc>
      </w:tr>
      <w:tr w:rsidR="00000000" w14:paraId="75DB3E09" w14:textId="77777777">
        <w:trPr>
          <w:divId w:val="98525094"/>
          <w:trHeight w:val="225"/>
          <w:tblCellSpacing w:w="15" w:type="dxa"/>
        </w:trPr>
        <w:tc>
          <w:tcPr>
            <w:tcW w:w="0" w:type="auto"/>
            <w:vAlign w:val="center"/>
            <w:hideMark/>
          </w:tcPr>
          <w:p w14:paraId="5DD95693" w14:textId="77777777" w:rsidR="00000000" w:rsidRDefault="00EB4933">
            <w:pPr>
              <w:rPr>
                <w:rFonts w:eastAsia="Times New Roman"/>
                <w:sz w:val="20"/>
                <w:szCs w:val="20"/>
              </w:rPr>
            </w:pPr>
            <w:hyperlink r:id="rId245" w:anchor="finindex" w:history="1">
              <w:r>
                <w:rPr>
                  <w:rStyle w:val="Hyperlink"/>
                  <w:rFonts w:eastAsia="Times New Roman"/>
                  <w:i/>
                  <w:iCs/>
                  <w:sz w:val="20"/>
                  <w:szCs w:val="20"/>
                </w:rPr>
                <w:t>Table of Contents</w:t>
              </w:r>
            </w:hyperlink>
          </w:p>
        </w:tc>
      </w:tr>
    </w:tbl>
    <w:p w14:paraId="76E7CA0A"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353EDBB1"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477EEB18"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6B0DD0BB"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0C0D8E0C"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7F0F1C6D" w14:textId="77777777" w:rsidR="00000000" w:rsidRDefault="00EB4933">
      <w:pPr>
        <w:pStyle w:val="NormalWeb"/>
        <w:spacing w:before="0" w:beforeAutospacing="0" w:after="0" w:afterAutospacing="0"/>
        <w:jc w:val="both"/>
        <w:divId w:val="98525094"/>
        <w:rPr>
          <w:sz w:val="20"/>
          <w:szCs w:val="20"/>
        </w:rPr>
      </w:pPr>
      <w:r>
        <w:rPr>
          <w:rStyle w:val="Strong"/>
          <w:sz w:val="20"/>
          <w:szCs w:val="20"/>
        </w:rPr>
        <w:t>2.8  Financial assets and financial liabilities (IFRS 9 – 2018 and 2019 only) - continued</w:t>
      </w:r>
    </w:p>
    <w:p w14:paraId="01C2790A"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D026C98" w14:textId="77777777">
        <w:trPr>
          <w:divId w:val="98525094"/>
          <w:trHeight w:val="225"/>
          <w:tblCellSpacing w:w="15" w:type="dxa"/>
        </w:trPr>
        <w:tc>
          <w:tcPr>
            <w:tcW w:w="200" w:type="pct"/>
            <w:vAlign w:val="center"/>
            <w:hideMark/>
          </w:tcPr>
          <w:p w14:paraId="1CAA166E"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442B2A5E" w14:textId="77777777" w:rsidR="00000000" w:rsidRDefault="00EB4933">
            <w:pPr>
              <w:pStyle w:val="NormalWeb"/>
              <w:spacing w:before="0" w:beforeAutospacing="0" w:after="0" w:afterAutospacing="0"/>
              <w:rPr>
                <w:sz w:val="20"/>
                <w:szCs w:val="20"/>
              </w:rPr>
            </w:pPr>
            <w:r>
              <w:rPr>
                <w:rStyle w:val="Strong"/>
                <w:sz w:val="20"/>
                <w:szCs w:val="20"/>
              </w:rPr>
              <w:t xml:space="preserve">v. </w:t>
            </w:r>
          </w:p>
        </w:tc>
        <w:tc>
          <w:tcPr>
            <w:tcW w:w="0" w:type="auto"/>
            <w:hideMark/>
          </w:tcPr>
          <w:p w14:paraId="47052FAA" w14:textId="77777777" w:rsidR="00000000" w:rsidRDefault="00EB4933">
            <w:pPr>
              <w:rPr>
                <w:rFonts w:eastAsia="Times New Roman"/>
                <w:sz w:val="20"/>
                <w:szCs w:val="20"/>
              </w:rPr>
            </w:pPr>
            <w:r>
              <w:rPr>
                <w:rStyle w:val="Strong"/>
                <w:rFonts w:eastAsia="Times New Roman"/>
                <w:sz w:val="20"/>
                <w:szCs w:val="20"/>
              </w:rPr>
              <w:t>Identification and measurement of impairment – continued</w:t>
            </w:r>
          </w:p>
        </w:tc>
      </w:tr>
    </w:tbl>
    <w:p w14:paraId="510CC2E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19E2741" w14:textId="77777777" w:rsidR="00000000" w:rsidRDefault="00EB4933">
      <w:pPr>
        <w:pStyle w:val="NormalWeb"/>
        <w:spacing w:before="0" w:beforeAutospacing="0" w:after="0" w:afterAutospacing="0"/>
        <w:ind w:left="1350"/>
        <w:jc w:val="both"/>
        <w:divId w:val="98525094"/>
        <w:rPr>
          <w:sz w:val="20"/>
          <w:szCs w:val="20"/>
        </w:rPr>
      </w:pPr>
      <w:r>
        <w:rPr>
          <w:rStyle w:val="Strong"/>
          <w:sz w:val="20"/>
          <w:szCs w:val="20"/>
        </w:rPr>
        <w:t>Definition of default</w:t>
      </w:r>
    </w:p>
    <w:p w14:paraId="5B54D4CF"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6074EE20" w14:textId="77777777" w:rsidR="00000000" w:rsidRDefault="00EB4933">
      <w:pPr>
        <w:pStyle w:val="NormalWeb"/>
        <w:spacing w:before="0" w:beforeAutospacing="0" w:after="0" w:afterAutospacing="0"/>
        <w:ind w:left="1350"/>
        <w:jc w:val="both"/>
        <w:divId w:val="98525094"/>
        <w:rPr>
          <w:sz w:val="20"/>
          <w:szCs w:val="20"/>
        </w:rPr>
      </w:pPr>
      <w:r>
        <w:rPr>
          <w:sz w:val="20"/>
          <w:szCs w:val="20"/>
        </w:rPr>
        <w:lastRenderedPageBreak/>
        <w:t>Critical to the determination of expected credit loss is the definition of default. The definition of default is used in measuring the amount of expected credit loss and in the determination of whether the loss allowance is based on 12-month or lifetime ex</w:t>
      </w:r>
      <w:r>
        <w:rPr>
          <w:sz w:val="20"/>
          <w:szCs w:val="20"/>
        </w:rPr>
        <w:t>pected credit loss, as default is a component of the probability of default which affects both the measurement of expected credit losses and the identification of a significant increase in credit risk.</w:t>
      </w:r>
    </w:p>
    <w:p w14:paraId="00E0352B"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3464698B" w14:textId="77777777" w:rsidR="00000000" w:rsidRDefault="00EB4933">
      <w:pPr>
        <w:pStyle w:val="NormalWeb"/>
        <w:spacing w:before="0" w:beforeAutospacing="0" w:after="0" w:afterAutospacing="0"/>
        <w:ind w:left="1350"/>
        <w:jc w:val="both"/>
        <w:divId w:val="98525094"/>
        <w:rPr>
          <w:sz w:val="20"/>
          <w:szCs w:val="20"/>
        </w:rPr>
      </w:pPr>
      <w:r>
        <w:rPr>
          <w:sz w:val="20"/>
          <w:szCs w:val="20"/>
        </w:rPr>
        <w:t>The Group considers the following as constituting an</w:t>
      </w:r>
      <w:r>
        <w:rPr>
          <w:sz w:val="20"/>
          <w:szCs w:val="20"/>
        </w:rPr>
        <w:t xml:space="preserve"> event of default:</w:t>
      </w:r>
    </w:p>
    <w:p w14:paraId="0B31D8CF"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719"/>
        <w:gridCol w:w="530"/>
        <w:gridCol w:w="8111"/>
      </w:tblGrid>
      <w:tr w:rsidR="00000000" w14:paraId="13E8F303" w14:textId="77777777">
        <w:trPr>
          <w:divId w:val="98525094"/>
          <w:trHeight w:val="225"/>
          <w:tblCellSpacing w:w="15" w:type="dxa"/>
        </w:trPr>
        <w:tc>
          <w:tcPr>
            <w:tcW w:w="400" w:type="pct"/>
            <w:vAlign w:val="center"/>
            <w:hideMark/>
          </w:tcPr>
          <w:p w14:paraId="12573DFA"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37F16791"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31EE94C" w14:textId="77777777" w:rsidR="00000000" w:rsidRDefault="00EB4933">
            <w:pPr>
              <w:rPr>
                <w:rFonts w:eastAsia="Times New Roman"/>
                <w:sz w:val="20"/>
                <w:szCs w:val="20"/>
              </w:rPr>
            </w:pPr>
            <w:r>
              <w:rPr>
                <w:rFonts w:eastAsia="Times New Roman"/>
                <w:sz w:val="20"/>
                <w:szCs w:val="20"/>
              </w:rPr>
              <w:t>the borrower is past due more than nine months on any material credit obligation to the Group; or</w:t>
            </w:r>
          </w:p>
        </w:tc>
      </w:tr>
      <w:tr w:rsidR="00000000" w14:paraId="1D4B6023" w14:textId="77777777">
        <w:trPr>
          <w:divId w:val="98525094"/>
          <w:trHeight w:val="225"/>
          <w:tblCellSpacing w:w="15" w:type="dxa"/>
        </w:trPr>
        <w:tc>
          <w:tcPr>
            <w:tcW w:w="0" w:type="auto"/>
            <w:vAlign w:val="center"/>
            <w:hideMark/>
          </w:tcPr>
          <w:p w14:paraId="6ABF6ADE"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4C73AA01"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0C4DBCA9" w14:textId="77777777" w:rsidR="00000000" w:rsidRDefault="00EB4933">
            <w:pPr>
              <w:pStyle w:val="NormalWeb"/>
              <w:spacing w:before="0" w:beforeAutospacing="0" w:after="0" w:afterAutospacing="0"/>
              <w:rPr>
                <w:sz w:val="20"/>
                <w:szCs w:val="20"/>
              </w:rPr>
            </w:pPr>
            <w:r>
              <w:rPr>
                <w:sz w:val="20"/>
                <w:szCs w:val="20"/>
              </w:rPr>
              <w:t> </w:t>
            </w:r>
          </w:p>
        </w:tc>
      </w:tr>
      <w:tr w:rsidR="00000000" w14:paraId="21C557D0" w14:textId="77777777">
        <w:trPr>
          <w:divId w:val="98525094"/>
          <w:trHeight w:val="225"/>
          <w:tblCellSpacing w:w="15" w:type="dxa"/>
        </w:trPr>
        <w:tc>
          <w:tcPr>
            <w:tcW w:w="0" w:type="auto"/>
            <w:vAlign w:val="center"/>
            <w:hideMark/>
          </w:tcPr>
          <w:p w14:paraId="6FB3CFCA"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6037779C"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AF485FF" w14:textId="77777777" w:rsidR="00000000" w:rsidRDefault="00EB4933">
            <w:pPr>
              <w:rPr>
                <w:rFonts w:eastAsia="Times New Roman"/>
                <w:sz w:val="20"/>
                <w:szCs w:val="20"/>
              </w:rPr>
            </w:pPr>
            <w:r>
              <w:rPr>
                <w:rFonts w:eastAsia="Times New Roman"/>
                <w:sz w:val="20"/>
                <w:szCs w:val="20"/>
              </w:rPr>
              <w:t>the borrower is unlikely to pay its credit obligations to the Group in full.</w:t>
            </w:r>
          </w:p>
        </w:tc>
      </w:tr>
    </w:tbl>
    <w:p w14:paraId="2AC687A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D4FCBC5" w14:textId="77777777" w:rsidR="00000000" w:rsidRDefault="00EB4933">
      <w:pPr>
        <w:pStyle w:val="NormalWeb"/>
        <w:spacing w:before="0" w:beforeAutospacing="0" w:after="0" w:afterAutospacing="0"/>
        <w:ind w:left="1350"/>
        <w:jc w:val="both"/>
        <w:divId w:val="98525094"/>
        <w:rPr>
          <w:sz w:val="20"/>
          <w:szCs w:val="20"/>
        </w:rPr>
      </w:pPr>
      <w:r>
        <w:rPr>
          <w:sz w:val="20"/>
          <w:szCs w:val="20"/>
        </w:rPr>
        <w:t>When assessing if the borrower is unlikely to pay its credit obligation, the Group takes into account both qualitative and quantitative indicators. Quantitative indicators, suc</w:t>
      </w:r>
      <w:r>
        <w:rPr>
          <w:sz w:val="20"/>
          <w:szCs w:val="20"/>
        </w:rPr>
        <w:t>h as overdue status and non-payment on another obligation of the same counterparty are key inputs in this analysis. The Group uses a variety of sources of information to assess default which are either developed internally or obtained from external sources</w:t>
      </w:r>
      <w:r>
        <w:rPr>
          <w:sz w:val="20"/>
          <w:szCs w:val="20"/>
        </w:rPr>
        <w:t>.</w:t>
      </w:r>
    </w:p>
    <w:p w14:paraId="194908D4"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21E472B3" w14:textId="77777777" w:rsidR="00000000" w:rsidRDefault="00EB4933">
      <w:pPr>
        <w:pStyle w:val="NormalWeb"/>
        <w:spacing w:before="0" w:beforeAutospacing="0" w:after="0" w:afterAutospacing="0"/>
        <w:ind w:left="1350"/>
        <w:jc w:val="both"/>
        <w:divId w:val="98525094"/>
        <w:rPr>
          <w:sz w:val="20"/>
          <w:szCs w:val="20"/>
        </w:rPr>
      </w:pPr>
      <w:r>
        <w:rPr>
          <w:rStyle w:val="Strong"/>
          <w:sz w:val="20"/>
          <w:szCs w:val="20"/>
        </w:rPr>
        <w:t>Objective evidence of impairment</w:t>
      </w:r>
    </w:p>
    <w:p w14:paraId="54111405"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2E39D93C" w14:textId="77777777" w:rsidR="00000000" w:rsidRDefault="00EB4933">
      <w:pPr>
        <w:pStyle w:val="NormalWeb"/>
        <w:spacing w:before="0" w:beforeAutospacing="0" w:after="0" w:afterAutospacing="0"/>
        <w:ind w:left="1350"/>
        <w:jc w:val="both"/>
        <w:divId w:val="98525094"/>
        <w:rPr>
          <w:sz w:val="20"/>
          <w:szCs w:val="20"/>
        </w:rPr>
      </w:pPr>
      <w:r>
        <w:rPr>
          <w:sz w:val="20"/>
          <w:szCs w:val="20"/>
        </w:rPr>
        <w:t>At each reporting date, the Group assesses whether there is objective evidence that financial assets are impaired. A financial asset or a group of financial assets is impaired when objective evidence demonstrates that</w:t>
      </w:r>
      <w:r>
        <w:rPr>
          <w:sz w:val="20"/>
          <w:szCs w:val="20"/>
        </w:rPr>
        <w:t xml:space="preserve"> a loss event has occurred after the initial recognition of the assets and that the loss event has an impact on the future cash flows of the assets and that the loss event has an impact on the future cash flows of the assets that can be estimated reliably.</w:t>
      </w:r>
    </w:p>
    <w:p w14:paraId="7C4FAF54"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1806363C" w14:textId="77777777" w:rsidR="00000000" w:rsidRDefault="00EB4933">
      <w:pPr>
        <w:pStyle w:val="NormalWeb"/>
        <w:spacing w:before="0" w:beforeAutospacing="0" w:after="0" w:afterAutospacing="0"/>
        <w:ind w:left="1350"/>
        <w:jc w:val="both"/>
        <w:divId w:val="98525094"/>
        <w:rPr>
          <w:sz w:val="20"/>
          <w:szCs w:val="20"/>
        </w:rPr>
      </w:pPr>
      <w:r>
        <w:rPr>
          <w:sz w:val="20"/>
          <w:szCs w:val="20"/>
        </w:rPr>
        <w:t>Objective evidence that financial assets are impaired includes:</w:t>
      </w:r>
    </w:p>
    <w:p w14:paraId="415B5411"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719"/>
        <w:gridCol w:w="530"/>
        <w:gridCol w:w="8111"/>
      </w:tblGrid>
      <w:tr w:rsidR="00000000" w14:paraId="7CBB0875" w14:textId="77777777">
        <w:trPr>
          <w:divId w:val="98525094"/>
          <w:trHeight w:val="225"/>
          <w:tblCellSpacing w:w="15" w:type="dxa"/>
        </w:trPr>
        <w:tc>
          <w:tcPr>
            <w:tcW w:w="400" w:type="pct"/>
            <w:vAlign w:val="center"/>
            <w:hideMark/>
          </w:tcPr>
          <w:p w14:paraId="67B4F9D3"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24E0F1D7" w14:textId="77777777" w:rsidR="00000000" w:rsidRDefault="00EB4933">
            <w:pPr>
              <w:pStyle w:val="NormalWeb"/>
              <w:spacing w:before="0" w:beforeAutospacing="0" w:after="0" w:afterAutospacing="0"/>
              <w:rPr>
                <w:sz w:val="20"/>
                <w:szCs w:val="20"/>
              </w:rPr>
            </w:pPr>
            <w:r>
              <w:rPr>
                <w:sz w:val="20"/>
                <w:szCs w:val="20"/>
              </w:rPr>
              <w:t xml:space="preserve">- </w:t>
            </w:r>
          </w:p>
        </w:tc>
        <w:tc>
          <w:tcPr>
            <w:tcW w:w="0" w:type="auto"/>
            <w:hideMark/>
          </w:tcPr>
          <w:p w14:paraId="64AA84F1" w14:textId="77777777" w:rsidR="00000000" w:rsidRDefault="00EB4933">
            <w:pPr>
              <w:rPr>
                <w:rFonts w:eastAsia="Times New Roman"/>
                <w:sz w:val="20"/>
                <w:szCs w:val="20"/>
              </w:rPr>
            </w:pPr>
            <w:r>
              <w:rPr>
                <w:rFonts w:eastAsia="Times New Roman"/>
                <w:sz w:val="20"/>
                <w:szCs w:val="20"/>
              </w:rPr>
              <w:t>significant financial difficulty of the borrower;</w:t>
            </w:r>
          </w:p>
        </w:tc>
      </w:tr>
      <w:tr w:rsidR="00000000" w14:paraId="1076F671" w14:textId="77777777">
        <w:trPr>
          <w:divId w:val="98525094"/>
          <w:trHeight w:val="225"/>
          <w:tblCellSpacing w:w="15" w:type="dxa"/>
        </w:trPr>
        <w:tc>
          <w:tcPr>
            <w:tcW w:w="0" w:type="auto"/>
            <w:vAlign w:val="center"/>
            <w:hideMark/>
          </w:tcPr>
          <w:p w14:paraId="2E407AD3"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7AB4B01D"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00D542F9" w14:textId="77777777" w:rsidR="00000000" w:rsidRDefault="00EB4933">
            <w:pPr>
              <w:pStyle w:val="NormalWeb"/>
              <w:spacing w:before="0" w:beforeAutospacing="0" w:after="0" w:afterAutospacing="0"/>
              <w:rPr>
                <w:sz w:val="20"/>
                <w:szCs w:val="20"/>
              </w:rPr>
            </w:pPr>
            <w:r>
              <w:rPr>
                <w:sz w:val="20"/>
                <w:szCs w:val="20"/>
              </w:rPr>
              <w:t> </w:t>
            </w:r>
          </w:p>
        </w:tc>
      </w:tr>
      <w:tr w:rsidR="00000000" w14:paraId="176A9513" w14:textId="77777777">
        <w:trPr>
          <w:divId w:val="98525094"/>
          <w:trHeight w:val="225"/>
          <w:tblCellSpacing w:w="15" w:type="dxa"/>
        </w:trPr>
        <w:tc>
          <w:tcPr>
            <w:tcW w:w="0" w:type="auto"/>
            <w:vAlign w:val="center"/>
            <w:hideMark/>
          </w:tcPr>
          <w:p w14:paraId="3ED9186E"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298B0EF7" w14:textId="77777777" w:rsidR="00000000" w:rsidRDefault="00EB4933">
            <w:pPr>
              <w:pStyle w:val="NormalWeb"/>
              <w:spacing w:before="0" w:beforeAutospacing="0" w:after="0" w:afterAutospacing="0"/>
              <w:rPr>
                <w:sz w:val="20"/>
                <w:szCs w:val="20"/>
              </w:rPr>
            </w:pPr>
            <w:r>
              <w:rPr>
                <w:sz w:val="20"/>
                <w:szCs w:val="20"/>
              </w:rPr>
              <w:t xml:space="preserve">- </w:t>
            </w:r>
          </w:p>
        </w:tc>
        <w:tc>
          <w:tcPr>
            <w:tcW w:w="0" w:type="auto"/>
            <w:hideMark/>
          </w:tcPr>
          <w:p w14:paraId="56C9D12D" w14:textId="77777777" w:rsidR="00000000" w:rsidRDefault="00EB4933">
            <w:pPr>
              <w:rPr>
                <w:rFonts w:eastAsia="Times New Roman"/>
                <w:sz w:val="20"/>
                <w:szCs w:val="20"/>
              </w:rPr>
            </w:pPr>
            <w:r>
              <w:rPr>
                <w:rFonts w:eastAsia="Times New Roman"/>
                <w:sz w:val="20"/>
                <w:szCs w:val="20"/>
              </w:rPr>
              <w:t>default or delinquency by a borrower;</w:t>
            </w:r>
          </w:p>
        </w:tc>
      </w:tr>
      <w:tr w:rsidR="00000000" w14:paraId="5516950F" w14:textId="77777777">
        <w:trPr>
          <w:divId w:val="98525094"/>
          <w:trHeight w:val="225"/>
          <w:tblCellSpacing w:w="15" w:type="dxa"/>
        </w:trPr>
        <w:tc>
          <w:tcPr>
            <w:tcW w:w="0" w:type="auto"/>
            <w:vAlign w:val="center"/>
            <w:hideMark/>
          </w:tcPr>
          <w:p w14:paraId="6EE5B8B1"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7DEB4061"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4511C099" w14:textId="77777777" w:rsidR="00000000" w:rsidRDefault="00EB4933">
            <w:pPr>
              <w:pStyle w:val="NormalWeb"/>
              <w:spacing w:before="0" w:beforeAutospacing="0" w:after="0" w:afterAutospacing="0"/>
              <w:rPr>
                <w:sz w:val="20"/>
                <w:szCs w:val="20"/>
              </w:rPr>
            </w:pPr>
            <w:r>
              <w:rPr>
                <w:sz w:val="20"/>
                <w:szCs w:val="20"/>
              </w:rPr>
              <w:t> </w:t>
            </w:r>
          </w:p>
        </w:tc>
      </w:tr>
      <w:tr w:rsidR="00000000" w14:paraId="220E6F07" w14:textId="77777777">
        <w:trPr>
          <w:divId w:val="98525094"/>
          <w:trHeight w:val="225"/>
          <w:tblCellSpacing w:w="15" w:type="dxa"/>
        </w:trPr>
        <w:tc>
          <w:tcPr>
            <w:tcW w:w="0" w:type="auto"/>
            <w:vAlign w:val="center"/>
            <w:hideMark/>
          </w:tcPr>
          <w:p w14:paraId="5E61345E"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5222E4C5" w14:textId="77777777" w:rsidR="00000000" w:rsidRDefault="00EB4933">
            <w:pPr>
              <w:pStyle w:val="NormalWeb"/>
              <w:spacing w:before="0" w:beforeAutospacing="0" w:after="0" w:afterAutospacing="0"/>
              <w:rPr>
                <w:sz w:val="20"/>
                <w:szCs w:val="20"/>
              </w:rPr>
            </w:pPr>
            <w:r>
              <w:rPr>
                <w:sz w:val="20"/>
                <w:szCs w:val="20"/>
              </w:rPr>
              <w:t xml:space="preserve">- </w:t>
            </w:r>
          </w:p>
        </w:tc>
        <w:tc>
          <w:tcPr>
            <w:tcW w:w="0" w:type="auto"/>
            <w:hideMark/>
          </w:tcPr>
          <w:p w14:paraId="1FAF459E" w14:textId="77777777" w:rsidR="00000000" w:rsidRDefault="00EB4933">
            <w:pPr>
              <w:rPr>
                <w:rFonts w:eastAsia="Times New Roman"/>
                <w:sz w:val="20"/>
                <w:szCs w:val="20"/>
              </w:rPr>
            </w:pPr>
            <w:r>
              <w:rPr>
                <w:rFonts w:eastAsia="Times New Roman"/>
                <w:sz w:val="20"/>
                <w:szCs w:val="20"/>
              </w:rPr>
              <w:t>the restructuring of a loan by the Group on terms that the Group would not consider otherwise;</w:t>
            </w:r>
          </w:p>
        </w:tc>
      </w:tr>
      <w:tr w:rsidR="00000000" w14:paraId="6E106E8C" w14:textId="77777777">
        <w:trPr>
          <w:divId w:val="98525094"/>
          <w:trHeight w:val="225"/>
          <w:tblCellSpacing w:w="15" w:type="dxa"/>
        </w:trPr>
        <w:tc>
          <w:tcPr>
            <w:tcW w:w="0" w:type="auto"/>
            <w:vAlign w:val="center"/>
            <w:hideMark/>
          </w:tcPr>
          <w:p w14:paraId="1EC634F7"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34EA9DE8"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27B88D46" w14:textId="77777777" w:rsidR="00000000" w:rsidRDefault="00EB4933">
            <w:pPr>
              <w:pStyle w:val="NormalWeb"/>
              <w:spacing w:before="0" w:beforeAutospacing="0" w:after="0" w:afterAutospacing="0"/>
              <w:rPr>
                <w:sz w:val="20"/>
                <w:szCs w:val="20"/>
              </w:rPr>
            </w:pPr>
            <w:r>
              <w:rPr>
                <w:sz w:val="20"/>
                <w:szCs w:val="20"/>
              </w:rPr>
              <w:t> </w:t>
            </w:r>
          </w:p>
        </w:tc>
      </w:tr>
      <w:tr w:rsidR="00000000" w14:paraId="224B45FC" w14:textId="77777777">
        <w:trPr>
          <w:divId w:val="98525094"/>
          <w:trHeight w:val="225"/>
          <w:tblCellSpacing w:w="15" w:type="dxa"/>
        </w:trPr>
        <w:tc>
          <w:tcPr>
            <w:tcW w:w="0" w:type="auto"/>
            <w:vAlign w:val="center"/>
            <w:hideMark/>
          </w:tcPr>
          <w:p w14:paraId="076DF2F0"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200DA141" w14:textId="77777777" w:rsidR="00000000" w:rsidRDefault="00EB4933">
            <w:pPr>
              <w:pStyle w:val="NormalWeb"/>
              <w:spacing w:before="0" w:beforeAutospacing="0" w:after="0" w:afterAutospacing="0"/>
              <w:rPr>
                <w:sz w:val="20"/>
                <w:szCs w:val="20"/>
              </w:rPr>
            </w:pPr>
            <w:r>
              <w:rPr>
                <w:sz w:val="20"/>
                <w:szCs w:val="20"/>
              </w:rPr>
              <w:t xml:space="preserve">- </w:t>
            </w:r>
          </w:p>
        </w:tc>
        <w:tc>
          <w:tcPr>
            <w:tcW w:w="0" w:type="auto"/>
            <w:hideMark/>
          </w:tcPr>
          <w:p w14:paraId="45EFF9B4" w14:textId="77777777" w:rsidR="00000000" w:rsidRDefault="00EB4933">
            <w:pPr>
              <w:rPr>
                <w:rFonts w:eastAsia="Times New Roman"/>
                <w:sz w:val="20"/>
                <w:szCs w:val="20"/>
              </w:rPr>
            </w:pPr>
            <w:r>
              <w:rPr>
                <w:rFonts w:eastAsia="Times New Roman"/>
                <w:sz w:val="20"/>
                <w:szCs w:val="20"/>
              </w:rPr>
              <w:t>indications that a borrower will enter bankruptcy; or</w:t>
            </w:r>
          </w:p>
        </w:tc>
      </w:tr>
      <w:tr w:rsidR="00000000" w14:paraId="4FE0C6F2" w14:textId="77777777">
        <w:trPr>
          <w:divId w:val="98525094"/>
          <w:trHeight w:val="225"/>
          <w:tblCellSpacing w:w="15" w:type="dxa"/>
        </w:trPr>
        <w:tc>
          <w:tcPr>
            <w:tcW w:w="0" w:type="auto"/>
            <w:vAlign w:val="center"/>
            <w:hideMark/>
          </w:tcPr>
          <w:p w14:paraId="3CC894FC"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7608697A"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3BC356AC" w14:textId="77777777" w:rsidR="00000000" w:rsidRDefault="00EB4933">
            <w:pPr>
              <w:pStyle w:val="NormalWeb"/>
              <w:spacing w:before="0" w:beforeAutospacing="0" w:after="0" w:afterAutospacing="0"/>
              <w:rPr>
                <w:sz w:val="20"/>
                <w:szCs w:val="20"/>
              </w:rPr>
            </w:pPr>
            <w:r>
              <w:rPr>
                <w:sz w:val="20"/>
                <w:szCs w:val="20"/>
              </w:rPr>
              <w:t> </w:t>
            </w:r>
          </w:p>
        </w:tc>
      </w:tr>
      <w:tr w:rsidR="00000000" w14:paraId="78399A33" w14:textId="77777777">
        <w:trPr>
          <w:divId w:val="98525094"/>
          <w:trHeight w:val="225"/>
          <w:tblCellSpacing w:w="15" w:type="dxa"/>
        </w:trPr>
        <w:tc>
          <w:tcPr>
            <w:tcW w:w="0" w:type="auto"/>
            <w:vAlign w:val="center"/>
            <w:hideMark/>
          </w:tcPr>
          <w:p w14:paraId="7D3D102C"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2AA25528" w14:textId="77777777" w:rsidR="00000000" w:rsidRDefault="00EB4933">
            <w:pPr>
              <w:pStyle w:val="NormalWeb"/>
              <w:spacing w:before="0" w:beforeAutospacing="0" w:after="0" w:afterAutospacing="0"/>
              <w:rPr>
                <w:sz w:val="20"/>
                <w:szCs w:val="20"/>
              </w:rPr>
            </w:pPr>
            <w:r>
              <w:rPr>
                <w:sz w:val="20"/>
                <w:szCs w:val="20"/>
              </w:rPr>
              <w:t xml:space="preserve">- </w:t>
            </w:r>
          </w:p>
        </w:tc>
        <w:tc>
          <w:tcPr>
            <w:tcW w:w="0" w:type="auto"/>
            <w:hideMark/>
          </w:tcPr>
          <w:p w14:paraId="30A9AC09" w14:textId="77777777" w:rsidR="00000000" w:rsidRDefault="00EB4933">
            <w:pPr>
              <w:rPr>
                <w:rFonts w:eastAsia="Times New Roman"/>
                <w:sz w:val="20"/>
                <w:szCs w:val="20"/>
              </w:rPr>
            </w:pPr>
            <w:r>
              <w:rPr>
                <w:rFonts w:eastAsia="Times New Roman"/>
                <w:sz w:val="20"/>
                <w:szCs w:val="20"/>
              </w:rPr>
              <w:t>observable data relating to a group of assets such as adverse changes in the payment status of borrowers in the group, or economic conditions that correlate with defaults in the group.</w:t>
            </w:r>
          </w:p>
        </w:tc>
      </w:tr>
    </w:tbl>
    <w:p w14:paraId="54DD9AED"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C06FE72" w14:textId="77777777">
        <w:trPr>
          <w:divId w:val="98525094"/>
          <w:trHeight w:val="225"/>
          <w:tblCellSpacing w:w="15" w:type="dxa"/>
        </w:trPr>
        <w:tc>
          <w:tcPr>
            <w:tcW w:w="0" w:type="auto"/>
            <w:vAlign w:val="center"/>
            <w:hideMark/>
          </w:tcPr>
          <w:p w14:paraId="548D4E70" w14:textId="77777777" w:rsidR="00000000" w:rsidRDefault="00EB4933">
            <w:pPr>
              <w:rPr>
                <w:rFonts w:eastAsia="Times New Roman"/>
                <w:sz w:val="20"/>
                <w:szCs w:val="20"/>
              </w:rPr>
            </w:pPr>
            <w:r>
              <w:rPr>
                <w:rFonts w:eastAsia="Times New Roman"/>
                <w:sz w:val="20"/>
                <w:szCs w:val="20"/>
              </w:rPr>
              <w:t> </w:t>
            </w:r>
          </w:p>
        </w:tc>
      </w:tr>
      <w:tr w:rsidR="00000000" w14:paraId="443D073B" w14:textId="77777777">
        <w:trPr>
          <w:divId w:val="98525094"/>
          <w:trHeight w:val="225"/>
          <w:tblCellSpacing w:w="15" w:type="dxa"/>
        </w:trPr>
        <w:tc>
          <w:tcPr>
            <w:tcW w:w="0" w:type="auto"/>
            <w:tcBorders>
              <w:bottom w:val="single" w:sz="6" w:space="0" w:color="000000"/>
            </w:tcBorders>
            <w:vAlign w:val="center"/>
            <w:hideMark/>
          </w:tcPr>
          <w:p w14:paraId="435C3A80" w14:textId="77777777" w:rsidR="00000000" w:rsidRDefault="00EB4933">
            <w:pPr>
              <w:jc w:val="center"/>
              <w:rPr>
                <w:rFonts w:eastAsia="Times New Roman"/>
                <w:sz w:val="20"/>
                <w:szCs w:val="20"/>
              </w:rPr>
            </w:pPr>
            <w:r>
              <w:rPr>
                <w:rFonts w:eastAsia="Times New Roman"/>
                <w:sz w:val="20"/>
                <w:szCs w:val="20"/>
              </w:rPr>
              <w:t>F-29</w:t>
            </w:r>
          </w:p>
        </w:tc>
      </w:tr>
      <w:tr w:rsidR="00000000" w14:paraId="0805FC11" w14:textId="77777777">
        <w:trPr>
          <w:divId w:val="98525094"/>
          <w:trHeight w:val="225"/>
          <w:tblCellSpacing w:w="15" w:type="dxa"/>
        </w:trPr>
        <w:tc>
          <w:tcPr>
            <w:tcW w:w="0" w:type="auto"/>
            <w:vAlign w:val="center"/>
            <w:hideMark/>
          </w:tcPr>
          <w:p w14:paraId="744B4E41" w14:textId="77777777" w:rsidR="00000000" w:rsidRDefault="00EB4933">
            <w:pPr>
              <w:rPr>
                <w:rFonts w:eastAsia="Times New Roman"/>
                <w:sz w:val="20"/>
                <w:szCs w:val="20"/>
              </w:rPr>
            </w:pPr>
          </w:p>
        </w:tc>
      </w:tr>
      <w:tr w:rsidR="00000000" w14:paraId="6FFF095F" w14:textId="77777777">
        <w:trPr>
          <w:divId w:val="98525094"/>
          <w:trHeight w:val="225"/>
          <w:tblCellSpacing w:w="15" w:type="dxa"/>
        </w:trPr>
        <w:tc>
          <w:tcPr>
            <w:tcW w:w="0" w:type="auto"/>
            <w:vAlign w:val="center"/>
            <w:hideMark/>
          </w:tcPr>
          <w:p w14:paraId="68A3D3BE" w14:textId="77777777" w:rsidR="00000000" w:rsidRDefault="00EB4933">
            <w:pPr>
              <w:rPr>
                <w:rFonts w:eastAsia="Times New Roman"/>
                <w:sz w:val="20"/>
                <w:szCs w:val="20"/>
              </w:rPr>
            </w:pPr>
            <w:hyperlink r:id="rId246" w:anchor="finindex" w:history="1">
              <w:r>
                <w:rPr>
                  <w:rStyle w:val="Hyperlink"/>
                  <w:rFonts w:eastAsia="Times New Roman"/>
                  <w:i/>
                  <w:iCs/>
                  <w:sz w:val="20"/>
                  <w:szCs w:val="20"/>
                </w:rPr>
                <w:t>Table of Contents</w:t>
              </w:r>
            </w:hyperlink>
          </w:p>
        </w:tc>
      </w:tr>
    </w:tbl>
    <w:p w14:paraId="26176A30"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6B5183D5"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313B7EC3"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527AC665"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4B19FC70"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3EF6362B" w14:textId="77777777" w:rsidR="00000000" w:rsidRDefault="00EB4933">
      <w:pPr>
        <w:pStyle w:val="NormalWeb"/>
        <w:spacing w:before="0" w:beforeAutospacing="0" w:after="0" w:afterAutospacing="0"/>
        <w:jc w:val="both"/>
        <w:divId w:val="98525094"/>
        <w:rPr>
          <w:sz w:val="20"/>
          <w:szCs w:val="20"/>
        </w:rPr>
      </w:pPr>
      <w:r>
        <w:rPr>
          <w:rStyle w:val="Strong"/>
          <w:sz w:val="20"/>
          <w:szCs w:val="20"/>
        </w:rPr>
        <w:t>2.8  Financial assets and financial liabilities (IFRS 9 – 2</w:t>
      </w:r>
      <w:r>
        <w:rPr>
          <w:rStyle w:val="Strong"/>
          <w:sz w:val="20"/>
          <w:szCs w:val="20"/>
        </w:rPr>
        <w:t>018 and 2019 only) - continued</w:t>
      </w:r>
    </w:p>
    <w:p w14:paraId="0688F587"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30F0D471" w14:textId="77777777">
        <w:trPr>
          <w:divId w:val="98525094"/>
          <w:trHeight w:val="225"/>
          <w:tblCellSpacing w:w="15" w:type="dxa"/>
        </w:trPr>
        <w:tc>
          <w:tcPr>
            <w:tcW w:w="200" w:type="pct"/>
            <w:vAlign w:val="center"/>
            <w:hideMark/>
          </w:tcPr>
          <w:p w14:paraId="4F3FF0B8"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630290EB" w14:textId="77777777" w:rsidR="00000000" w:rsidRDefault="00EB4933">
            <w:pPr>
              <w:pStyle w:val="NormalWeb"/>
              <w:spacing w:before="0" w:beforeAutospacing="0" w:after="0" w:afterAutospacing="0"/>
              <w:rPr>
                <w:sz w:val="20"/>
                <w:szCs w:val="20"/>
              </w:rPr>
            </w:pPr>
            <w:r>
              <w:rPr>
                <w:rStyle w:val="Strong"/>
                <w:sz w:val="20"/>
                <w:szCs w:val="20"/>
              </w:rPr>
              <w:t xml:space="preserve">v. </w:t>
            </w:r>
          </w:p>
        </w:tc>
        <w:tc>
          <w:tcPr>
            <w:tcW w:w="0" w:type="auto"/>
            <w:hideMark/>
          </w:tcPr>
          <w:p w14:paraId="747E6B8C" w14:textId="77777777" w:rsidR="00000000" w:rsidRDefault="00EB4933">
            <w:pPr>
              <w:rPr>
                <w:rFonts w:eastAsia="Times New Roman"/>
                <w:sz w:val="20"/>
                <w:szCs w:val="20"/>
              </w:rPr>
            </w:pPr>
            <w:r>
              <w:rPr>
                <w:rStyle w:val="Strong"/>
                <w:rFonts w:eastAsia="Times New Roman"/>
                <w:sz w:val="20"/>
                <w:szCs w:val="20"/>
              </w:rPr>
              <w:t>Identification and measurement of impairment – continued</w:t>
            </w:r>
          </w:p>
        </w:tc>
      </w:tr>
    </w:tbl>
    <w:p w14:paraId="2212D33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73C8DA3"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r>
        <w:rPr>
          <w:rStyle w:val="Strong"/>
          <w:sz w:val="20"/>
          <w:szCs w:val="20"/>
        </w:rPr>
        <w:t>Impairment measurement and recognition</w:t>
      </w:r>
    </w:p>
    <w:p w14:paraId="79127EB4" w14:textId="77777777" w:rsidR="00000000" w:rsidRDefault="00EB4933">
      <w:pPr>
        <w:pStyle w:val="NormalWeb"/>
        <w:spacing w:before="0" w:beforeAutospacing="0" w:after="0" w:afterAutospacing="0"/>
        <w:ind w:left="1350"/>
        <w:jc w:val="both"/>
        <w:divId w:val="98525094"/>
        <w:rPr>
          <w:sz w:val="20"/>
          <w:szCs w:val="20"/>
        </w:rPr>
      </w:pPr>
      <w:r>
        <w:rPr>
          <w:sz w:val="20"/>
          <w:szCs w:val="20"/>
        </w:rPr>
        <w:lastRenderedPageBreak/>
        <w:t> </w:t>
      </w:r>
    </w:p>
    <w:p w14:paraId="5593AD16" w14:textId="77777777" w:rsidR="00000000" w:rsidRDefault="00EB4933">
      <w:pPr>
        <w:pStyle w:val="NormalWeb"/>
        <w:spacing w:before="0" w:beforeAutospacing="0" w:after="0" w:afterAutospacing="0"/>
        <w:ind w:left="1350"/>
        <w:jc w:val="both"/>
        <w:divId w:val="98525094"/>
        <w:rPr>
          <w:sz w:val="20"/>
          <w:szCs w:val="20"/>
        </w:rPr>
      </w:pPr>
      <w:r>
        <w:rPr>
          <w:sz w:val="20"/>
          <w:szCs w:val="20"/>
        </w:rPr>
        <w:t>The Group recognizes loss allowance for expected credit loss on loan receivables.</w:t>
      </w:r>
    </w:p>
    <w:p w14:paraId="1D63FBD6"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1FC1083A" w14:textId="77777777" w:rsidR="00000000" w:rsidRDefault="00EB4933">
      <w:pPr>
        <w:pStyle w:val="NormalWeb"/>
        <w:spacing w:before="0" w:beforeAutospacing="0" w:after="0" w:afterAutospacing="0"/>
        <w:ind w:left="1350"/>
        <w:jc w:val="both"/>
        <w:divId w:val="98525094"/>
        <w:rPr>
          <w:sz w:val="20"/>
          <w:szCs w:val="20"/>
        </w:rPr>
      </w:pPr>
      <w:r>
        <w:rPr>
          <w:sz w:val="20"/>
          <w:szCs w:val="20"/>
        </w:rPr>
        <w:t>Expected credit losses are required to be measured through a loss allowance at an amount equal to:</w:t>
      </w:r>
    </w:p>
    <w:p w14:paraId="4B65577C"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719"/>
        <w:gridCol w:w="530"/>
        <w:gridCol w:w="8111"/>
      </w:tblGrid>
      <w:tr w:rsidR="00000000" w14:paraId="2F0EF4DF" w14:textId="77777777">
        <w:trPr>
          <w:divId w:val="98525094"/>
          <w:trHeight w:val="225"/>
          <w:tblCellSpacing w:w="15" w:type="dxa"/>
        </w:trPr>
        <w:tc>
          <w:tcPr>
            <w:tcW w:w="400" w:type="pct"/>
            <w:vAlign w:val="center"/>
            <w:hideMark/>
          </w:tcPr>
          <w:p w14:paraId="09DA15A7"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0E7D66D6"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7BDED7EF" w14:textId="77777777" w:rsidR="00000000" w:rsidRDefault="00EB4933">
            <w:pPr>
              <w:jc w:val="both"/>
              <w:rPr>
                <w:rFonts w:eastAsia="Times New Roman"/>
                <w:sz w:val="20"/>
                <w:szCs w:val="20"/>
              </w:rPr>
            </w:pPr>
            <w:r>
              <w:rPr>
                <w:rFonts w:eastAsia="Times New Roman"/>
                <w:sz w:val="20"/>
                <w:szCs w:val="20"/>
              </w:rPr>
              <w:t>12-month expected credit loss, i.e. lifetime expected credit loss t</w:t>
            </w:r>
            <w:r>
              <w:rPr>
                <w:rFonts w:eastAsia="Times New Roman"/>
                <w:sz w:val="20"/>
                <w:szCs w:val="20"/>
              </w:rPr>
              <w:t>hat result from those default events on the financial instrument that are possible within 12 months after the reporting date, (referred to as Stage 1); or</w:t>
            </w:r>
          </w:p>
        </w:tc>
      </w:tr>
      <w:tr w:rsidR="00000000" w14:paraId="4A496728" w14:textId="77777777">
        <w:trPr>
          <w:divId w:val="98525094"/>
          <w:trHeight w:val="225"/>
          <w:tblCellSpacing w:w="15" w:type="dxa"/>
        </w:trPr>
        <w:tc>
          <w:tcPr>
            <w:tcW w:w="0" w:type="auto"/>
            <w:vAlign w:val="center"/>
            <w:hideMark/>
          </w:tcPr>
          <w:p w14:paraId="6BD4CB07"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5D7DB856"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B15B18E"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AE3B5E6" w14:textId="77777777">
        <w:trPr>
          <w:divId w:val="98525094"/>
          <w:trHeight w:val="225"/>
          <w:tblCellSpacing w:w="15" w:type="dxa"/>
        </w:trPr>
        <w:tc>
          <w:tcPr>
            <w:tcW w:w="0" w:type="auto"/>
            <w:vAlign w:val="center"/>
            <w:hideMark/>
          </w:tcPr>
          <w:p w14:paraId="7D0749D0"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1BA79A10" w14:textId="77777777" w:rsidR="00000000" w:rsidRDefault="00EB4933">
            <w:pPr>
              <w:pStyle w:val="NormalWeb"/>
              <w:spacing w:before="0" w:beforeAutospacing="0" w:after="0" w:afterAutospacing="0"/>
              <w:jc w:val="both"/>
              <w:rPr>
                <w:sz w:val="20"/>
                <w:szCs w:val="20"/>
              </w:rPr>
            </w:pPr>
            <w:r>
              <w:rPr>
                <w:rFonts w:ascii="Symbol" w:hAnsi="Symbol"/>
                <w:sz w:val="20"/>
                <w:szCs w:val="20"/>
              </w:rPr>
              <w:t>·</w:t>
            </w:r>
          </w:p>
        </w:tc>
        <w:tc>
          <w:tcPr>
            <w:tcW w:w="0" w:type="auto"/>
            <w:hideMark/>
          </w:tcPr>
          <w:p w14:paraId="07CE2811" w14:textId="77777777" w:rsidR="00000000" w:rsidRDefault="00EB4933">
            <w:pPr>
              <w:jc w:val="both"/>
              <w:rPr>
                <w:rFonts w:eastAsia="Times New Roman"/>
                <w:sz w:val="20"/>
                <w:szCs w:val="20"/>
              </w:rPr>
            </w:pPr>
            <w:r>
              <w:rPr>
                <w:rFonts w:eastAsia="Times New Roman"/>
                <w:sz w:val="20"/>
                <w:szCs w:val="20"/>
              </w:rPr>
              <w:t>Full lifetime expected credit loss, i.e. lifetime expected credit loss that result from all possible default events over the life of the financial instrument, (referred to as Stage 2 and Stage 3).</w:t>
            </w:r>
          </w:p>
        </w:tc>
      </w:tr>
    </w:tbl>
    <w:p w14:paraId="5CC5E1F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E7B91E9" w14:textId="77777777" w:rsidR="00000000" w:rsidRDefault="00EB4933">
      <w:pPr>
        <w:pStyle w:val="NormalWeb"/>
        <w:spacing w:before="0" w:beforeAutospacing="0" w:after="0" w:afterAutospacing="0"/>
        <w:ind w:left="1350"/>
        <w:jc w:val="both"/>
        <w:divId w:val="98525094"/>
        <w:rPr>
          <w:sz w:val="20"/>
          <w:szCs w:val="20"/>
        </w:rPr>
      </w:pPr>
      <w:r>
        <w:rPr>
          <w:sz w:val="20"/>
          <w:szCs w:val="20"/>
        </w:rPr>
        <w:t xml:space="preserve">A loss allowance for full lifetime expected credit loss </w:t>
      </w:r>
      <w:r>
        <w:rPr>
          <w:sz w:val="20"/>
          <w:szCs w:val="20"/>
        </w:rPr>
        <w:t>is required for a financial instrument if the credit risk on that financial instrument has increased significantly since initial recognition. For all other financial instruments, expected credit losses are measured at an amount equal to the 12-month expect</w:t>
      </w:r>
      <w:r>
        <w:rPr>
          <w:sz w:val="20"/>
          <w:szCs w:val="20"/>
        </w:rPr>
        <w:t xml:space="preserve">ed credit loss. </w:t>
      </w:r>
    </w:p>
    <w:p w14:paraId="559959CE"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77171C95" w14:textId="77777777" w:rsidR="00000000" w:rsidRDefault="00EB4933">
      <w:pPr>
        <w:pStyle w:val="NormalWeb"/>
        <w:spacing w:before="0" w:beforeAutospacing="0" w:after="0" w:afterAutospacing="0"/>
        <w:ind w:left="1350"/>
        <w:jc w:val="both"/>
        <w:divId w:val="98525094"/>
        <w:rPr>
          <w:sz w:val="20"/>
          <w:szCs w:val="20"/>
        </w:rPr>
      </w:pPr>
      <w:r>
        <w:rPr>
          <w:sz w:val="20"/>
          <w:szCs w:val="20"/>
        </w:rPr>
        <w:t xml:space="preserve">Expected credit losses are computed as unbiased, a probability-weighted estimate of the present value of credit losses. These are measured as the present value of the difference between the cash flows due to the Group under the contract </w:t>
      </w:r>
      <w:r>
        <w:rPr>
          <w:sz w:val="20"/>
          <w:szCs w:val="20"/>
        </w:rPr>
        <w:t>and the cash flows that the Group expects to receive by evaluating a range of reasonably possible outcomes, the time value of money, and considering all reasonable and supportable information including that which is forward-looking, discounted at the asset</w:t>
      </w:r>
      <w:r>
        <w:rPr>
          <w:sz w:val="20"/>
          <w:szCs w:val="20"/>
        </w:rPr>
        <w:t>’s effective interest rate.</w:t>
      </w:r>
    </w:p>
    <w:p w14:paraId="4CB07DC9"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29D65306" w14:textId="77777777" w:rsidR="00000000" w:rsidRDefault="00EB4933">
      <w:pPr>
        <w:pStyle w:val="NormalWeb"/>
        <w:spacing w:before="0" w:beforeAutospacing="0" w:after="0" w:afterAutospacing="0"/>
        <w:ind w:left="1350"/>
        <w:jc w:val="both"/>
        <w:divId w:val="98525094"/>
        <w:rPr>
          <w:sz w:val="20"/>
          <w:szCs w:val="20"/>
        </w:rPr>
      </w:pPr>
      <w:r>
        <w:rPr>
          <w:sz w:val="20"/>
          <w:szCs w:val="20"/>
        </w:rPr>
        <w:t xml:space="preserve">For Stage 1 and 2 loans, the estimate of expected cash shortfalls over the life time of the loans is determined by multiplying the probability of default (“PD”) with the loss given default (“LGD”). </w:t>
      </w:r>
    </w:p>
    <w:p w14:paraId="1E3BE034"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7A14E841" w14:textId="77777777" w:rsidR="00000000" w:rsidRDefault="00EB4933">
      <w:pPr>
        <w:pStyle w:val="NormalWeb"/>
        <w:spacing w:before="0" w:beforeAutospacing="0" w:after="0" w:afterAutospacing="0"/>
        <w:ind w:left="1350"/>
        <w:jc w:val="both"/>
        <w:divId w:val="98525094"/>
        <w:rPr>
          <w:sz w:val="20"/>
          <w:szCs w:val="20"/>
        </w:rPr>
      </w:pPr>
      <w:r>
        <w:rPr>
          <w:sz w:val="20"/>
          <w:szCs w:val="20"/>
        </w:rPr>
        <w:t>For credit-impaired finan</w:t>
      </w:r>
      <w:r>
        <w:rPr>
          <w:sz w:val="20"/>
          <w:szCs w:val="20"/>
        </w:rPr>
        <w:t>cial instruments (Stage 3 loans), the estimate of cash shortfalls may require the use of expert credit judgment. Cash shortfalls are discounted using the effective interest rate on the financial instrument as calculated at initial recognition.</w:t>
      </w:r>
    </w:p>
    <w:p w14:paraId="0F1EFCC1"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9281DF1" w14:textId="77777777">
        <w:trPr>
          <w:divId w:val="98525094"/>
          <w:trHeight w:val="225"/>
          <w:tblCellSpacing w:w="15" w:type="dxa"/>
        </w:trPr>
        <w:tc>
          <w:tcPr>
            <w:tcW w:w="0" w:type="auto"/>
            <w:vAlign w:val="center"/>
            <w:hideMark/>
          </w:tcPr>
          <w:p w14:paraId="32D32466" w14:textId="77777777" w:rsidR="00000000" w:rsidRDefault="00EB4933">
            <w:pPr>
              <w:rPr>
                <w:rFonts w:eastAsia="Times New Roman"/>
                <w:sz w:val="20"/>
                <w:szCs w:val="20"/>
              </w:rPr>
            </w:pPr>
            <w:r>
              <w:rPr>
                <w:rFonts w:eastAsia="Times New Roman"/>
                <w:sz w:val="20"/>
                <w:szCs w:val="20"/>
              </w:rPr>
              <w:t> </w:t>
            </w:r>
          </w:p>
        </w:tc>
      </w:tr>
      <w:tr w:rsidR="00000000" w14:paraId="1331FA16" w14:textId="77777777">
        <w:trPr>
          <w:divId w:val="98525094"/>
          <w:trHeight w:val="225"/>
          <w:tblCellSpacing w:w="15" w:type="dxa"/>
        </w:trPr>
        <w:tc>
          <w:tcPr>
            <w:tcW w:w="0" w:type="auto"/>
            <w:tcBorders>
              <w:bottom w:val="single" w:sz="6" w:space="0" w:color="000000"/>
            </w:tcBorders>
            <w:vAlign w:val="center"/>
            <w:hideMark/>
          </w:tcPr>
          <w:p w14:paraId="43118BEE" w14:textId="77777777" w:rsidR="00000000" w:rsidRDefault="00EB4933">
            <w:pPr>
              <w:jc w:val="center"/>
              <w:rPr>
                <w:rFonts w:eastAsia="Times New Roman"/>
                <w:sz w:val="20"/>
                <w:szCs w:val="20"/>
              </w:rPr>
            </w:pPr>
            <w:r>
              <w:rPr>
                <w:rFonts w:eastAsia="Times New Roman"/>
                <w:sz w:val="20"/>
                <w:szCs w:val="20"/>
              </w:rPr>
              <w:t>F-30</w:t>
            </w:r>
          </w:p>
        </w:tc>
      </w:tr>
      <w:tr w:rsidR="00000000" w14:paraId="50271CC7" w14:textId="77777777">
        <w:trPr>
          <w:divId w:val="98525094"/>
          <w:trHeight w:val="225"/>
          <w:tblCellSpacing w:w="15" w:type="dxa"/>
        </w:trPr>
        <w:tc>
          <w:tcPr>
            <w:tcW w:w="0" w:type="auto"/>
            <w:vAlign w:val="center"/>
            <w:hideMark/>
          </w:tcPr>
          <w:p w14:paraId="7F53E28C" w14:textId="77777777" w:rsidR="00000000" w:rsidRDefault="00EB4933">
            <w:pPr>
              <w:rPr>
                <w:rFonts w:eastAsia="Times New Roman"/>
                <w:sz w:val="20"/>
                <w:szCs w:val="20"/>
              </w:rPr>
            </w:pPr>
          </w:p>
        </w:tc>
      </w:tr>
      <w:tr w:rsidR="00000000" w14:paraId="045B40EC" w14:textId="77777777">
        <w:trPr>
          <w:divId w:val="98525094"/>
          <w:trHeight w:val="225"/>
          <w:tblCellSpacing w:w="15" w:type="dxa"/>
        </w:trPr>
        <w:tc>
          <w:tcPr>
            <w:tcW w:w="0" w:type="auto"/>
            <w:vAlign w:val="center"/>
            <w:hideMark/>
          </w:tcPr>
          <w:p w14:paraId="0787EB51" w14:textId="77777777" w:rsidR="00000000" w:rsidRDefault="00EB4933">
            <w:pPr>
              <w:rPr>
                <w:rFonts w:eastAsia="Times New Roman"/>
                <w:sz w:val="20"/>
                <w:szCs w:val="20"/>
              </w:rPr>
            </w:pPr>
            <w:hyperlink r:id="rId247" w:anchor="finindex" w:history="1">
              <w:r>
                <w:rPr>
                  <w:rStyle w:val="Hyperlink"/>
                  <w:rFonts w:eastAsia="Times New Roman"/>
                  <w:i/>
                  <w:iCs/>
                  <w:sz w:val="20"/>
                  <w:szCs w:val="20"/>
                </w:rPr>
                <w:t>Table of Contents</w:t>
              </w:r>
            </w:hyperlink>
          </w:p>
        </w:tc>
      </w:tr>
    </w:tbl>
    <w:p w14:paraId="3BD63D94"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2505382D"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5448CEEB"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0836EC89"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3E1CEB1B"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76745282" w14:textId="77777777" w:rsidR="00000000" w:rsidRDefault="00EB4933">
      <w:pPr>
        <w:pStyle w:val="NormalWeb"/>
        <w:spacing w:before="0" w:beforeAutospacing="0" w:after="0" w:afterAutospacing="0"/>
        <w:jc w:val="both"/>
        <w:divId w:val="98525094"/>
        <w:rPr>
          <w:sz w:val="20"/>
          <w:szCs w:val="20"/>
        </w:rPr>
      </w:pPr>
      <w:r>
        <w:rPr>
          <w:rStyle w:val="Strong"/>
          <w:sz w:val="20"/>
          <w:szCs w:val="20"/>
        </w:rPr>
        <w:t>2.8  Financial assets and financial liabilities (IFRS 9 –</w:t>
      </w:r>
      <w:r>
        <w:rPr>
          <w:rStyle w:val="Strong"/>
          <w:sz w:val="20"/>
          <w:szCs w:val="20"/>
        </w:rPr>
        <w:t xml:space="preserve"> 2018 and 2019 only) - continued</w:t>
      </w:r>
    </w:p>
    <w:p w14:paraId="678E2E0D"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0D701495" w14:textId="77777777">
        <w:trPr>
          <w:divId w:val="98525094"/>
          <w:trHeight w:val="225"/>
          <w:tblCellSpacing w:w="15" w:type="dxa"/>
        </w:trPr>
        <w:tc>
          <w:tcPr>
            <w:tcW w:w="200" w:type="pct"/>
            <w:vAlign w:val="center"/>
            <w:hideMark/>
          </w:tcPr>
          <w:p w14:paraId="5489870E"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3B0F183A" w14:textId="77777777" w:rsidR="00000000" w:rsidRDefault="00EB4933">
            <w:pPr>
              <w:pStyle w:val="NormalWeb"/>
              <w:spacing w:before="0" w:beforeAutospacing="0" w:after="0" w:afterAutospacing="0"/>
              <w:rPr>
                <w:sz w:val="20"/>
                <w:szCs w:val="20"/>
              </w:rPr>
            </w:pPr>
            <w:r>
              <w:rPr>
                <w:rStyle w:val="Strong"/>
                <w:sz w:val="20"/>
                <w:szCs w:val="20"/>
              </w:rPr>
              <w:t xml:space="preserve">v. </w:t>
            </w:r>
          </w:p>
        </w:tc>
        <w:tc>
          <w:tcPr>
            <w:tcW w:w="0" w:type="auto"/>
            <w:hideMark/>
          </w:tcPr>
          <w:p w14:paraId="4D213160" w14:textId="77777777" w:rsidR="00000000" w:rsidRDefault="00EB4933">
            <w:pPr>
              <w:rPr>
                <w:rFonts w:eastAsia="Times New Roman"/>
                <w:sz w:val="20"/>
                <w:szCs w:val="20"/>
              </w:rPr>
            </w:pPr>
            <w:r>
              <w:rPr>
                <w:rStyle w:val="Strong"/>
                <w:rFonts w:eastAsia="Times New Roman"/>
                <w:sz w:val="20"/>
                <w:szCs w:val="20"/>
              </w:rPr>
              <w:t>Identification and measurement of impairment – continued</w:t>
            </w:r>
          </w:p>
        </w:tc>
      </w:tr>
    </w:tbl>
    <w:p w14:paraId="1FD2506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26342B4" w14:textId="77777777" w:rsidR="00000000" w:rsidRDefault="00EB4933">
      <w:pPr>
        <w:pStyle w:val="NormalWeb"/>
        <w:spacing w:before="0" w:beforeAutospacing="0" w:after="0" w:afterAutospacing="0"/>
        <w:ind w:left="1350"/>
        <w:jc w:val="both"/>
        <w:divId w:val="98525094"/>
        <w:rPr>
          <w:sz w:val="20"/>
          <w:szCs w:val="20"/>
        </w:rPr>
      </w:pPr>
      <w:r>
        <w:rPr>
          <w:rStyle w:val="Strong"/>
          <w:sz w:val="20"/>
          <w:szCs w:val="20"/>
        </w:rPr>
        <w:t>Impairment measurement and recognition</w:t>
      </w:r>
    </w:p>
    <w:p w14:paraId="1502D194"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282EDA9B" w14:textId="77777777" w:rsidR="00000000" w:rsidRDefault="00EB4933">
      <w:pPr>
        <w:pStyle w:val="NormalWeb"/>
        <w:spacing w:before="0" w:beforeAutospacing="0" w:after="0" w:afterAutospacing="0"/>
        <w:ind w:left="1350"/>
        <w:jc w:val="both"/>
        <w:divId w:val="98525094"/>
        <w:rPr>
          <w:sz w:val="20"/>
          <w:szCs w:val="20"/>
        </w:rPr>
      </w:pPr>
      <w:r>
        <w:rPr>
          <w:sz w:val="20"/>
          <w:szCs w:val="20"/>
        </w:rPr>
        <w:t>The Company’</w:t>
      </w:r>
      <w:r>
        <w:rPr>
          <w:sz w:val="20"/>
          <w:szCs w:val="20"/>
        </w:rPr>
        <w:t>s initial contractual loan terms are within 12 months. For simplification purpose, for Stage 1 and Stage 2 loans, the Company recognized the expected credit losses for the lifetime of the loans.</w:t>
      </w:r>
    </w:p>
    <w:p w14:paraId="28853CDC"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1A7C8184" w14:textId="77777777" w:rsidR="00000000" w:rsidRDefault="00EB4933">
      <w:pPr>
        <w:pStyle w:val="NormalWeb"/>
        <w:spacing w:before="0" w:beforeAutospacing="0" w:after="0" w:afterAutospacing="0"/>
        <w:ind w:left="1350"/>
        <w:jc w:val="both"/>
        <w:divId w:val="98525094"/>
        <w:rPr>
          <w:sz w:val="20"/>
          <w:szCs w:val="20"/>
        </w:rPr>
      </w:pPr>
      <w:r>
        <w:rPr>
          <w:sz w:val="20"/>
          <w:szCs w:val="20"/>
        </w:rPr>
        <w:t xml:space="preserve">Stage 1: Expected credit losses are recognized at the time </w:t>
      </w:r>
      <w:r>
        <w:rPr>
          <w:sz w:val="20"/>
          <w:szCs w:val="20"/>
        </w:rPr>
        <w:t xml:space="preserve">of initial recognition of a financial instrument and represent the lifetime cash shortfalls arising from possible default events for the life of loan from the balance sheet date. Expected credit losses continue to be determined on this basis </w:t>
      </w:r>
      <w:r>
        <w:rPr>
          <w:sz w:val="20"/>
          <w:szCs w:val="20"/>
        </w:rPr>
        <w:lastRenderedPageBreak/>
        <w:t>until there is</w:t>
      </w:r>
      <w:r>
        <w:rPr>
          <w:sz w:val="20"/>
          <w:szCs w:val="20"/>
        </w:rPr>
        <w:t xml:space="preserve"> either a significant increase in the credit risk of an instrument or the instrument becomes credit-impaired.</w:t>
      </w:r>
    </w:p>
    <w:p w14:paraId="35816445"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3FF07133" w14:textId="77777777" w:rsidR="00000000" w:rsidRDefault="00EB4933">
      <w:pPr>
        <w:pStyle w:val="NormalWeb"/>
        <w:spacing w:before="0" w:beforeAutospacing="0" w:after="0" w:afterAutospacing="0"/>
        <w:ind w:left="1350"/>
        <w:jc w:val="both"/>
        <w:divId w:val="98525094"/>
        <w:rPr>
          <w:sz w:val="20"/>
          <w:szCs w:val="20"/>
        </w:rPr>
      </w:pPr>
      <w:r>
        <w:rPr>
          <w:sz w:val="20"/>
          <w:szCs w:val="20"/>
        </w:rPr>
        <w:t xml:space="preserve">Stage 2: If a financial asset experiences a significant increase in credit risk since initial recognition, an expected credit loss provision is </w:t>
      </w:r>
      <w:r>
        <w:rPr>
          <w:sz w:val="20"/>
          <w:szCs w:val="20"/>
        </w:rPr>
        <w:t>recognized for default events that may occur over the lifetime of the asset. Significant increase in credit risk is assessed by comparing the risk of default of an exposure at the reporting date to the risk of default at origination (after taking into acco</w:t>
      </w:r>
      <w:r>
        <w:rPr>
          <w:sz w:val="20"/>
          <w:szCs w:val="20"/>
        </w:rPr>
        <w:t>unt the passage of time). Significant does not mean statistically significant nor is it assessed in the context of changes in expected credit loss. Whether a change in the risk of default is significant or not is assessed using a number of quantitative and</w:t>
      </w:r>
      <w:r>
        <w:rPr>
          <w:sz w:val="20"/>
          <w:szCs w:val="20"/>
        </w:rPr>
        <w:t xml:space="preserve"> qualitative factors, the weight of which depends on the type of product and counterparty. Financial assets that are 30 or more days past due and not credit-impaired will always be considered to have experienced a significant increase in credit risk. </w:t>
      </w:r>
    </w:p>
    <w:p w14:paraId="06338BF8"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028D65CA" w14:textId="77777777" w:rsidR="00000000" w:rsidRDefault="00EB4933">
      <w:pPr>
        <w:pStyle w:val="NormalWeb"/>
        <w:spacing w:before="0" w:beforeAutospacing="0" w:after="0" w:afterAutospacing="0"/>
        <w:ind w:left="1350"/>
        <w:jc w:val="both"/>
        <w:divId w:val="98525094"/>
        <w:rPr>
          <w:sz w:val="20"/>
          <w:szCs w:val="20"/>
        </w:rPr>
      </w:pPr>
      <w:r>
        <w:rPr>
          <w:sz w:val="20"/>
          <w:szCs w:val="20"/>
        </w:rPr>
        <w:t>St</w:t>
      </w:r>
      <w:r>
        <w:rPr>
          <w:sz w:val="20"/>
          <w:szCs w:val="20"/>
        </w:rPr>
        <w:t>age 3: Financial assets that are credit-impaired (or in default) represent those that are past due more than the historical average collection period for past due loans, but not to exceed the original contractual loan terms. Financial assets are also consi</w:t>
      </w:r>
      <w:r>
        <w:rPr>
          <w:sz w:val="20"/>
          <w:szCs w:val="20"/>
        </w:rPr>
        <w:t>dered to be credit-impaired where the obligors are unlikely to pay on the occurrence of one or more observable events that have a detrimental impact on the estimated future cash flows of the financial asset. It may not be possible to identify a single disc</w:t>
      </w:r>
      <w:r>
        <w:rPr>
          <w:sz w:val="20"/>
          <w:szCs w:val="20"/>
        </w:rPr>
        <w:t>rete event but instead the combined effect of several events may cause financial assets to become credit-impaired.</w:t>
      </w:r>
    </w:p>
    <w:p w14:paraId="0586AECF"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1AECE610" w14:textId="77777777" w:rsidR="00000000" w:rsidRDefault="00EB4933">
      <w:pPr>
        <w:pStyle w:val="NormalWeb"/>
        <w:spacing w:before="0" w:beforeAutospacing="0" w:after="0" w:afterAutospacing="0"/>
        <w:ind w:left="1350"/>
        <w:jc w:val="both"/>
        <w:divId w:val="98525094"/>
        <w:rPr>
          <w:sz w:val="20"/>
          <w:szCs w:val="20"/>
        </w:rPr>
      </w:pPr>
      <w:r>
        <w:rPr>
          <w:sz w:val="20"/>
          <w:szCs w:val="20"/>
        </w:rPr>
        <w:t xml:space="preserve">Loss provisions against credit-impaired financial assets are determined based on an assessment of the recoverable cash flows under a range </w:t>
      </w:r>
      <w:r>
        <w:rPr>
          <w:sz w:val="20"/>
          <w:szCs w:val="20"/>
        </w:rPr>
        <w:t>of scenarios, including the realization of any collateral held where appropriate. The loss provisions held represent the difference between the present value of the cash flows expected to be recovered, discounted at the instrument’s original effective inte</w:t>
      </w:r>
      <w:r>
        <w:rPr>
          <w:sz w:val="20"/>
          <w:szCs w:val="20"/>
        </w:rPr>
        <w:t>rest rate, and the gross carrying value of the instrument prior to any credit impairment.</w:t>
      </w:r>
    </w:p>
    <w:p w14:paraId="0D42BA64"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13C90D9" w14:textId="77777777">
        <w:trPr>
          <w:divId w:val="98525094"/>
          <w:trHeight w:val="225"/>
          <w:tblCellSpacing w:w="15" w:type="dxa"/>
        </w:trPr>
        <w:tc>
          <w:tcPr>
            <w:tcW w:w="0" w:type="auto"/>
            <w:vAlign w:val="center"/>
            <w:hideMark/>
          </w:tcPr>
          <w:p w14:paraId="53F5369A" w14:textId="77777777" w:rsidR="00000000" w:rsidRDefault="00EB4933">
            <w:pPr>
              <w:rPr>
                <w:rFonts w:eastAsia="Times New Roman"/>
                <w:sz w:val="20"/>
                <w:szCs w:val="20"/>
              </w:rPr>
            </w:pPr>
            <w:r>
              <w:rPr>
                <w:rFonts w:eastAsia="Times New Roman"/>
                <w:sz w:val="20"/>
                <w:szCs w:val="20"/>
              </w:rPr>
              <w:t> </w:t>
            </w:r>
          </w:p>
        </w:tc>
      </w:tr>
      <w:tr w:rsidR="00000000" w14:paraId="4D1B0E3F" w14:textId="77777777">
        <w:trPr>
          <w:divId w:val="98525094"/>
          <w:trHeight w:val="225"/>
          <w:tblCellSpacing w:w="15" w:type="dxa"/>
        </w:trPr>
        <w:tc>
          <w:tcPr>
            <w:tcW w:w="0" w:type="auto"/>
            <w:tcBorders>
              <w:bottom w:val="single" w:sz="6" w:space="0" w:color="000000"/>
            </w:tcBorders>
            <w:vAlign w:val="center"/>
            <w:hideMark/>
          </w:tcPr>
          <w:p w14:paraId="0B8D7701" w14:textId="77777777" w:rsidR="00000000" w:rsidRDefault="00EB4933">
            <w:pPr>
              <w:jc w:val="center"/>
              <w:rPr>
                <w:rFonts w:eastAsia="Times New Roman"/>
                <w:sz w:val="20"/>
                <w:szCs w:val="20"/>
              </w:rPr>
            </w:pPr>
            <w:r>
              <w:rPr>
                <w:rFonts w:eastAsia="Times New Roman"/>
                <w:sz w:val="20"/>
                <w:szCs w:val="20"/>
              </w:rPr>
              <w:t>F-31</w:t>
            </w:r>
          </w:p>
        </w:tc>
      </w:tr>
      <w:tr w:rsidR="00000000" w14:paraId="37687A6A" w14:textId="77777777">
        <w:trPr>
          <w:divId w:val="98525094"/>
          <w:trHeight w:val="225"/>
          <w:tblCellSpacing w:w="15" w:type="dxa"/>
        </w:trPr>
        <w:tc>
          <w:tcPr>
            <w:tcW w:w="0" w:type="auto"/>
            <w:vAlign w:val="center"/>
            <w:hideMark/>
          </w:tcPr>
          <w:p w14:paraId="21FE64A9" w14:textId="77777777" w:rsidR="00000000" w:rsidRDefault="00EB4933">
            <w:pPr>
              <w:rPr>
                <w:rFonts w:eastAsia="Times New Roman"/>
                <w:sz w:val="20"/>
                <w:szCs w:val="20"/>
              </w:rPr>
            </w:pPr>
          </w:p>
        </w:tc>
      </w:tr>
      <w:tr w:rsidR="00000000" w14:paraId="6307ACEE" w14:textId="77777777">
        <w:trPr>
          <w:divId w:val="98525094"/>
          <w:trHeight w:val="225"/>
          <w:tblCellSpacing w:w="15" w:type="dxa"/>
        </w:trPr>
        <w:tc>
          <w:tcPr>
            <w:tcW w:w="0" w:type="auto"/>
            <w:vAlign w:val="center"/>
            <w:hideMark/>
          </w:tcPr>
          <w:p w14:paraId="3E2D183D" w14:textId="77777777" w:rsidR="00000000" w:rsidRDefault="00EB4933">
            <w:pPr>
              <w:rPr>
                <w:rFonts w:eastAsia="Times New Roman"/>
                <w:sz w:val="20"/>
                <w:szCs w:val="20"/>
              </w:rPr>
            </w:pPr>
            <w:hyperlink r:id="rId248" w:anchor="finindex" w:history="1">
              <w:r>
                <w:rPr>
                  <w:rStyle w:val="Hyperlink"/>
                  <w:rFonts w:eastAsia="Times New Roman"/>
                  <w:i/>
                  <w:iCs/>
                  <w:sz w:val="20"/>
                  <w:szCs w:val="20"/>
                </w:rPr>
                <w:t>Table of Contents</w:t>
              </w:r>
            </w:hyperlink>
          </w:p>
        </w:tc>
      </w:tr>
    </w:tbl>
    <w:p w14:paraId="38821F52"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72F8661A"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3E71E111"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31D41920"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30D4B332"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6AEB6572"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2.8 Financial assets and financial liabilities (IAS 39 – prior period only) </w:t>
      </w:r>
    </w:p>
    <w:p w14:paraId="639FAFE9"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59102D45" w14:textId="77777777">
        <w:trPr>
          <w:divId w:val="98525094"/>
          <w:trHeight w:val="225"/>
          <w:tblCellSpacing w:w="15" w:type="dxa"/>
        </w:trPr>
        <w:tc>
          <w:tcPr>
            <w:tcW w:w="200" w:type="pct"/>
            <w:vAlign w:val="center"/>
            <w:hideMark/>
          </w:tcPr>
          <w:p w14:paraId="002C7443"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4474D00F" w14:textId="77777777" w:rsidR="00000000" w:rsidRDefault="00EB4933">
            <w:pPr>
              <w:pStyle w:val="NormalWeb"/>
              <w:spacing w:before="0" w:beforeAutospacing="0" w:after="0" w:afterAutospacing="0"/>
              <w:rPr>
                <w:sz w:val="20"/>
                <w:szCs w:val="20"/>
              </w:rPr>
            </w:pPr>
            <w:r>
              <w:rPr>
                <w:rStyle w:val="Strong"/>
                <w:sz w:val="20"/>
                <w:szCs w:val="20"/>
              </w:rPr>
              <w:t xml:space="preserve">i. </w:t>
            </w:r>
          </w:p>
        </w:tc>
        <w:tc>
          <w:tcPr>
            <w:tcW w:w="0" w:type="auto"/>
            <w:hideMark/>
          </w:tcPr>
          <w:p w14:paraId="505E9F40" w14:textId="77777777" w:rsidR="00000000" w:rsidRDefault="00EB4933">
            <w:pPr>
              <w:rPr>
                <w:rFonts w:eastAsia="Times New Roman"/>
                <w:sz w:val="20"/>
                <w:szCs w:val="20"/>
              </w:rPr>
            </w:pPr>
            <w:r>
              <w:rPr>
                <w:rStyle w:val="Strong"/>
                <w:rFonts w:eastAsia="Times New Roman"/>
                <w:sz w:val="20"/>
                <w:szCs w:val="20"/>
              </w:rPr>
              <w:t>Recognition</w:t>
            </w:r>
          </w:p>
        </w:tc>
      </w:tr>
    </w:tbl>
    <w:p w14:paraId="5CA593C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723C9E2" w14:textId="77777777" w:rsidR="00000000" w:rsidRDefault="00EB4933">
      <w:pPr>
        <w:pStyle w:val="NormalWeb"/>
        <w:spacing w:before="0" w:beforeAutospacing="0" w:after="0" w:afterAutospacing="0"/>
        <w:ind w:left="1350"/>
        <w:jc w:val="both"/>
        <w:divId w:val="98525094"/>
        <w:rPr>
          <w:sz w:val="20"/>
          <w:szCs w:val="20"/>
        </w:rPr>
      </w:pPr>
      <w:r>
        <w:rPr>
          <w:sz w:val="20"/>
          <w:szCs w:val="20"/>
        </w:rPr>
        <w:t>The Group initially recognizes loans and borrowings on th</w:t>
      </w:r>
      <w:r>
        <w:rPr>
          <w:sz w:val="20"/>
          <w:szCs w:val="20"/>
        </w:rPr>
        <w:t xml:space="preserve">e date on which they are originated. </w:t>
      </w:r>
    </w:p>
    <w:p w14:paraId="1304B59A"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36B787E6" w14:textId="77777777" w:rsidR="00000000" w:rsidRDefault="00EB4933">
      <w:pPr>
        <w:pStyle w:val="NormalWeb"/>
        <w:spacing w:before="0" w:beforeAutospacing="0" w:after="0" w:afterAutospacing="0"/>
        <w:ind w:left="1350"/>
        <w:jc w:val="both"/>
        <w:divId w:val="98525094"/>
        <w:rPr>
          <w:sz w:val="20"/>
          <w:szCs w:val="20"/>
        </w:rPr>
      </w:pPr>
      <w:r>
        <w:rPr>
          <w:sz w:val="20"/>
          <w:szCs w:val="20"/>
        </w:rPr>
        <w:t>A financial asset or financial liability is measured initially at fair value plus transaction costs that are directly attributable to its acquisition or issue.</w:t>
      </w:r>
    </w:p>
    <w:p w14:paraId="39E549D0"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7810BCA4" w14:textId="77777777">
        <w:trPr>
          <w:divId w:val="98525094"/>
          <w:trHeight w:val="225"/>
          <w:tblCellSpacing w:w="15" w:type="dxa"/>
        </w:trPr>
        <w:tc>
          <w:tcPr>
            <w:tcW w:w="200" w:type="pct"/>
            <w:vAlign w:val="center"/>
            <w:hideMark/>
          </w:tcPr>
          <w:p w14:paraId="2C4D8070"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3445144B" w14:textId="77777777" w:rsidR="00000000" w:rsidRDefault="00EB4933">
            <w:pPr>
              <w:pStyle w:val="NormalWeb"/>
              <w:spacing w:before="0" w:beforeAutospacing="0" w:after="0" w:afterAutospacing="0"/>
              <w:rPr>
                <w:sz w:val="20"/>
                <w:szCs w:val="20"/>
              </w:rPr>
            </w:pPr>
            <w:r>
              <w:rPr>
                <w:rStyle w:val="Strong"/>
                <w:sz w:val="20"/>
                <w:szCs w:val="20"/>
              </w:rPr>
              <w:t xml:space="preserve">ii. </w:t>
            </w:r>
          </w:p>
        </w:tc>
        <w:tc>
          <w:tcPr>
            <w:tcW w:w="0" w:type="auto"/>
            <w:hideMark/>
          </w:tcPr>
          <w:p w14:paraId="59283F49" w14:textId="77777777" w:rsidR="00000000" w:rsidRDefault="00EB4933">
            <w:pPr>
              <w:rPr>
                <w:rFonts w:eastAsia="Times New Roman"/>
                <w:sz w:val="20"/>
                <w:szCs w:val="20"/>
              </w:rPr>
            </w:pPr>
            <w:r>
              <w:rPr>
                <w:rStyle w:val="Strong"/>
                <w:rFonts w:eastAsia="Times New Roman"/>
                <w:sz w:val="20"/>
                <w:szCs w:val="20"/>
              </w:rPr>
              <w:t>Classification</w:t>
            </w:r>
          </w:p>
        </w:tc>
      </w:tr>
    </w:tbl>
    <w:p w14:paraId="3521D9B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EA9F7F3" w14:textId="77777777" w:rsidR="00000000" w:rsidRDefault="00EB4933">
      <w:pPr>
        <w:pStyle w:val="NormalWeb"/>
        <w:spacing w:before="0" w:beforeAutospacing="0" w:after="0" w:afterAutospacing="0"/>
        <w:ind w:left="1350"/>
        <w:jc w:val="both"/>
        <w:divId w:val="98525094"/>
        <w:rPr>
          <w:sz w:val="20"/>
          <w:szCs w:val="20"/>
        </w:rPr>
      </w:pPr>
      <w:r>
        <w:rPr>
          <w:sz w:val="20"/>
          <w:szCs w:val="20"/>
        </w:rPr>
        <w:t>Financial assets</w:t>
      </w:r>
    </w:p>
    <w:p w14:paraId="099A2782"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79EA4E03" w14:textId="77777777" w:rsidR="00000000" w:rsidRDefault="00EB4933">
      <w:pPr>
        <w:pStyle w:val="NormalWeb"/>
        <w:spacing w:before="0" w:beforeAutospacing="0" w:after="0" w:afterAutospacing="0"/>
        <w:ind w:left="1350"/>
        <w:jc w:val="both"/>
        <w:divId w:val="98525094"/>
        <w:rPr>
          <w:sz w:val="20"/>
          <w:szCs w:val="20"/>
        </w:rPr>
      </w:pPr>
      <w:r>
        <w:rPr>
          <w:sz w:val="20"/>
          <w:szCs w:val="20"/>
        </w:rPr>
        <w:t>The Group classifies its financial assets into loa</w:t>
      </w:r>
      <w:r>
        <w:rPr>
          <w:sz w:val="20"/>
          <w:szCs w:val="20"/>
        </w:rPr>
        <w:t>ns and receivables.</w:t>
      </w:r>
    </w:p>
    <w:p w14:paraId="2CBFB43D"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51725868" w14:textId="77777777" w:rsidR="00000000" w:rsidRDefault="00EB4933">
      <w:pPr>
        <w:pStyle w:val="NormalWeb"/>
        <w:spacing w:before="0" w:beforeAutospacing="0" w:after="0" w:afterAutospacing="0"/>
        <w:ind w:left="1350"/>
        <w:jc w:val="both"/>
        <w:divId w:val="98525094"/>
        <w:rPr>
          <w:sz w:val="20"/>
          <w:szCs w:val="20"/>
        </w:rPr>
      </w:pPr>
      <w:r>
        <w:rPr>
          <w:sz w:val="20"/>
          <w:szCs w:val="20"/>
        </w:rPr>
        <w:t>Financial liabilities</w:t>
      </w:r>
    </w:p>
    <w:p w14:paraId="2AB67C3A"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35C88CDF" w14:textId="77777777" w:rsidR="00000000" w:rsidRDefault="00EB4933">
      <w:pPr>
        <w:pStyle w:val="NormalWeb"/>
        <w:spacing w:before="0" w:beforeAutospacing="0" w:after="0" w:afterAutospacing="0"/>
        <w:ind w:left="1350"/>
        <w:jc w:val="both"/>
        <w:divId w:val="98525094"/>
        <w:rPr>
          <w:sz w:val="20"/>
          <w:szCs w:val="20"/>
        </w:rPr>
      </w:pPr>
      <w:r>
        <w:rPr>
          <w:sz w:val="20"/>
          <w:szCs w:val="20"/>
        </w:rPr>
        <w:t>The Group classifies its financial liabilities as measured at amortized cost.</w:t>
      </w:r>
    </w:p>
    <w:p w14:paraId="69D10BA5"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4CB9C140" w14:textId="77777777">
        <w:trPr>
          <w:divId w:val="98525094"/>
          <w:trHeight w:val="225"/>
          <w:tblCellSpacing w:w="15" w:type="dxa"/>
        </w:trPr>
        <w:tc>
          <w:tcPr>
            <w:tcW w:w="200" w:type="pct"/>
            <w:vAlign w:val="center"/>
            <w:hideMark/>
          </w:tcPr>
          <w:p w14:paraId="13B8A178" w14:textId="77777777" w:rsidR="00000000" w:rsidRDefault="00EB4933">
            <w:pPr>
              <w:pStyle w:val="NormalWeb"/>
              <w:spacing w:before="0" w:beforeAutospacing="0" w:after="0" w:afterAutospacing="0"/>
              <w:rPr>
                <w:sz w:val="20"/>
                <w:szCs w:val="20"/>
              </w:rPr>
            </w:pPr>
            <w:r>
              <w:rPr>
                <w:sz w:val="20"/>
                <w:szCs w:val="20"/>
              </w:rPr>
              <w:lastRenderedPageBreak/>
              <w:t> </w:t>
            </w:r>
          </w:p>
        </w:tc>
        <w:tc>
          <w:tcPr>
            <w:tcW w:w="200" w:type="pct"/>
            <w:hideMark/>
          </w:tcPr>
          <w:p w14:paraId="2D173AFB" w14:textId="77777777" w:rsidR="00000000" w:rsidRDefault="00EB4933">
            <w:pPr>
              <w:pStyle w:val="NormalWeb"/>
              <w:spacing w:before="0" w:beforeAutospacing="0" w:after="0" w:afterAutospacing="0"/>
              <w:rPr>
                <w:sz w:val="20"/>
                <w:szCs w:val="20"/>
              </w:rPr>
            </w:pPr>
            <w:r>
              <w:rPr>
                <w:rStyle w:val="Strong"/>
                <w:sz w:val="20"/>
                <w:szCs w:val="20"/>
              </w:rPr>
              <w:t xml:space="preserve">iii. </w:t>
            </w:r>
          </w:p>
        </w:tc>
        <w:tc>
          <w:tcPr>
            <w:tcW w:w="0" w:type="auto"/>
            <w:hideMark/>
          </w:tcPr>
          <w:p w14:paraId="6F3E8679" w14:textId="77777777" w:rsidR="00000000" w:rsidRDefault="00EB4933">
            <w:pPr>
              <w:rPr>
                <w:rFonts w:eastAsia="Times New Roman"/>
                <w:sz w:val="20"/>
                <w:szCs w:val="20"/>
              </w:rPr>
            </w:pPr>
            <w:r>
              <w:rPr>
                <w:rStyle w:val="Strong"/>
                <w:rFonts w:eastAsia="Times New Roman"/>
                <w:sz w:val="20"/>
                <w:szCs w:val="20"/>
              </w:rPr>
              <w:t>Derecognition</w:t>
            </w:r>
          </w:p>
        </w:tc>
      </w:tr>
    </w:tbl>
    <w:p w14:paraId="0D37804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541F1D3" w14:textId="77777777" w:rsidR="00000000" w:rsidRDefault="00EB4933">
      <w:pPr>
        <w:pStyle w:val="NormalWeb"/>
        <w:spacing w:before="0" w:beforeAutospacing="0" w:after="0" w:afterAutospacing="0"/>
        <w:ind w:left="1350"/>
        <w:jc w:val="both"/>
        <w:divId w:val="98525094"/>
        <w:rPr>
          <w:sz w:val="20"/>
          <w:szCs w:val="20"/>
        </w:rPr>
      </w:pPr>
      <w:r>
        <w:rPr>
          <w:sz w:val="20"/>
          <w:szCs w:val="20"/>
        </w:rPr>
        <w:t>Financial assets</w:t>
      </w:r>
    </w:p>
    <w:p w14:paraId="6DE6FC0C"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516054BD" w14:textId="77777777" w:rsidR="00000000" w:rsidRDefault="00EB4933">
      <w:pPr>
        <w:pStyle w:val="NormalWeb"/>
        <w:spacing w:before="0" w:beforeAutospacing="0" w:after="0" w:afterAutospacing="0"/>
        <w:ind w:left="1350"/>
        <w:jc w:val="both"/>
        <w:divId w:val="98525094"/>
        <w:rPr>
          <w:sz w:val="20"/>
          <w:szCs w:val="20"/>
        </w:rPr>
      </w:pPr>
      <w:r>
        <w:rPr>
          <w:sz w:val="20"/>
          <w:szCs w:val="20"/>
        </w:rPr>
        <w:t>The Group derecognizes a financial asset when the contractual rights to the cash flows from the financial asset expire, or it transfers the rights to receive the contractual cash flows in a transaction in which substantially all of the risks and rewards of</w:t>
      </w:r>
      <w:r>
        <w:rPr>
          <w:sz w:val="20"/>
          <w:szCs w:val="20"/>
        </w:rPr>
        <w:t xml:space="preserve"> ownership of the financial asset are transferred or in which the Group neither transfers nor retains substantially all of the risks and rewards of ownership and it does not retain control of the financial asset.</w:t>
      </w:r>
    </w:p>
    <w:p w14:paraId="779FC494"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47454D83" w14:textId="77777777" w:rsidR="00000000" w:rsidRDefault="00EB4933">
      <w:pPr>
        <w:pStyle w:val="NormalWeb"/>
        <w:spacing w:before="0" w:beforeAutospacing="0" w:after="0" w:afterAutospacing="0"/>
        <w:ind w:left="1350"/>
        <w:jc w:val="both"/>
        <w:divId w:val="98525094"/>
        <w:rPr>
          <w:sz w:val="20"/>
          <w:szCs w:val="20"/>
        </w:rPr>
      </w:pPr>
      <w:r>
        <w:rPr>
          <w:sz w:val="20"/>
          <w:szCs w:val="20"/>
        </w:rPr>
        <w:t>In transactions in which the Group neithe</w:t>
      </w:r>
      <w:r>
        <w:rPr>
          <w:sz w:val="20"/>
          <w:szCs w:val="20"/>
        </w:rPr>
        <w:t xml:space="preserve">r retains or transfers substantially all of the risks and rewards of ownership of a financial asset and its retains control over the asset, the Group continues to recognize the asset to the extent of its continuing involvement, determined by the extent to </w:t>
      </w:r>
      <w:r>
        <w:rPr>
          <w:sz w:val="20"/>
          <w:szCs w:val="20"/>
        </w:rPr>
        <w:t>which its is exposed to changes in the value of the transferred asset.</w:t>
      </w:r>
    </w:p>
    <w:p w14:paraId="48BB7C39"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5B99642E" w14:textId="77777777" w:rsidR="00000000" w:rsidRDefault="00EB4933">
      <w:pPr>
        <w:pStyle w:val="NormalWeb"/>
        <w:spacing w:before="0" w:beforeAutospacing="0" w:after="0" w:afterAutospacing="0"/>
        <w:ind w:left="1350"/>
        <w:jc w:val="both"/>
        <w:divId w:val="98525094"/>
        <w:rPr>
          <w:sz w:val="20"/>
          <w:szCs w:val="20"/>
        </w:rPr>
      </w:pPr>
      <w:r>
        <w:rPr>
          <w:sz w:val="20"/>
          <w:szCs w:val="20"/>
        </w:rPr>
        <w:t>Financial liabilities</w:t>
      </w:r>
    </w:p>
    <w:p w14:paraId="26A531DF"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2A7706D7" w14:textId="77777777" w:rsidR="00000000" w:rsidRDefault="00EB4933">
      <w:pPr>
        <w:pStyle w:val="NormalWeb"/>
        <w:spacing w:before="0" w:beforeAutospacing="0" w:after="0" w:afterAutospacing="0"/>
        <w:ind w:left="1350"/>
        <w:jc w:val="both"/>
        <w:divId w:val="98525094"/>
        <w:rPr>
          <w:sz w:val="20"/>
          <w:szCs w:val="20"/>
        </w:rPr>
      </w:pPr>
      <w:r>
        <w:rPr>
          <w:sz w:val="20"/>
          <w:szCs w:val="20"/>
        </w:rPr>
        <w:t>The Group derecognizes a financial liability when its contractual obligations are discharged or cancelled, or expire.</w:t>
      </w:r>
    </w:p>
    <w:p w14:paraId="334E1CE1"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08272895" w14:textId="77777777">
        <w:trPr>
          <w:divId w:val="98525094"/>
          <w:trHeight w:val="225"/>
          <w:tblCellSpacing w:w="15" w:type="dxa"/>
        </w:trPr>
        <w:tc>
          <w:tcPr>
            <w:tcW w:w="200" w:type="pct"/>
            <w:vAlign w:val="center"/>
            <w:hideMark/>
          </w:tcPr>
          <w:p w14:paraId="56B6B51C"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3A4ED70D" w14:textId="77777777" w:rsidR="00000000" w:rsidRDefault="00EB4933">
            <w:pPr>
              <w:pStyle w:val="NormalWeb"/>
              <w:spacing w:before="0" w:beforeAutospacing="0" w:after="0" w:afterAutospacing="0"/>
              <w:rPr>
                <w:sz w:val="20"/>
                <w:szCs w:val="20"/>
              </w:rPr>
            </w:pPr>
            <w:r>
              <w:rPr>
                <w:rStyle w:val="Strong"/>
                <w:sz w:val="20"/>
                <w:szCs w:val="20"/>
              </w:rPr>
              <w:t xml:space="preserve">iv. </w:t>
            </w:r>
          </w:p>
        </w:tc>
        <w:tc>
          <w:tcPr>
            <w:tcW w:w="0" w:type="auto"/>
            <w:hideMark/>
          </w:tcPr>
          <w:p w14:paraId="7D9CEC6E" w14:textId="77777777" w:rsidR="00000000" w:rsidRDefault="00EB4933">
            <w:pPr>
              <w:rPr>
                <w:rFonts w:eastAsia="Times New Roman"/>
                <w:sz w:val="20"/>
                <w:szCs w:val="20"/>
              </w:rPr>
            </w:pPr>
            <w:r>
              <w:rPr>
                <w:rStyle w:val="Strong"/>
                <w:rFonts w:eastAsia="Times New Roman"/>
                <w:sz w:val="20"/>
                <w:szCs w:val="20"/>
              </w:rPr>
              <w:t>Amortized cost measurement</w:t>
            </w:r>
          </w:p>
        </w:tc>
      </w:tr>
    </w:tbl>
    <w:p w14:paraId="614C8FE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1397E76" w14:textId="77777777" w:rsidR="00000000" w:rsidRDefault="00EB4933">
      <w:pPr>
        <w:pStyle w:val="NormalWeb"/>
        <w:spacing w:before="0" w:beforeAutospacing="0" w:after="0" w:afterAutospacing="0"/>
        <w:ind w:left="1350"/>
        <w:jc w:val="both"/>
        <w:divId w:val="98525094"/>
        <w:rPr>
          <w:sz w:val="20"/>
          <w:szCs w:val="20"/>
        </w:rPr>
      </w:pPr>
      <w:r>
        <w:rPr>
          <w:sz w:val="20"/>
          <w:szCs w:val="20"/>
        </w:rPr>
        <w:t>Th</w:t>
      </w:r>
      <w:r>
        <w:rPr>
          <w:sz w:val="20"/>
          <w:szCs w:val="20"/>
        </w:rPr>
        <w:t>e “amortized cost” of a financial asset or financial liability is the amount at which the financial asset or financial liability is measured at initial recognition, minus principal repayments, plus or minus the cumulative amortization using the effective i</w:t>
      </w:r>
      <w:r>
        <w:rPr>
          <w:sz w:val="20"/>
          <w:szCs w:val="20"/>
        </w:rPr>
        <w:t>nterest method of any difference between the initial amount recognized and the maturity amount, minus any reduction for impairment.</w:t>
      </w:r>
    </w:p>
    <w:p w14:paraId="25B56423"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10046B8" w14:textId="77777777">
        <w:trPr>
          <w:divId w:val="98525094"/>
          <w:trHeight w:val="225"/>
          <w:tblCellSpacing w:w="15" w:type="dxa"/>
        </w:trPr>
        <w:tc>
          <w:tcPr>
            <w:tcW w:w="0" w:type="auto"/>
            <w:vAlign w:val="center"/>
            <w:hideMark/>
          </w:tcPr>
          <w:p w14:paraId="3ACF6270" w14:textId="77777777" w:rsidR="00000000" w:rsidRDefault="00EB4933">
            <w:pPr>
              <w:rPr>
                <w:rFonts w:eastAsia="Times New Roman"/>
                <w:sz w:val="20"/>
                <w:szCs w:val="20"/>
              </w:rPr>
            </w:pPr>
            <w:r>
              <w:rPr>
                <w:rFonts w:eastAsia="Times New Roman"/>
                <w:sz w:val="20"/>
                <w:szCs w:val="20"/>
              </w:rPr>
              <w:t> </w:t>
            </w:r>
          </w:p>
        </w:tc>
      </w:tr>
      <w:tr w:rsidR="00000000" w14:paraId="6CD4FEFF" w14:textId="77777777">
        <w:trPr>
          <w:divId w:val="98525094"/>
          <w:trHeight w:val="225"/>
          <w:tblCellSpacing w:w="15" w:type="dxa"/>
        </w:trPr>
        <w:tc>
          <w:tcPr>
            <w:tcW w:w="0" w:type="auto"/>
            <w:tcBorders>
              <w:bottom w:val="single" w:sz="6" w:space="0" w:color="000000"/>
            </w:tcBorders>
            <w:vAlign w:val="center"/>
            <w:hideMark/>
          </w:tcPr>
          <w:p w14:paraId="42A5C720" w14:textId="77777777" w:rsidR="00000000" w:rsidRDefault="00EB4933">
            <w:pPr>
              <w:jc w:val="center"/>
              <w:rPr>
                <w:rFonts w:eastAsia="Times New Roman"/>
                <w:sz w:val="20"/>
                <w:szCs w:val="20"/>
              </w:rPr>
            </w:pPr>
            <w:r>
              <w:rPr>
                <w:rFonts w:eastAsia="Times New Roman"/>
                <w:sz w:val="20"/>
                <w:szCs w:val="20"/>
              </w:rPr>
              <w:t>F-32</w:t>
            </w:r>
          </w:p>
        </w:tc>
      </w:tr>
      <w:tr w:rsidR="00000000" w14:paraId="4BB27418" w14:textId="77777777">
        <w:trPr>
          <w:divId w:val="98525094"/>
          <w:trHeight w:val="225"/>
          <w:tblCellSpacing w:w="15" w:type="dxa"/>
        </w:trPr>
        <w:tc>
          <w:tcPr>
            <w:tcW w:w="0" w:type="auto"/>
            <w:vAlign w:val="center"/>
            <w:hideMark/>
          </w:tcPr>
          <w:p w14:paraId="42477DD0" w14:textId="77777777" w:rsidR="00000000" w:rsidRDefault="00EB4933">
            <w:pPr>
              <w:rPr>
                <w:rFonts w:eastAsia="Times New Roman"/>
                <w:sz w:val="20"/>
                <w:szCs w:val="20"/>
              </w:rPr>
            </w:pPr>
          </w:p>
        </w:tc>
      </w:tr>
      <w:tr w:rsidR="00000000" w14:paraId="1F2FB670" w14:textId="77777777">
        <w:trPr>
          <w:divId w:val="98525094"/>
          <w:trHeight w:val="225"/>
          <w:tblCellSpacing w:w="15" w:type="dxa"/>
        </w:trPr>
        <w:tc>
          <w:tcPr>
            <w:tcW w:w="0" w:type="auto"/>
            <w:vAlign w:val="center"/>
            <w:hideMark/>
          </w:tcPr>
          <w:p w14:paraId="181CAD44" w14:textId="77777777" w:rsidR="00000000" w:rsidRDefault="00EB4933">
            <w:pPr>
              <w:rPr>
                <w:rFonts w:eastAsia="Times New Roman"/>
                <w:sz w:val="20"/>
                <w:szCs w:val="20"/>
              </w:rPr>
            </w:pPr>
            <w:hyperlink r:id="rId249" w:anchor="finindex" w:history="1">
              <w:r>
                <w:rPr>
                  <w:rStyle w:val="Hyperlink"/>
                  <w:rFonts w:eastAsia="Times New Roman"/>
                  <w:i/>
                  <w:iCs/>
                  <w:sz w:val="20"/>
                  <w:szCs w:val="20"/>
                </w:rPr>
                <w:t>Table of Contents</w:t>
              </w:r>
            </w:hyperlink>
          </w:p>
        </w:tc>
      </w:tr>
    </w:tbl>
    <w:p w14:paraId="0476AB07"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578BD1D5"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29FDAB40"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039F8C0C"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1ACC5B03"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2CCC53D7" w14:textId="77777777" w:rsidR="00000000" w:rsidRDefault="00EB4933">
      <w:pPr>
        <w:pStyle w:val="NormalWeb"/>
        <w:spacing w:before="0" w:beforeAutospacing="0" w:after="0" w:afterAutospacing="0"/>
        <w:jc w:val="both"/>
        <w:divId w:val="98525094"/>
        <w:rPr>
          <w:sz w:val="20"/>
          <w:szCs w:val="20"/>
        </w:rPr>
      </w:pPr>
      <w:r>
        <w:rPr>
          <w:rStyle w:val="Strong"/>
          <w:sz w:val="20"/>
          <w:szCs w:val="20"/>
        </w:rPr>
        <w:t>2.9  Financial assets and financial liabilities (IAS 39 – prior period only) - continued</w:t>
      </w:r>
    </w:p>
    <w:p w14:paraId="35B9191A"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48AF9E72" w14:textId="77777777">
        <w:trPr>
          <w:divId w:val="98525094"/>
          <w:trHeight w:val="225"/>
          <w:tblCellSpacing w:w="15" w:type="dxa"/>
        </w:trPr>
        <w:tc>
          <w:tcPr>
            <w:tcW w:w="200" w:type="pct"/>
            <w:vAlign w:val="center"/>
            <w:hideMark/>
          </w:tcPr>
          <w:p w14:paraId="1904C48D"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66F52159" w14:textId="77777777" w:rsidR="00000000" w:rsidRDefault="00EB4933">
            <w:pPr>
              <w:pStyle w:val="NormalWeb"/>
              <w:spacing w:before="0" w:beforeAutospacing="0" w:after="0" w:afterAutospacing="0"/>
              <w:rPr>
                <w:sz w:val="20"/>
                <w:szCs w:val="20"/>
              </w:rPr>
            </w:pPr>
            <w:r>
              <w:rPr>
                <w:rStyle w:val="Strong"/>
                <w:sz w:val="20"/>
                <w:szCs w:val="20"/>
              </w:rPr>
              <w:t xml:space="preserve">v. </w:t>
            </w:r>
          </w:p>
        </w:tc>
        <w:tc>
          <w:tcPr>
            <w:tcW w:w="0" w:type="auto"/>
            <w:hideMark/>
          </w:tcPr>
          <w:p w14:paraId="650D4226" w14:textId="77777777" w:rsidR="00000000" w:rsidRDefault="00EB4933">
            <w:pPr>
              <w:rPr>
                <w:rFonts w:eastAsia="Times New Roman"/>
                <w:sz w:val="20"/>
                <w:szCs w:val="20"/>
              </w:rPr>
            </w:pPr>
            <w:r>
              <w:rPr>
                <w:rStyle w:val="Strong"/>
                <w:rFonts w:eastAsia="Times New Roman"/>
                <w:sz w:val="20"/>
                <w:szCs w:val="20"/>
              </w:rPr>
              <w:t>Identification and measure</w:t>
            </w:r>
            <w:r>
              <w:rPr>
                <w:rStyle w:val="Strong"/>
                <w:rFonts w:eastAsia="Times New Roman"/>
                <w:sz w:val="20"/>
                <w:szCs w:val="20"/>
              </w:rPr>
              <w:t>ment of impairment</w:t>
            </w:r>
          </w:p>
        </w:tc>
      </w:tr>
    </w:tbl>
    <w:p w14:paraId="145E51C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175363D" w14:textId="77777777" w:rsidR="00000000" w:rsidRDefault="00EB4933">
      <w:pPr>
        <w:pStyle w:val="NormalWeb"/>
        <w:spacing w:before="0" w:beforeAutospacing="0" w:after="0" w:afterAutospacing="0"/>
        <w:ind w:left="1350"/>
        <w:jc w:val="both"/>
        <w:divId w:val="98525094"/>
        <w:rPr>
          <w:sz w:val="20"/>
          <w:szCs w:val="20"/>
        </w:rPr>
      </w:pPr>
      <w:r>
        <w:rPr>
          <w:rStyle w:val="Strong"/>
          <w:sz w:val="20"/>
          <w:szCs w:val="20"/>
        </w:rPr>
        <w:t>Objective evidence of impairment</w:t>
      </w:r>
    </w:p>
    <w:p w14:paraId="08AE72F1"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277C448C" w14:textId="77777777" w:rsidR="00000000" w:rsidRDefault="00EB4933">
      <w:pPr>
        <w:pStyle w:val="NormalWeb"/>
        <w:spacing w:before="0" w:beforeAutospacing="0" w:after="0" w:afterAutospacing="0"/>
        <w:ind w:left="1350"/>
        <w:jc w:val="both"/>
        <w:divId w:val="98525094"/>
        <w:rPr>
          <w:sz w:val="20"/>
          <w:szCs w:val="20"/>
        </w:rPr>
      </w:pPr>
      <w:r>
        <w:rPr>
          <w:sz w:val="20"/>
          <w:szCs w:val="20"/>
        </w:rPr>
        <w:t>At each reporting date, the Group assesses whether there is objective evidence that financial assets are impaired. A financial asset or a group of financial assets is impaired when objective evidence demonstrates that a loss event has occurred after the in</w:t>
      </w:r>
      <w:r>
        <w:rPr>
          <w:sz w:val="20"/>
          <w:szCs w:val="20"/>
        </w:rPr>
        <w:t>itial recognition of the assets and that the loss event has an impact on the future cash flows of the asset(s) and that the loss event has an impact on the future cash flows of the asset(s) that can be estimated reliably.</w:t>
      </w:r>
    </w:p>
    <w:p w14:paraId="655E684A"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71D3D4A1" w14:textId="77777777" w:rsidR="00000000" w:rsidRDefault="00EB4933">
      <w:pPr>
        <w:pStyle w:val="NormalWeb"/>
        <w:spacing w:before="0" w:beforeAutospacing="0" w:after="0" w:afterAutospacing="0"/>
        <w:ind w:left="1350"/>
        <w:jc w:val="both"/>
        <w:divId w:val="98525094"/>
        <w:rPr>
          <w:sz w:val="20"/>
          <w:szCs w:val="20"/>
        </w:rPr>
      </w:pPr>
      <w:r>
        <w:rPr>
          <w:sz w:val="20"/>
          <w:szCs w:val="20"/>
        </w:rPr>
        <w:t>Objective evidence that financia</w:t>
      </w:r>
      <w:r>
        <w:rPr>
          <w:sz w:val="20"/>
          <w:szCs w:val="20"/>
        </w:rPr>
        <w:t>l assets are impaired includes:</w:t>
      </w:r>
    </w:p>
    <w:p w14:paraId="669122AA"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719"/>
        <w:gridCol w:w="530"/>
        <w:gridCol w:w="8111"/>
      </w:tblGrid>
      <w:tr w:rsidR="00000000" w14:paraId="163FC33E" w14:textId="77777777">
        <w:trPr>
          <w:divId w:val="98525094"/>
          <w:trHeight w:val="225"/>
          <w:tblCellSpacing w:w="15" w:type="dxa"/>
        </w:trPr>
        <w:tc>
          <w:tcPr>
            <w:tcW w:w="400" w:type="pct"/>
            <w:vAlign w:val="center"/>
            <w:hideMark/>
          </w:tcPr>
          <w:p w14:paraId="68EBCF76"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3982DDCD" w14:textId="77777777" w:rsidR="00000000" w:rsidRDefault="00EB4933">
            <w:pPr>
              <w:pStyle w:val="NormalWeb"/>
              <w:spacing w:before="0" w:beforeAutospacing="0" w:after="0" w:afterAutospacing="0"/>
              <w:rPr>
                <w:sz w:val="20"/>
                <w:szCs w:val="20"/>
              </w:rPr>
            </w:pPr>
            <w:r>
              <w:rPr>
                <w:sz w:val="20"/>
                <w:szCs w:val="20"/>
              </w:rPr>
              <w:t xml:space="preserve">- </w:t>
            </w:r>
          </w:p>
        </w:tc>
        <w:tc>
          <w:tcPr>
            <w:tcW w:w="0" w:type="auto"/>
            <w:hideMark/>
          </w:tcPr>
          <w:p w14:paraId="6C83C595" w14:textId="77777777" w:rsidR="00000000" w:rsidRDefault="00EB4933">
            <w:pPr>
              <w:rPr>
                <w:rFonts w:eastAsia="Times New Roman"/>
                <w:sz w:val="20"/>
                <w:szCs w:val="20"/>
              </w:rPr>
            </w:pPr>
            <w:r>
              <w:rPr>
                <w:rFonts w:eastAsia="Times New Roman"/>
                <w:sz w:val="20"/>
                <w:szCs w:val="20"/>
              </w:rPr>
              <w:t>significant financial difficulty of the borrower;</w:t>
            </w:r>
          </w:p>
        </w:tc>
      </w:tr>
      <w:tr w:rsidR="00000000" w14:paraId="0504F334" w14:textId="77777777">
        <w:trPr>
          <w:divId w:val="98525094"/>
          <w:trHeight w:val="225"/>
          <w:tblCellSpacing w:w="15" w:type="dxa"/>
        </w:trPr>
        <w:tc>
          <w:tcPr>
            <w:tcW w:w="0" w:type="auto"/>
            <w:vAlign w:val="center"/>
            <w:hideMark/>
          </w:tcPr>
          <w:p w14:paraId="2731DA65"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3E94295C"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55039200" w14:textId="77777777" w:rsidR="00000000" w:rsidRDefault="00EB4933">
            <w:pPr>
              <w:pStyle w:val="NormalWeb"/>
              <w:spacing w:before="0" w:beforeAutospacing="0" w:after="0" w:afterAutospacing="0"/>
              <w:rPr>
                <w:sz w:val="20"/>
                <w:szCs w:val="20"/>
              </w:rPr>
            </w:pPr>
            <w:r>
              <w:rPr>
                <w:sz w:val="20"/>
                <w:szCs w:val="20"/>
              </w:rPr>
              <w:t> </w:t>
            </w:r>
          </w:p>
        </w:tc>
      </w:tr>
      <w:tr w:rsidR="00000000" w14:paraId="0E2A48DF" w14:textId="77777777">
        <w:trPr>
          <w:divId w:val="98525094"/>
          <w:trHeight w:val="225"/>
          <w:tblCellSpacing w:w="15" w:type="dxa"/>
        </w:trPr>
        <w:tc>
          <w:tcPr>
            <w:tcW w:w="0" w:type="auto"/>
            <w:vAlign w:val="center"/>
            <w:hideMark/>
          </w:tcPr>
          <w:p w14:paraId="29F2C644"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61ACF744" w14:textId="77777777" w:rsidR="00000000" w:rsidRDefault="00EB4933">
            <w:pPr>
              <w:pStyle w:val="NormalWeb"/>
              <w:spacing w:before="0" w:beforeAutospacing="0" w:after="0" w:afterAutospacing="0"/>
              <w:rPr>
                <w:sz w:val="20"/>
                <w:szCs w:val="20"/>
              </w:rPr>
            </w:pPr>
            <w:r>
              <w:rPr>
                <w:sz w:val="20"/>
                <w:szCs w:val="20"/>
              </w:rPr>
              <w:t xml:space="preserve">- </w:t>
            </w:r>
          </w:p>
        </w:tc>
        <w:tc>
          <w:tcPr>
            <w:tcW w:w="0" w:type="auto"/>
            <w:hideMark/>
          </w:tcPr>
          <w:p w14:paraId="4396E05E" w14:textId="77777777" w:rsidR="00000000" w:rsidRDefault="00EB4933">
            <w:pPr>
              <w:rPr>
                <w:rFonts w:eastAsia="Times New Roman"/>
                <w:sz w:val="20"/>
                <w:szCs w:val="20"/>
              </w:rPr>
            </w:pPr>
            <w:r>
              <w:rPr>
                <w:rFonts w:eastAsia="Times New Roman"/>
                <w:sz w:val="20"/>
                <w:szCs w:val="20"/>
              </w:rPr>
              <w:t>default or delinquency by a borrower;</w:t>
            </w:r>
          </w:p>
        </w:tc>
      </w:tr>
      <w:tr w:rsidR="00000000" w14:paraId="777E7B31" w14:textId="77777777">
        <w:trPr>
          <w:divId w:val="98525094"/>
          <w:trHeight w:val="225"/>
          <w:tblCellSpacing w:w="15" w:type="dxa"/>
        </w:trPr>
        <w:tc>
          <w:tcPr>
            <w:tcW w:w="0" w:type="auto"/>
            <w:vAlign w:val="center"/>
            <w:hideMark/>
          </w:tcPr>
          <w:p w14:paraId="073A5ADF"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64BCD7E7"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3BB3B048" w14:textId="77777777" w:rsidR="00000000" w:rsidRDefault="00EB4933">
            <w:pPr>
              <w:pStyle w:val="NormalWeb"/>
              <w:spacing w:before="0" w:beforeAutospacing="0" w:after="0" w:afterAutospacing="0"/>
              <w:rPr>
                <w:sz w:val="20"/>
                <w:szCs w:val="20"/>
              </w:rPr>
            </w:pPr>
            <w:r>
              <w:rPr>
                <w:sz w:val="20"/>
                <w:szCs w:val="20"/>
              </w:rPr>
              <w:t> </w:t>
            </w:r>
          </w:p>
        </w:tc>
      </w:tr>
      <w:tr w:rsidR="00000000" w14:paraId="5FE6ADC8" w14:textId="77777777">
        <w:trPr>
          <w:divId w:val="98525094"/>
          <w:trHeight w:val="225"/>
          <w:tblCellSpacing w:w="15" w:type="dxa"/>
        </w:trPr>
        <w:tc>
          <w:tcPr>
            <w:tcW w:w="0" w:type="auto"/>
            <w:vAlign w:val="center"/>
            <w:hideMark/>
          </w:tcPr>
          <w:p w14:paraId="4A48FA1D" w14:textId="77777777" w:rsidR="00000000" w:rsidRDefault="00EB4933">
            <w:pPr>
              <w:pStyle w:val="NormalWeb"/>
              <w:spacing w:before="0" w:beforeAutospacing="0" w:after="0" w:afterAutospacing="0"/>
              <w:rPr>
                <w:sz w:val="20"/>
                <w:szCs w:val="20"/>
              </w:rPr>
            </w:pPr>
            <w:r>
              <w:rPr>
                <w:sz w:val="20"/>
                <w:szCs w:val="20"/>
              </w:rPr>
              <w:lastRenderedPageBreak/>
              <w:t> </w:t>
            </w:r>
          </w:p>
        </w:tc>
        <w:tc>
          <w:tcPr>
            <w:tcW w:w="0" w:type="auto"/>
            <w:hideMark/>
          </w:tcPr>
          <w:p w14:paraId="6CB0195A" w14:textId="77777777" w:rsidR="00000000" w:rsidRDefault="00EB4933">
            <w:pPr>
              <w:pStyle w:val="NormalWeb"/>
              <w:spacing w:before="0" w:beforeAutospacing="0" w:after="0" w:afterAutospacing="0"/>
              <w:rPr>
                <w:sz w:val="20"/>
                <w:szCs w:val="20"/>
              </w:rPr>
            </w:pPr>
            <w:r>
              <w:rPr>
                <w:sz w:val="20"/>
                <w:szCs w:val="20"/>
              </w:rPr>
              <w:t xml:space="preserve">- </w:t>
            </w:r>
          </w:p>
        </w:tc>
        <w:tc>
          <w:tcPr>
            <w:tcW w:w="0" w:type="auto"/>
            <w:hideMark/>
          </w:tcPr>
          <w:p w14:paraId="3AC98456" w14:textId="77777777" w:rsidR="00000000" w:rsidRDefault="00EB4933">
            <w:pPr>
              <w:rPr>
                <w:rFonts w:eastAsia="Times New Roman"/>
                <w:sz w:val="20"/>
                <w:szCs w:val="20"/>
              </w:rPr>
            </w:pPr>
            <w:r>
              <w:rPr>
                <w:rFonts w:eastAsia="Times New Roman"/>
                <w:sz w:val="20"/>
                <w:szCs w:val="20"/>
              </w:rPr>
              <w:t>the restructuring of a loan by the Group on terms that the Group would not consider otherwise;</w:t>
            </w:r>
          </w:p>
        </w:tc>
      </w:tr>
      <w:tr w:rsidR="00000000" w14:paraId="3E654F9B" w14:textId="77777777">
        <w:trPr>
          <w:divId w:val="98525094"/>
          <w:trHeight w:val="225"/>
          <w:tblCellSpacing w:w="15" w:type="dxa"/>
        </w:trPr>
        <w:tc>
          <w:tcPr>
            <w:tcW w:w="0" w:type="auto"/>
            <w:vAlign w:val="center"/>
            <w:hideMark/>
          </w:tcPr>
          <w:p w14:paraId="2FA5C9FE"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0642E42D"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4F385017" w14:textId="77777777" w:rsidR="00000000" w:rsidRDefault="00EB4933">
            <w:pPr>
              <w:pStyle w:val="NormalWeb"/>
              <w:spacing w:before="0" w:beforeAutospacing="0" w:after="0" w:afterAutospacing="0"/>
              <w:rPr>
                <w:sz w:val="20"/>
                <w:szCs w:val="20"/>
              </w:rPr>
            </w:pPr>
            <w:r>
              <w:rPr>
                <w:sz w:val="20"/>
                <w:szCs w:val="20"/>
              </w:rPr>
              <w:t> </w:t>
            </w:r>
          </w:p>
        </w:tc>
      </w:tr>
      <w:tr w:rsidR="00000000" w14:paraId="4EDF5B87" w14:textId="77777777">
        <w:trPr>
          <w:divId w:val="98525094"/>
          <w:trHeight w:val="225"/>
          <w:tblCellSpacing w:w="15" w:type="dxa"/>
        </w:trPr>
        <w:tc>
          <w:tcPr>
            <w:tcW w:w="0" w:type="auto"/>
            <w:vAlign w:val="center"/>
            <w:hideMark/>
          </w:tcPr>
          <w:p w14:paraId="4FABD190"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0D935C81" w14:textId="77777777" w:rsidR="00000000" w:rsidRDefault="00EB4933">
            <w:pPr>
              <w:pStyle w:val="NormalWeb"/>
              <w:spacing w:before="0" w:beforeAutospacing="0" w:after="0" w:afterAutospacing="0"/>
              <w:rPr>
                <w:sz w:val="20"/>
                <w:szCs w:val="20"/>
              </w:rPr>
            </w:pPr>
            <w:r>
              <w:rPr>
                <w:sz w:val="20"/>
                <w:szCs w:val="20"/>
              </w:rPr>
              <w:t xml:space="preserve">- </w:t>
            </w:r>
          </w:p>
        </w:tc>
        <w:tc>
          <w:tcPr>
            <w:tcW w:w="0" w:type="auto"/>
            <w:hideMark/>
          </w:tcPr>
          <w:p w14:paraId="69507682" w14:textId="77777777" w:rsidR="00000000" w:rsidRDefault="00EB4933">
            <w:pPr>
              <w:rPr>
                <w:rFonts w:eastAsia="Times New Roman"/>
                <w:sz w:val="20"/>
                <w:szCs w:val="20"/>
              </w:rPr>
            </w:pPr>
            <w:r>
              <w:rPr>
                <w:rFonts w:eastAsia="Times New Roman"/>
                <w:sz w:val="20"/>
                <w:szCs w:val="20"/>
              </w:rPr>
              <w:t>indications that a borrower will enter bankruptcy; or</w:t>
            </w:r>
          </w:p>
        </w:tc>
      </w:tr>
      <w:tr w:rsidR="00000000" w14:paraId="4FFF21D5" w14:textId="77777777">
        <w:trPr>
          <w:divId w:val="98525094"/>
          <w:trHeight w:val="225"/>
          <w:tblCellSpacing w:w="15" w:type="dxa"/>
        </w:trPr>
        <w:tc>
          <w:tcPr>
            <w:tcW w:w="0" w:type="auto"/>
            <w:vAlign w:val="center"/>
            <w:hideMark/>
          </w:tcPr>
          <w:p w14:paraId="69C71F02"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16FD8F2F"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186AB06E" w14:textId="77777777" w:rsidR="00000000" w:rsidRDefault="00EB4933">
            <w:pPr>
              <w:pStyle w:val="NormalWeb"/>
              <w:spacing w:before="0" w:beforeAutospacing="0" w:after="0" w:afterAutospacing="0"/>
              <w:rPr>
                <w:sz w:val="20"/>
                <w:szCs w:val="20"/>
              </w:rPr>
            </w:pPr>
            <w:r>
              <w:rPr>
                <w:sz w:val="20"/>
                <w:szCs w:val="20"/>
              </w:rPr>
              <w:t> </w:t>
            </w:r>
          </w:p>
        </w:tc>
      </w:tr>
      <w:tr w:rsidR="00000000" w14:paraId="0F5DF4F2" w14:textId="77777777">
        <w:trPr>
          <w:divId w:val="98525094"/>
          <w:trHeight w:val="225"/>
          <w:tblCellSpacing w:w="15" w:type="dxa"/>
        </w:trPr>
        <w:tc>
          <w:tcPr>
            <w:tcW w:w="0" w:type="auto"/>
            <w:vAlign w:val="center"/>
            <w:hideMark/>
          </w:tcPr>
          <w:p w14:paraId="09C1D939"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6CB7284F" w14:textId="77777777" w:rsidR="00000000" w:rsidRDefault="00EB4933">
            <w:pPr>
              <w:pStyle w:val="NormalWeb"/>
              <w:spacing w:before="0" w:beforeAutospacing="0" w:after="0" w:afterAutospacing="0"/>
              <w:rPr>
                <w:sz w:val="20"/>
                <w:szCs w:val="20"/>
              </w:rPr>
            </w:pPr>
            <w:r>
              <w:rPr>
                <w:sz w:val="20"/>
                <w:szCs w:val="20"/>
              </w:rPr>
              <w:t xml:space="preserve">- </w:t>
            </w:r>
          </w:p>
        </w:tc>
        <w:tc>
          <w:tcPr>
            <w:tcW w:w="0" w:type="auto"/>
            <w:hideMark/>
          </w:tcPr>
          <w:p w14:paraId="49925F47" w14:textId="77777777" w:rsidR="00000000" w:rsidRDefault="00EB4933">
            <w:pPr>
              <w:rPr>
                <w:rFonts w:eastAsia="Times New Roman"/>
                <w:sz w:val="20"/>
                <w:szCs w:val="20"/>
              </w:rPr>
            </w:pPr>
            <w:r>
              <w:rPr>
                <w:rFonts w:eastAsia="Times New Roman"/>
                <w:sz w:val="20"/>
                <w:szCs w:val="20"/>
              </w:rPr>
              <w:t>observable data relating to a group of assets such as adverse changes in the payment status of borrowers in the group, or economic conditions that correlate with defaults in the group.</w:t>
            </w:r>
          </w:p>
        </w:tc>
      </w:tr>
    </w:tbl>
    <w:p w14:paraId="228AACB3"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E86EF22" w14:textId="77777777">
        <w:trPr>
          <w:divId w:val="98525094"/>
          <w:trHeight w:val="225"/>
          <w:tblCellSpacing w:w="15" w:type="dxa"/>
        </w:trPr>
        <w:tc>
          <w:tcPr>
            <w:tcW w:w="0" w:type="auto"/>
            <w:vAlign w:val="center"/>
            <w:hideMark/>
          </w:tcPr>
          <w:p w14:paraId="3D101F20" w14:textId="77777777" w:rsidR="00000000" w:rsidRDefault="00EB4933">
            <w:pPr>
              <w:rPr>
                <w:rFonts w:eastAsia="Times New Roman"/>
                <w:sz w:val="20"/>
                <w:szCs w:val="20"/>
              </w:rPr>
            </w:pPr>
            <w:r>
              <w:rPr>
                <w:rFonts w:eastAsia="Times New Roman"/>
                <w:sz w:val="20"/>
                <w:szCs w:val="20"/>
              </w:rPr>
              <w:t> </w:t>
            </w:r>
          </w:p>
        </w:tc>
      </w:tr>
      <w:tr w:rsidR="00000000" w14:paraId="11A4BD94" w14:textId="77777777">
        <w:trPr>
          <w:divId w:val="98525094"/>
          <w:trHeight w:val="225"/>
          <w:tblCellSpacing w:w="15" w:type="dxa"/>
        </w:trPr>
        <w:tc>
          <w:tcPr>
            <w:tcW w:w="0" w:type="auto"/>
            <w:tcBorders>
              <w:bottom w:val="single" w:sz="6" w:space="0" w:color="000000"/>
            </w:tcBorders>
            <w:vAlign w:val="center"/>
            <w:hideMark/>
          </w:tcPr>
          <w:p w14:paraId="0990C365" w14:textId="77777777" w:rsidR="00000000" w:rsidRDefault="00EB4933">
            <w:pPr>
              <w:jc w:val="center"/>
              <w:rPr>
                <w:rFonts w:eastAsia="Times New Roman"/>
                <w:sz w:val="20"/>
                <w:szCs w:val="20"/>
              </w:rPr>
            </w:pPr>
            <w:r>
              <w:rPr>
                <w:rFonts w:eastAsia="Times New Roman"/>
                <w:sz w:val="20"/>
                <w:szCs w:val="20"/>
              </w:rPr>
              <w:t>F-33</w:t>
            </w:r>
          </w:p>
        </w:tc>
      </w:tr>
      <w:tr w:rsidR="00000000" w14:paraId="244AD8B1" w14:textId="77777777">
        <w:trPr>
          <w:divId w:val="98525094"/>
          <w:trHeight w:val="225"/>
          <w:tblCellSpacing w:w="15" w:type="dxa"/>
        </w:trPr>
        <w:tc>
          <w:tcPr>
            <w:tcW w:w="0" w:type="auto"/>
            <w:vAlign w:val="center"/>
            <w:hideMark/>
          </w:tcPr>
          <w:p w14:paraId="78099FF8" w14:textId="77777777" w:rsidR="00000000" w:rsidRDefault="00EB4933">
            <w:pPr>
              <w:rPr>
                <w:rFonts w:eastAsia="Times New Roman"/>
                <w:sz w:val="20"/>
                <w:szCs w:val="20"/>
              </w:rPr>
            </w:pPr>
          </w:p>
        </w:tc>
      </w:tr>
      <w:tr w:rsidR="00000000" w14:paraId="37EA399D" w14:textId="77777777">
        <w:trPr>
          <w:divId w:val="98525094"/>
          <w:trHeight w:val="225"/>
          <w:tblCellSpacing w:w="15" w:type="dxa"/>
        </w:trPr>
        <w:tc>
          <w:tcPr>
            <w:tcW w:w="0" w:type="auto"/>
            <w:vAlign w:val="center"/>
            <w:hideMark/>
          </w:tcPr>
          <w:p w14:paraId="6667D1D8" w14:textId="77777777" w:rsidR="00000000" w:rsidRDefault="00EB4933">
            <w:pPr>
              <w:rPr>
                <w:rFonts w:eastAsia="Times New Roman"/>
                <w:sz w:val="20"/>
                <w:szCs w:val="20"/>
              </w:rPr>
            </w:pPr>
            <w:hyperlink r:id="rId250" w:anchor="finindex" w:history="1">
              <w:r>
                <w:rPr>
                  <w:rStyle w:val="Hyperlink"/>
                  <w:rFonts w:eastAsia="Times New Roman"/>
                  <w:i/>
                  <w:iCs/>
                  <w:sz w:val="20"/>
                  <w:szCs w:val="20"/>
                </w:rPr>
                <w:t>Table of Conten</w:t>
              </w:r>
              <w:r>
                <w:rPr>
                  <w:rStyle w:val="Hyperlink"/>
                  <w:rFonts w:eastAsia="Times New Roman"/>
                  <w:i/>
                  <w:iCs/>
                  <w:sz w:val="20"/>
                  <w:szCs w:val="20"/>
                </w:rPr>
                <w:t>ts</w:t>
              </w:r>
            </w:hyperlink>
          </w:p>
        </w:tc>
      </w:tr>
    </w:tbl>
    <w:p w14:paraId="2FB11653"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37B24346"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4CCB9518"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39238A31"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237956CA"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010346D3" w14:textId="77777777" w:rsidR="00000000" w:rsidRDefault="00EB4933">
      <w:pPr>
        <w:pStyle w:val="NormalWeb"/>
        <w:spacing w:before="0" w:beforeAutospacing="0" w:after="0" w:afterAutospacing="0"/>
        <w:jc w:val="both"/>
        <w:divId w:val="98525094"/>
        <w:rPr>
          <w:sz w:val="20"/>
          <w:szCs w:val="20"/>
        </w:rPr>
      </w:pPr>
      <w:r>
        <w:rPr>
          <w:rStyle w:val="Strong"/>
          <w:sz w:val="20"/>
          <w:szCs w:val="20"/>
        </w:rPr>
        <w:t>2.9  Financial assets and financial liabilities (IAS 39 – prior period only) - continued</w:t>
      </w:r>
    </w:p>
    <w:p w14:paraId="75C0AC0B"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629B8CC8" w14:textId="77777777">
        <w:trPr>
          <w:divId w:val="98525094"/>
          <w:trHeight w:val="225"/>
          <w:tblCellSpacing w:w="15" w:type="dxa"/>
        </w:trPr>
        <w:tc>
          <w:tcPr>
            <w:tcW w:w="200" w:type="pct"/>
            <w:vAlign w:val="center"/>
            <w:hideMark/>
          </w:tcPr>
          <w:p w14:paraId="7B952651"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23EBF4A1" w14:textId="77777777" w:rsidR="00000000" w:rsidRDefault="00EB4933">
            <w:pPr>
              <w:pStyle w:val="NormalWeb"/>
              <w:spacing w:before="0" w:beforeAutospacing="0" w:after="0" w:afterAutospacing="0"/>
              <w:rPr>
                <w:sz w:val="20"/>
                <w:szCs w:val="20"/>
              </w:rPr>
            </w:pPr>
            <w:r>
              <w:rPr>
                <w:rStyle w:val="Strong"/>
                <w:sz w:val="20"/>
                <w:szCs w:val="20"/>
              </w:rPr>
              <w:t xml:space="preserve">v. </w:t>
            </w:r>
          </w:p>
        </w:tc>
        <w:tc>
          <w:tcPr>
            <w:tcW w:w="0" w:type="auto"/>
            <w:hideMark/>
          </w:tcPr>
          <w:p w14:paraId="2E147A10" w14:textId="77777777" w:rsidR="00000000" w:rsidRDefault="00EB4933">
            <w:pPr>
              <w:rPr>
                <w:rFonts w:eastAsia="Times New Roman"/>
                <w:sz w:val="20"/>
                <w:szCs w:val="20"/>
              </w:rPr>
            </w:pPr>
            <w:r>
              <w:rPr>
                <w:rStyle w:val="Strong"/>
                <w:rFonts w:eastAsia="Times New Roman"/>
                <w:sz w:val="20"/>
                <w:szCs w:val="20"/>
              </w:rPr>
              <w:t>Identification and measurement of impairment - continued</w:t>
            </w:r>
          </w:p>
        </w:tc>
      </w:tr>
    </w:tbl>
    <w:p w14:paraId="0474ADC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B3A511B" w14:textId="77777777" w:rsidR="00000000" w:rsidRDefault="00EB4933">
      <w:pPr>
        <w:pStyle w:val="NormalWeb"/>
        <w:spacing w:before="0" w:beforeAutospacing="0" w:after="0" w:afterAutospacing="0"/>
        <w:ind w:left="1350"/>
        <w:jc w:val="both"/>
        <w:divId w:val="98525094"/>
        <w:rPr>
          <w:sz w:val="20"/>
          <w:szCs w:val="20"/>
        </w:rPr>
      </w:pPr>
      <w:r>
        <w:rPr>
          <w:rStyle w:val="Strong"/>
          <w:sz w:val="20"/>
          <w:szCs w:val="20"/>
        </w:rPr>
        <w:t>Individual and collective assessment</w:t>
      </w:r>
    </w:p>
    <w:p w14:paraId="57462EAE"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3A79BA0E" w14:textId="77777777" w:rsidR="00000000" w:rsidRDefault="00EB4933">
      <w:pPr>
        <w:pStyle w:val="NormalWeb"/>
        <w:spacing w:before="0" w:beforeAutospacing="0" w:after="0" w:afterAutospacing="0"/>
        <w:ind w:left="1350"/>
        <w:jc w:val="both"/>
        <w:divId w:val="98525094"/>
        <w:rPr>
          <w:sz w:val="20"/>
          <w:szCs w:val="20"/>
        </w:rPr>
      </w:pPr>
      <w:r>
        <w:rPr>
          <w:sz w:val="20"/>
          <w:szCs w:val="20"/>
        </w:rPr>
        <w:t>The Group considers evidence of impairment for loans at both a specific asset and a collective level. All individually significant loans are assessed for sp</w:t>
      </w:r>
      <w:r>
        <w:rPr>
          <w:sz w:val="20"/>
          <w:szCs w:val="20"/>
        </w:rPr>
        <w:t>ecific impairment.</w:t>
      </w:r>
    </w:p>
    <w:p w14:paraId="6AE373B0"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32DA2784" w14:textId="77777777" w:rsidR="00000000" w:rsidRDefault="00EB4933">
      <w:pPr>
        <w:pStyle w:val="NormalWeb"/>
        <w:spacing w:before="0" w:beforeAutospacing="0" w:after="0" w:afterAutospacing="0"/>
        <w:ind w:left="1350"/>
        <w:jc w:val="both"/>
        <w:divId w:val="98525094"/>
        <w:rPr>
          <w:sz w:val="20"/>
          <w:szCs w:val="20"/>
        </w:rPr>
      </w:pPr>
      <w:r>
        <w:rPr>
          <w:sz w:val="20"/>
          <w:szCs w:val="20"/>
        </w:rPr>
        <w:t>Those found not to be specifically impaired are then collectively assessed for any impairment that has been incurred but not yet identified. Loans that are not individually significant are collectively assessed for impairment by groupi</w:t>
      </w:r>
      <w:r>
        <w:rPr>
          <w:sz w:val="20"/>
          <w:szCs w:val="20"/>
        </w:rPr>
        <w:t>ng together loans with similar risk characteristics.</w:t>
      </w:r>
    </w:p>
    <w:p w14:paraId="762AC11A"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613EED97" w14:textId="77777777" w:rsidR="00000000" w:rsidRDefault="00EB4933">
      <w:pPr>
        <w:pStyle w:val="NormalWeb"/>
        <w:spacing w:before="0" w:beforeAutospacing="0" w:after="0" w:afterAutospacing="0"/>
        <w:ind w:left="1350"/>
        <w:jc w:val="both"/>
        <w:divId w:val="98525094"/>
        <w:rPr>
          <w:sz w:val="20"/>
          <w:szCs w:val="20"/>
        </w:rPr>
      </w:pPr>
      <w:r>
        <w:rPr>
          <w:sz w:val="20"/>
          <w:szCs w:val="20"/>
        </w:rPr>
        <w:t>The individual component of the total allowance for impairment applies to financial assets evaluated individually for impairment, and found to be individually impaired, and is based on management’s bes</w:t>
      </w:r>
      <w:r>
        <w:rPr>
          <w:sz w:val="20"/>
          <w:szCs w:val="20"/>
        </w:rPr>
        <w:t>t estimate of the present value of the cash flows that are expected to be received. In estimating these cash flows, management makes judgements about a debtor’s financial situation and the net realizable value of any underlying collateral. Each impaired as</w:t>
      </w:r>
      <w:r>
        <w:rPr>
          <w:sz w:val="20"/>
          <w:szCs w:val="20"/>
        </w:rPr>
        <w:t>set is assessed on its merits, and the workout strategy and estimate of cash flows considered recoverable are independently approved by the Credit Risk function.</w:t>
      </w:r>
    </w:p>
    <w:p w14:paraId="462DB078"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61D7B3AC" w14:textId="77777777" w:rsidR="00000000" w:rsidRDefault="00EB4933">
      <w:pPr>
        <w:pStyle w:val="NormalWeb"/>
        <w:spacing w:before="0" w:beforeAutospacing="0" w:after="0" w:afterAutospacing="0"/>
        <w:ind w:left="1350"/>
        <w:jc w:val="both"/>
        <w:divId w:val="98525094"/>
        <w:rPr>
          <w:sz w:val="20"/>
          <w:szCs w:val="20"/>
        </w:rPr>
      </w:pPr>
      <w:r>
        <w:rPr>
          <w:sz w:val="20"/>
          <w:szCs w:val="20"/>
        </w:rPr>
        <w:t>A collective component of the total allowance is established for groups of loans that are in</w:t>
      </w:r>
      <w:r>
        <w:rPr>
          <w:sz w:val="20"/>
          <w:szCs w:val="20"/>
        </w:rPr>
        <w:t>dividually significant but that were not found to be individually impaired (loss “incurred but not reported” or IBNR).</w:t>
      </w:r>
    </w:p>
    <w:p w14:paraId="2B14C3A6"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56A27BF0" w14:textId="77777777" w:rsidR="00000000" w:rsidRDefault="00EB4933">
      <w:pPr>
        <w:pStyle w:val="NormalWeb"/>
        <w:spacing w:before="0" w:beforeAutospacing="0" w:after="0" w:afterAutospacing="0"/>
        <w:ind w:left="1350"/>
        <w:jc w:val="both"/>
        <w:divId w:val="98525094"/>
        <w:rPr>
          <w:sz w:val="20"/>
          <w:szCs w:val="20"/>
        </w:rPr>
      </w:pPr>
      <w:r>
        <w:rPr>
          <w:sz w:val="20"/>
          <w:szCs w:val="20"/>
        </w:rPr>
        <w:t>The IBNR allowance covers credit losses inherent in portfolios of loans with similar credit risk characteristics when there is objectiv</w:t>
      </w:r>
      <w:r>
        <w:rPr>
          <w:sz w:val="20"/>
          <w:szCs w:val="20"/>
        </w:rPr>
        <w:t>e evidence to suggest that they contain impaired terms but the individual impaired items cannot yet be identified.</w:t>
      </w:r>
    </w:p>
    <w:p w14:paraId="32798EB7"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7C64C4DD" w14:textId="77777777" w:rsidR="00000000" w:rsidRDefault="00EB4933">
      <w:pPr>
        <w:pStyle w:val="NormalWeb"/>
        <w:spacing w:before="0" w:beforeAutospacing="0" w:after="0" w:afterAutospacing="0"/>
        <w:ind w:left="1350"/>
        <w:jc w:val="both"/>
        <w:divId w:val="98525094"/>
        <w:rPr>
          <w:sz w:val="20"/>
          <w:szCs w:val="20"/>
        </w:rPr>
      </w:pPr>
      <w:r>
        <w:rPr>
          <w:sz w:val="20"/>
          <w:szCs w:val="20"/>
        </w:rPr>
        <w:t>The IBNR allowance is based on historical loss rates, adjusted to reflect the current economic conditions affecting the portfolio. It refle</w:t>
      </w:r>
      <w:r>
        <w:rPr>
          <w:sz w:val="20"/>
          <w:szCs w:val="20"/>
        </w:rPr>
        <w:t xml:space="preserve">cts assumptions made about the loss emergence period i.e. the period between a loss event occurring and it being identified. Management estimates a loss emergence period for each identified portfolio and back-tests these estimates against past experience. </w:t>
      </w:r>
      <w:r>
        <w:rPr>
          <w:sz w:val="20"/>
          <w:szCs w:val="20"/>
        </w:rPr>
        <w:t>The factors that may influence the loss emergence period include economic and market conditions, customer behavior, credit management process and collective experience.</w:t>
      </w:r>
    </w:p>
    <w:p w14:paraId="40E14FF1"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1EC49B8E" w14:textId="77777777" w:rsidR="00000000" w:rsidRDefault="00EB4933">
      <w:pPr>
        <w:pStyle w:val="NormalWeb"/>
        <w:spacing w:before="0" w:beforeAutospacing="0" w:after="0" w:afterAutospacing="0"/>
        <w:ind w:left="1350"/>
        <w:jc w:val="both"/>
        <w:divId w:val="98525094"/>
        <w:rPr>
          <w:sz w:val="20"/>
          <w:szCs w:val="20"/>
        </w:rPr>
      </w:pPr>
      <w:r>
        <w:rPr>
          <w:sz w:val="20"/>
          <w:szCs w:val="20"/>
        </w:rPr>
        <w:t xml:space="preserve">In assessing the collective loss allowance, management considers factors such as credit quality, concentrations and economic factors. To estimate the required allowance, assumptions are made to </w:t>
      </w:r>
      <w:r>
        <w:rPr>
          <w:sz w:val="20"/>
          <w:szCs w:val="20"/>
        </w:rPr>
        <w:lastRenderedPageBreak/>
        <w:t>define how inherent losses are modeled and to determine the re</w:t>
      </w:r>
      <w:r>
        <w:rPr>
          <w:sz w:val="20"/>
          <w:szCs w:val="20"/>
        </w:rPr>
        <w:t>quired input parameters, based on historical experience and current economic conditions. The accuracy of the allowance depends on the model assumptions and parameters used in determining the collective allowance.</w:t>
      </w:r>
    </w:p>
    <w:p w14:paraId="7790699A"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888A77B" w14:textId="77777777">
        <w:trPr>
          <w:divId w:val="98525094"/>
          <w:trHeight w:val="225"/>
          <w:tblCellSpacing w:w="15" w:type="dxa"/>
        </w:trPr>
        <w:tc>
          <w:tcPr>
            <w:tcW w:w="0" w:type="auto"/>
            <w:vAlign w:val="center"/>
            <w:hideMark/>
          </w:tcPr>
          <w:p w14:paraId="7A304309" w14:textId="77777777" w:rsidR="00000000" w:rsidRDefault="00EB4933">
            <w:pPr>
              <w:rPr>
                <w:rFonts w:eastAsia="Times New Roman"/>
                <w:sz w:val="20"/>
                <w:szCs w:val="20"/>
              </w:rPr>
            </w:pPr>
            <w:r>
              <w:rPr>
                <w:rFonts w:eastAsia="Times New Roman"/>
                <w:sz w:val="20"/>
                <w:szCs w:val="20"/>
              </w:rPr>
              <w:t> </w:t>
            </w:r>
          </w:p>
        </w:tc>
      </w:tr>
      <w:tr w:rsidR="00000000" w14:paraId="69B8ADDE" w14:textId="77777777">
        <w:trPr>
          <w:divId w:val="98525094"/>
          <w:trHeight w:val="225"/>
          <w:tblCellSpacing w:w="15" w:type="dxa"/>
        </w:trPr>
        <w:tc>
          <w:tcPr>
            <w:tcW w:w="0" w:type="auto"/>
            <w:tcBorders>
              <w:bottom w:val="single" w:sz="6" w:space="0" w:color="000000"/>
            </w:tcBorders>
            <w:vAlign w:val="center"/>
            <w:hideMark/>
          </w:tcPr>
          <w:p w14:paraId="1D8DF33A" w14:textId="77777777" w:rsidR="00000000" w:rsidRDefault="00EB4933">
            <w:pPr>
              <w:jc w:val="center"/>
              <w:rPr>
                <w:rFonts w:eastAsia="Times New Roman"/>
                <w:sz w:val="20"/>
                <w:szCs w:val="20"/>
              </w:rPr>
            </w:pPr>
            <w:r>
              <w:rPr>
                <w:rFonts w:eastAsia="Times New Roman"/>
                <w:sz w:val="20"/>
                <w:szCs w:val="20"/>
              </w:rPr>
              <w:t>F-34</w:t>
            </w:r>
          </w:p>
        </w:tc>
      </w:tr>
      <w:tr w:rsidR="00000000" w14:paraId="42746C68" w14:textId="77777777">
        <w:trPr>
          <w:divId w:val="98525094"/>
          <w:trHeight w:val="225"/>
          <w:tblCellSpacing w:w="15" w:type="dxa"/>
        </w:trPr>
        <w:tc>
          <w:tcPr>
            <w:tcW w:w="0" w:type="auto"/>
            <w:vAlign w:val="center"/>
            <w:hideMark/>
          </w:tcPr>
          <w:p w14:paraId="6CF30785" w14:textId="77777777" w:rsidR="00000000" w:rsidRDefault="00EB4933">
            <w:pPr>
              <w:rPr>
                <w:rFonts w:eastAsia="Times New Roman"/>
                <w:sz w:val="20"/>
                <w:szCs w:val="20"/>
              </w:rPr>
            </w:pPr>
          </w:p>
        </w:tc>
      </w:tr>
      <w:tr w:rsidR="00000000" w14:paraId="6217C46F" w14:textId="77777777">
        <w:trPr>
          <w:divId w:val="98525094"/>
          <w:trHeight w:val="225"/>
          <w:tblCellSpacing w:w="15" w:type="dxa"/>
        </w:trPr>
        <w:tc>
          <w:tcPr>
            <w:tcW w:w="0" w:type="auto"/>
            <w:vAlign w:val="center"/>
            <w:hideMark/>
          </w:tcPr>
          <w:p w14:paraId="076FABA0" w14:textId="77777777" w:rsidR="00000000" w:rsidRDefault="00EB4933">
            <w:pPr>
              <w:rPr>
                <w:rFonts w:eastAsia="Times New Roman"/>
                <w:sz w:val="20"/>
                <w:szCs w:val="20"/>
              </w:rPr>
            </w:pPr>
            <w:hyperlink r:id="rId251" w:anchor="finindex" w:history="1">
              <w:r>
                <w:rPr>
                  <w:rStyle w:val="Hyperlink"/>
                  <w:rFonts w:eastAsia="Times New Roman"/>
                  <w:i/>
                  <w:iCs/>
                  <w:sz w:val="20"/>
                  <w:szCs w:val="20"/>
                </w:rPr>
                <w:t>Table of Contents</w:t>
              </w:r>
            </w:hyperlink>
          </w:p>
        </w:tc>
      </w:tr>
    </w:tbl>
    <w:p w14:paraId="44D7AFB7"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217CCDB5"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4BEC6482"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46D89B34"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7EC6FAC5"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328F5273" w14:textId="77777777" w:rsidR="00000000" w:rsidRDefault="00EB4933">
      <w:pPr>
        <w:pStyle w:val="NormalWeb"/>
        <w:spacing w:before="0" w:beforeAutospacing="0" w:after="0" w:afterAutospacing="0"/>
        <w:jc w:val="both"/>
        <w:divId w:val="98525094"/>
        <w:rPr>
          <w:sz w:val="20"/>
          <w:szCs w:val="20"/>
        </w:rPr>
      </w:pPr>
      <w:r>
        <w:rPr>
          <w:rStyle w:val="Strong"/>
          <w:sz w:val="20"/>
          <w:szCs w:val="20"/>
        </w:rPr>
        <w:t>2.9  Financial assets and financial liabilities (IAS 39 – prior period only) - continued</w:t>
      </w:r>
    </w:p>
    <w:p w14:paraId="3F5ADB6C"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090E5408" w14:textId="77777777">
        <w:trPr>
          <w:divId w:val="98525094"/>
          <w:trHeight w:val="225"/>
          <w:tblCellSpacing w:w="15" w:type="dxa"/>
        </w:trPr>
        <w:tc>
          <w:tcPr>
            <w:tcW w:w="200" w:type="pct"/>
            <w:vAlign w:val="center"/>
            <w:hideMark/>
          </w:tcPr>
          <w:p w14:paraId="1BA08951"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78C09C0C" w14:textId="77777777" w:rsidR="00000000" w:rsidRDefault="00EB4933">
            <w:pPr>
              <w:pStyle w:val="NormalWeb"/>
              <w:spacing w:before="0" w:beforeAutospacing="0" w:after="0" w:afterAutospacing="0"/>
              <w:rPr>
                <w:sz w:val="20"/>
                <w:szCs w:val="20"/>
              </w:rPr>
            </w:pPr>
            <w:r>
              <w:rPr>
                <w:rStyle w:val="Strong"/>
                <w:sz w:val="20"/>
                <w:szCs w:val="20"/>
              </w:rPr>
              <w:t xml:space="preserve">v. </w:t>
            </w:r>
          </w:p>
        </w:tc>
        <w:tc>
          <w:tcPr>
            <w:tcW w:w="0" w:type="auto"/>
            <w:hideMark/>
          </w:tcPr>
          <w:p w14:paraId="102F7E56" w14:textId="77777777" w:rsidR="00000000" w:rsidRDefault="00EB4933">
            <w:pPr>
              <w:rPr>
                <w:rFonts w:eastAsia="Times New Roman"/>
                <w:sz w:val="20"/>
                <w:szCs w:val="20"/>
              </w:rPr>
            </w:pPr>
            <w:r>
              <w:rPr>
                <w:rStyle w:val="Strong"/>
                <w:rFonts w:eastAsia="Times New Roman"/>
                <w:sz w:val="20"/>
                <w:szCs w:val="20"/>
              </w:rPr>
              <w:t>Identification and measurement of impairment - continued</w:t>
            </w:r>
          </w:p>
        </w:tc>
      </w:tr>
    </w:tbl>
    <w:p w14:paraId="05BA5F8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9EF3606" w14:textId="77777777" w:rsidR="00000000" w:rsidRDefault="00EB4933">
      <w:pPr>
        <w:pStyle w:val="NormalWeb"/>
        <w:spacing w:before="0" w:beforeAutospacing="0" w:after="0" w:afterAutospacing="0"/>
        <w:ind w:left="1350"/>
        <w:jc w:val="both"/>
        <w:divId w:val="98525094"/>
        <w:rPr>
          <w:sz w:val="20"/>
          <w:szCs w:val="20"/>
        </w:rPr>
      </w:pPr>
      <w:r>
        <w:rPr>
          <w:rStyle w:val="Strong"/>
          <w:sz w:val="20"/>
          <w:szCs w:val="20"/>
        </w:rPr>
        <w:t xml:space="preserve">Measurement </w:t>
      </w:r>
    </w:p>
    <w:p w14:paraId="48F873AC"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7E7A721C" w14:textId="77777777" w:rsidR="00000000" w:rsidRDefault="00EB4933">
      <w:pPr>
        <w:pStyle w:val="NormalWeb"/>
        <w:spacing w:before="0" w:beforeAutospacing="0" w:after="0" w:afterAutospacing="0"/>
        <w:ind w:left="1350"/>
        <w:jc w:val="both"/>
        <w:divId w:val="98525094"/>
        <w:rPr>
          <w:sz w:val="20"/>
          <w:szCs w:val="20"/>
        </w:rPr>
      </w:pPr>
      <w:r>
        <w:rPr>
          <w:sz w:val="20"/>
          <w:szCs w:val="20"/>
        </w:rPr>
        <w:t>Impairment losses on assets measured at amortized costs are calculated as the difference between the carrying amount and the present value of estimated future cash flows discounted at the asset’s original effective interest rate.</w:t>
      </w:r>
    </w:p>
    <w:p w14:paraId="3A789A34"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3FC08473" w14:textId="77777777" w:rsidR="00000000" w:rsidRDefault="00EB4933">
      <w:pPr>
        <w:pStyle w:val="NormalWeb"/>
        <w:spacing w:before="0" w:beforeAutospacing="0" w:after="0" w:afterAutospacing="0"/>
        <w:ind w:left="1350"/>
        <w:jc w:val="both"/>
        <w:divId w:val="98525094"/>
        <w:rPr>
          <w:sz w:val="20"/>
          <w:szCs w:val="20"/>
        </w:rPr>
      </w:pPr>
      <w:r>
        <w:rPr>
          <w:sz w:val="20"/>
          <w:szCs w:val="20"/>
        </w:rPr>
        <w:t>Impairment losses are re</w:t>
      </w:r>
      <w:r>
        <w:rPr>
          <w:sz w:val="20"/>
          <w:szCs w:val="20"/>
        </w:rPr>
        <w:t>cognized in the Consolidated Statement of Profit and Other Comprehensive Income and reflected in an allowance for loan losses account against loans. If an event occurring after the impairment was recognized causes the amount of impairment loss to decrease,</w:t>
      </w:r>
      <w:r>
        <w:rPr>
          <w:sz w:val="20"/>
          <w:szCs w:val="20"/>
        </w:rPr>
        <w:t xml:space="preserve"> then the decrease in impairment loss is reversed in the Consolidated Statement of Profit and Other Comprehensive Income.</w:t>
      </w:r>
    </w:p>
    <w:p w14:paraId="57A5F52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4BB0761" w14:textId="77777777" w:rsidR="00000000" w:rsidRDefault="00EB4933">
      <w:pPr>
        <w:pStyle w:val="NormalWeb"/>
        <w:spacing w:before="0" w:beforeAutospacing="0" w:after="0" w:afterAutospacing="0"/>
        <w:jc w:val="both"/>
        <w:divId w:val="98525094"/>
        <w:rPr>
          <w:sz w:val="20"/>
          <w:szCs w:val="20"/>
        </w:rPr>
      </w:pPr>
      <w:r>
        <w:rPr>
          <w:rStyle w:val="Strong"/>
          <w:sz w:val="20"/>
          <w:szCs w:val="20"/>
        </w:rPr>
        <w:t>2.10 Cash, cash equivalents and restricted cash</w:t>
      </w:r>
    </w:p>
    <w:p w14:paraId="6616D3C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4C75455" w14:textId="77777777" w:rsidR="00000000" w:rsidRDefault="00EB4933">
      <w:pPr>
        <w:pStyle w:val="NormalWeb"/>
        <w:spacing w:before="0" w:beforeAutospacing="0" w:after="0" w:afterAutospacing="0"/>
        <w:ind w:left="675"/>
        <w:jc w:val="both"/>
        <w:divId w:val="98525094"/>
        <w:rPr>
          <w:sz w:val="20"/>
          <w:szCs w:val="20"/>
        </w:rPr>
      </w:pPr>
      <w:r>
        <w:rPr>
          <w:sz w:val="20"/>
          <w:szCs w:val="20"/>
        </w:rPr>
        <w:t>For the purpose of the consolidated cash flow statements, cash, cash equivalents a</w:t>
      </w:r>
      <w:r>
        <w:rPr>
          <w:sz w:val="20"/>
          <w:szCs w:val="20"/>
        </w:rPr>
        <w:t>nd restricted cash consist of balances with banks and restricted cash with banks.</w:t>
      </w:r>
    </w:p>
    <w:p w14:paraId="3DFB0EF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3798AD1" w14:textId="77777777" w:rsidR="00000000" w:rsidRDefault="00EB4933">
      <w:pPr>
        <w:pStyle w:val="NormalWeb"/>
        <w:spacing w:before="0" w:beforeAutospacing="0" w:after="0" w:afterAutospacing="0"/>
        <w:jc w:val="both"/>
        <w:divId w:val="98525094"/>
        <w:rPr>
          <w:sz w:val="20"/>
          <w:szCs w:val="20"/>
        </w:rPr>
      </w:pPr>
      <w:r>
        <w:rPr>
          <w:rStyle w:val="Strong"/>
          <w:sz w:val="20"/>
          <w:szCs w:val="20"/>
        </w:rPr>
        <w:t>2.11 Property and equipment</w:t>
      </w:r>
    </w:p>
    <w:p w14:paraId="48CF6E8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8CF515C" w14:textId="77777777" w:rsidR="00000000" w:rsidRDefault="00EB4933">
      <w:pPr>
        <w:pStyle w:val="NormalWeb"/>
        <w:spacing w:before="0" w:beforeAutospacing="0" w:after="0" w:afterAutospacing="0"/>
        <w:ind w:left="675"/>
        <w:jc w:val="both"/>
        <w:divId w:val="98525094"/>
        <w:rPr>
          <w:sz w:val="20"/>
          <w:szCs w:val="20"/>
        </w:rPr>
      </w:pPr>
      <w:r>
        <w:rPr>
          <w:sz w:val="20"/>
          <w:szCs w:val="20"/>
        </w:rPr>
        <w:t>Property and equipment are initially measured at cost. The cost of an asset comprises its purchase price and any directly attributable costs o</w:t>
      </w:r>
      <w:r>
        <w:rPr>
          <w:sz w:val="20"/>
          <w:szCs w:val="20"/>
        </w:rPr>
        <w:t>f bringing the asset to the working condition and location for its intended use. Expenditure incurred after property and equipment have been put into operation, such as repairs and maintenance, is normally expensed in the period in which incurred.</w:t>
      </w:r>
    </w:p>
    <w:p w14:paraId="247111FC"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20CBC90A" w14:textId="77777777" w:rsidR="00000000" w:rsidRDefault="00EB4933">
      <w:pPr>
        <w:pStyle w:val="NormalWeb"/>
        <w:spacing w:before="0" w:beforeAutospacing="0" w:after="0" w:afterAutospacing="0"/>
        <w:ind w:left="675"/>
        <w:jc w:val="both"/>
        <w:divId w:val="98525094"/>
        <w:rPr>
          <w:sz w:val="20"/>
          <w:szCs w:val="20"/>
        </w:rPr>
      </w:pPr>
      <w:r>
        <w:rPr>
          <w:sz w:val="20"/>
          <w:szCs w:val="20"/>
        </w:rPr>
        <w:t xml:space="preserve">Property and equipment are subsequently measured at cost less accumulated depreciation. Property and equipment are depreciated on a straight-line basis, considering any estimated residual value, over the estimated useful lives of the assets. The estimated </w:t>
      </w:r>
      <w:r>
        <w:rPr>
          <w:sz w:val="20"/>
          <w:szCs w:val="20"/>
        </w:rPr>
        <w:t>useful lives, residual values and depreciation method are reviewed at the end of each reporting period, with the effect of any changes in estimate accounted for on a prospective basis.</w:t>
      </w:r>
    </w:p>
    <w:p w14:paraId="44EC4BF7"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382B1993" w14:textId="77777777" w:rsidR="00000000" w:rsidRDefault="00EB4933">
      <w:pPr>
        <w:pStyle w:val="NormalWeb"/>
        <w:spacing w:before="0" w:beforeAutospacing="0" w:after="0" w:afterAutospacing="0"/>
        <w:ind w:left="675"/>
        <w:jc w:val="both"/>
        <w:divId w:val="98525094"/>
        <w:rPr>
          <w:sz w:val="20"/>
          <w:szCs w:val="20"/>
        </w:rPr>
      </w:pPr>
      <w:r>
        <w:rPr>
          <w:sz w:val="20"/>
          <w:szCs w:val="20"/>
        </w:rPr>
        <w:t>The estimated useful lives of the assets are as follows:</w:t>
      </w:r>
    </w:p>
    <w:p w14:paraId="6880E3E2"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4362"/>
        <w:gridCol w:w="4249"/>
      </w:tblGrid>
      <w:tr w:rsidR="00000000" w14:paraId="5623B922" w14:textId="77777777">
        <w:trPr>
          <w:divId w:val="98525094"/>
          <w:trHeight w:val="225"/>
          <w:tblCellSpacing w:w="15" w:type="dxa"/>
        </w:trPr>
        <w:tc>
          <w:tcPr>
            <w:tcW w:w="1900" w:type="pct"/>
            <w:vAlign w:val="center"/>
            <w:hideMark/>
          </w:tcPr>
          <w:p w14:paraId="33B339E2" w14:textId="77777777" w:rsidR="00000000" w:rsidRDefault="00EB4933">
            <w:pPr>
              <w:pStyle w:val="NormalWeb"/>
              <w:spacing w:before="0" w:beforeAutospacing="0" w:after="0" w:afterAutospacing="0"/>
              <w:jc w:val="both"/>
              <w:rPr>
                <w:sz w:val="20"/>
                <w:szCs w:val="20"/>
              </w:rPr>
            </w:pPr>
            <w:r>
              <w:rPr>
                <w:sz w:val="20"/>
                <w:szCs w:val="20"/>
              </w:rPr>
              <w:t> </w:t>
            </w:r>
          </w:p>
        </w:tc>
        <w:tc>
          <w:tcPr>
            <w:tcW w:w="1850" w:type="pct"/>
            <w:hideMark/>
          </w:tcPr>
          <w:p w14:paraId="7DC05256" w14:textId="77777777" w:rsidR="00000000" w:rsidRDefault="00EB4933">
            <w:pPr>
              <w:pStyle w:val="NormalWeb"/>
              <w:spacing w:before="0" w:beforeAutospacing="0" w:after="0" w:afterAutospacing="0"/>
              <w:jc w:val="both"/>
              <w:rPr>
                <w:sz w:val="20"/>
                <w:szCs w:val="20"/>
              </w:rPr>
            </w:pPr>
            <w:r>
              <w:rPr>
                <w:sz w:val="20"/>
                <w:szCs w:val="20"/>
              </w:rPr>
              <w:t>Estimate</w:t>
            </w:r>
            <w:r>
              <w:rPr>
                <w:sz w:val="20"/>
                <w:szCs w:val="20"/>
              </w:rPr>
              <w:t>d useful life</w:t>
            </w:r>
          </w:p>
        </w:tc>
      </w:tr>
      <w:tr w:rsidR="00000000" w14:paraId="221DF85A" w14:textId="77777777">
        <w:trPr>
          <w:divId w:val="98525094"/>
          <w:trHeight w:val="225"/>
          <w:tblCellSpacing w:w="15" w:type="dxa"/>
        </w:trPr>
        <w:tc>
          <w:tcPr>
            <w:tcW w:w="1900" w:type="pct"/>
            <w:hideMark/>
          </w:tcPr>
          <w:p w14:paraId="33822BFD" w14:textId="77777777" w:rsidR="00000000" w:rsidRDefault="00EB4933">
            <w:pPr>
              <w:pStyle w:val="NormalWeb"/>
              <w:spacing w:before="0" w:beforeAutospacing="0" w:after="0" w:afterAutospacing="0"/>
              <w:jc w:val="both"/>
              <w:rPr>
                <w:sz w:val="20"/>
                <w:szCs w:val="20"/>
              </w:rPr>
            </w:pPr>
            <w:r>
              <w:rPr>
                <w:sz w:val="20"/>
                <w:szCs w:val="20"/>
              </w:rPr>
              <w:t>Property</w:t>
            </w:r>
          </w:p>
        </w:tc>
        <w:tc>
          <w:tcPr>
            <w:tcW w:w="1850" w:type="pct"/>
            <w:hideMark/>
          </w:tcPr>
          <w:p w14:paraId="23DE4C33" w14:textId="77777777" w:rsidR="00000000" w:rsidRDefault="00EB4933">
            <w:pPr>
              <w:pStyle w:val="NormalWeb"/>
              <w:spacing w:before="0" w:beforeAutospacing="0" w:after="0" w:afterAutospacing="0"/>
              <w:jc w:val="both"/>
              <w:rPr>
                <w:sz w:val="20"/>
                <w:szCs w:val="20"/>
              </w:rPr>
            </w:pPr>
            <w:r>
              <w:rPr>
                <w:sz w:val="20"/>
                <w:szCs w:val="20"/>
              </w:rPr>
              <w:t>20 years</w:t>
            </w:r>
          </w:p>
        </w:tc>
      </w:tr>
      <w:tr w:rsidR="00000000" w14:paraId="4F80F374" w14:textId="77777777">
        <w:trPr>
          <w:divId w:val="98525094"/>
          <w:trHeight w:val="225"/>
          <w:tblCellSpacing w:w="15" w:type="dxa"/>
        </w:trPr>
        <w:tc>
          <w:tcPr>
            <w:tcW w:w="1900" w:type="pct"/>
            <w:hideMark/>
          </w:tcPr>
          <w:p w14:paraId="72CD5488" w14:textId="77777777" w:rsidR="00000000" w:rsidRDefault="00EB4933">
            <w:pPr>
              <w:pStyle w:val="NormalWeb"/>
              <w:spacing w:before="0" w:beforeAutospacing="0" w:after="0" w:afterAutospacing="0"/>
              <w:jc w:val="both"/>
              <w:rPr>
                <w:sz w:val="20"/>
                <w:szCs w:val="20"/>
              </w:rPr>
            </w:pPr>
            <w:r>
              <w:rPr>
                <w:sz w:val="20"/>
                <w:szCs w:val="20"/>
              </w:rPr>
              <w:t>Leasehold improvement</w:t>
            </w:r>
          </w:p>
        </w:tc>
        <w:tc>
          <w:tcPr>
            <w:tcW w:w="1850" w:type="pct"/>
            <w:hideMark/>
          </w:tcPr>
          <w:p w14:paraId="4A30DC51" w14:textId="77777777" w:rsidR="00000000" w:rsidRDefault="00EB4933">
            <w:pPr>
              <w:pStyle w:val="NormalWeb"/>
              <w:spacing w:before="0" w:beforeAutospacing="0" w:after="0" w:afterAutospacing="0"/>
              <w:jc w:val="both"/>
              <w:rPr>
                <w:sz w:val="20"/>
                <w:szCs w:val="20"/>
              </w:rPr>
            </w:pPr>
            <w:r>
              <w:rPr>
                <w:sz w:val="20"/>
                <w:szCs w:val="20"/>
              </w:rPr>
              <w:t>5 years</w:t>
            </w:r>
          </w:p>
        </w:tc>
      </w:tr>
      <w:tr w:rsidR="00000000" w14:paraId="4D858581" w14:textId="77777777">
        <w:trPr>
          <w:divId w:val="98525094"/>
          <w:trHeight w:val="225"/>
          <w:tblCellSpacing w:w="15" w:type="dxa"/>
        </w:trPr>
        <w:tc>
          <w:tcPr>
            <w:tcW w:w="1900" w:type="pct"/>
            <w:hideMark/>
          </w:tcPr>
          <w:p w14:paraId="210895CA" w14:textId="77777777" w:rsidR="00000000" w:rsidRDefault="00EB4933">
            <w:pPr>
              <w:pStyle w:val="NormalWeb"/>
              <w:spacing w:before="0" w:beforeAutospacing="0" w:after="0" w:afterAutospacing="0"/>
              <w:jc w:val="both"/>
              <w:rPr>
                <w:sz w:val="20"/>
                <w:szCs w:val="20"/>
              </w:rPr>
            </w:pPr>
            <w:r>
              <w:rPr>
                <w:sz w:val="20"/>
                <w:szCs w:val="20"/>
              </w:rPr>
              <w:t>Vehicles</w:t>
            </w:r>
          </w:p>
        </w:tc>
        <w:tc>
          <w:tcPr>
            <w:tcW w:w="1850" w:type="pct"/>
            <w:hideMark/>
          </w:tcPr>
          <w:p w14:paraId="61672865" w14:textId="77777777" w:rsidR="00000000" w:rsidRDefault="00EB4933">
            <w:pPr>
              <w:pStyle w:val="NormalWeb"/>
              <w:spacing w:before="0" w:beforeAutospacing="0" w:after="0" w:afterAutospacing="0"/>
              <w:jc w:val="both"/>
              <w:rPr>
                <w:sz w:val="20"/>
                <w:szCs w:val="20"/>
              </w:rPr>
            </w:pPr>
            <w:r>
              <w:rPr>
                <w:sz w:val="20"/>
                <w:szCs w:val="20"/>
              </w:rPr>
              <w:t>5 years</w:t>
            </w:r>
          </w:p>
        </w:tc>
      </w:tr>
      <w:tr w:rsidR="00000000" w14:paraId="704B24E4" w14:textId="77777777">
        <w:trPr>
          <w:divId w:val="98525094"/>
          <w:trHeight w:val="225"/>
          <w:tblCellSpacing w:w="15" w:type="dxa"/>
        </w:trPr>
        <w:tc>
          <w:tcPr>
            <w:tcW w:w="1900" w:type="pct"/>
            <w:hideMark/>
          </w:tcPr>
          <w:p w14:paraId="165F8566" w14:textId="77777777" w:rsidR="00000000" w:rsidRDefault="00EB4933">
            <w:pPr>
              <w:pStyle w:val="NormalWeb"/>
              <w:spacing w:before="0" w:beforeAutospacing="0" w:after="0" w:afterAutospacing="0"/>
              <w:jc w:val="both"/>
              <w:rPr>
                <w:sz w:val="20"/>
                <w:szCs w:val="20"/>
              </w:rPr>
            </w:pPr>
            <w:r>
              <w:rPr>
                <w:sz w:val="20"/>
                <w:szCs w:val="20"/>
              </w:rPr>
              <w:t xml:space="preserve">Office equipment and furniture </w:t>
            </w:r>
          </w:p>
        </w:tc>
        <w:tc>
          <w:tcPr>
            <w:tcW w:w="1850" w:type="pct"/>
            <w:hideMark/>
          </w:tcPr>
          <w:p w14:paraId="698D643B" w14:textId="77777777" w:rsidR="00000000" w:rsidRDefault="00EB4933">
            <w:pPr>
              <w:pStyle w:val="NormalWeb"/>
              <w:spacing w:before="0" w:beforeAutospacing="0" w:after="0" w:afterAutospacing="0"/>
              <w:jc w:val="both"/>
              <w:rPr>
                <w:sz w:val="20"/>
                <w:szCs w:val="20"/>
              </w:rPr>
            </w:pPr>
            <w:r>
              <w:rPr>
                <w:sz w:val="20"/>
                <w:szCs w:val="20"/>
              </w:rPr>
              <w:t>3 years</w:t>
            </w:r>
          </w:p>
        </w:tc>
      </w:tr>
    </w:tbl>
    <w:p w14:paraId="0DD32988"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p w14:paraId="78ECECB1" w14:textId="77777777" w:rsidR="00000000" w:rsidRDefault="00EB4933">
      <w:pPr>
        <w:pStyle w:val="NormalWeb"/>
        <w:spacing w:before="0" w:beforeAutospacing="0" w:after="0" w:afterAutospacing="0"/>
        <w:jc w:val="both"/>
        <w:divId w:val="98525094"/>
        <w:rPr>
          <w:sz w:val="20"/>
          <w:szCs w:val="20"/>
        </w:rPr>
      </w:pPr>
      <w:r>
        <w:rPr>
          <w:rStyle w:val="Strong"/>
          <w:sz w:val="20"/>
          <w:szCs w:val="20"/>
        </w:rPr>
        <w:t>2.12 Intangible assets</w:t>
      </w:r>
    </w:p>
    <w:p w14:paraId="34413B8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595CCB6" w14:textId="77777777" w:rsidR="00000000" w:rsidRDefault="00EB4933">
      <w:pPr>
        <w:pStyle w:val="NormalWeb"/>
        <w:spacing w:before="0" w:beforeAutospacing="0" w:after="0" w:afterAutospacing="0"/>
        <w:ind w:left="675"/>
        <w:jc w:val="both"/>
        <w:divId w:val="98525094"/>
        <w:rPr>
          <w:sz w:val="20"/>
          <w:szCs w:val="20"/>
        </w:rPr>
      </w:pPr>
      <w:r>
        <w:rPr>
          <w:sz w:val="20"/>
          <w:szCs w:val="20"/>
        </w:rPr>
        <w:t>Acquired computer software licenses are capitalized on the basis of the costs incurred to acquire and bring to use the specific software. These costs are amortized over their estimated useful lives of five years.</w:t>
      </w:r>
    </w:p>
    <w:p w14:paraId="1EDB4912"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227E41A" w14:textId="77777777">
        <w:trPr>
          <w:divId w:val="98525094"/>
          <w:trHeight w:val="225"/>
          <w:tblCellSpacing w:w="15" w:type="dxa"/>
        </w:trPr>
        <w:tc>
          <w:tcPr>
            <w:tcW w:w="0" w:type="auto"/>
            <w:vAlign w:val="center"/>
            <w:hideMark/>
          </w:tcPr>
          <w:p w14:paraId="5D8F010B" w14:textId="77777777" w:rsidR="00000000" w:rsidRDefault="00EB4933">
            <w:pPr>
              <w:rPr>
                <w:rFonts w:eastAsia="Times New Roman"/>
                <w:sz w:val="20"/>
                <w:szCs w:val="20"/>
              </w:rPr>
            </w:pPr>
            <w:r>
              <w:rPr>
                <w:rFonts w:eastAsia="Times New Roman"/>
                <w:sz w:val="20"/>
                <w:szCs w:val="20"/>
              </w:rPr>
              <w:t> </w:t>
            </w:r>
          </w:p>
        </w:tc>
      </w:tr>
      <w:tr w:rsidR="00000000" w14:paraId="7F830E4A" w14:textId="77777777">
        <w:trPr>
          <w:divId w:val="98525094"/>
          <w:trHeight w:val="225"/>
          <w:tblCellSpacing w:w="15" w:type="dxa"/>
        </w:trPr>
        <w:tc>
          <w:tcPr>
            <w:tcW w:w="0" w:type="auto"/>
            <w:tcBorders>
              <w:bottom w:val="single" w:sz="6" w:space="0" w:color="000000"/>
            </w:tcBorders>
            <w:vAlign w:val="center"/>
            <w:hideMark/>
          </w:tcPr>
          <w:p w14:paraId="5F66A2DE" w14:textId="77777777" w:rsidR="00000000" w:rsidRDefault="00EB4933">
            <w:pPr>
              <w:jc w:val="center"/>
              <w:rPr>
                <w:rFonts w:eastAsia="Times New Roman"/>
                <w:sz w:val="20"/>
                <w:szCs w:val="20"/>
              </w:rPr>
            </w:pPr>
            <w:r>
              <w:rPr>
                <w:rFonts w:eastAsia="Times New Roman"/>
                <w:sz w:val="20"/>
                <w:szCs w:val="20"/>
              </w:rPr>
              <w:t>F-35</w:t>
            </w:r>
          </w:p>
        </w:tc>
      </w:tr>
      <w:tr w:rsidR="00000000" w14:paraId="556B4E46" w14:textId="77777777">
        <w:trPr>
          <w:divId w:val="98525094"/>
          <w:trHeight w:val="225"/>
          <w:tblCellSpacing w:w="15" w:type="dxa"/>
        </w:trPr>
        <w:tc>
          <w:tcPr>
            <w:tcW w:w="0" w:type="auto"/>
            <w:vAlign w:val="center"/>
            <w:hideMark/>
          </w:tcPr>
          <w:p w14:paraId="61C81F72" w14:textId="77777777" w:rsidR="00000000" w:rsidRDefault="00EB4933">
            <w:pPr>
              <w:rPr>
                <w:rFonts w:eastAsia="Times New Roman"/>
                <w:sz w:val="20"/>
                <w:szCs w:val="20"/>
              </w:rPr>
            </w:pPr>
          </w:p>
        </w:tc>
      </w:tr>
      <w:tr w:rsidR="00000000" w14:paraId="6976B204" w14:textId="77777777">
        <w:trPr>
          <w:divId w:val="98525094"/>
          <w:trHeight w:val="225"/>
          <w:tblCellSpacing w:w="15" w:type="dxa"/>
        </w:trPr>
        <w:tc>
          <w:tcPr>
            <w:tcW w:w="0" w:type="auto"/>
            <w:vAlign w:val="center"/>
            <w:hideMark/>
          </w:tcPr>
          <w:p w14:paraId="10A6C8EC" w14:textId="77777777" w:rsidR="00000000" w:rsidRDefault="00EB4933">
            <w:pPr>
              <w:rPr>
                <w:rFonts w:eastAsia="Times New Roman"/>
                <w:sz w:val="20"/>
                <w:szCs w:val="20"/>
              </w:rPr>
            </w:pPr>
            <w:hyperlink r:id="rId252" w:anchor="finindex" w:history="1">
              <w:r>
                <w:rPr>
                  <w:rStyle w:val="Hyperlink"/>
                  <w:rFonts w:eastAsia="Times New Roman"/>
                  <w:i/>
                  <w:iCs/>
                  <w:sz w:val="20"/>
                  <w:szCs w:val="20"/>
                </w:rPr>
                <w:t>Table of Contents</w:t>
              </w:r>
            </w:hyperlink>
          </w:p>
        </w:tc>
      </w:tr>
    </w:tbl>
    <w:p w14:paraId="09982AB5"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2DAB20C5"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1914F631"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54357A5C"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22A3FCFB"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082CEFB2" w14:textId="77777777" w:rsidR="00000000" w:rsidRDefault="00EB4933">
      <w:pPr>
        <w:pStyle w:val="NormalWeb"/>
        <w:spacing w:before="0" w:beforeAutospacing="0" w:after="0" w:afterAutospacing="0"/>
        <w:jc w:val="both"/>
        <w:divId w:val="98525094"/>
        <w:rPr>
          <w:sz w:val="20"/>
          <w:szCs w:val="20"/>
        </w:rPr>
      </w:pPr>
      <w:r>
        <w:rPr>
          <w:rStyle w:val="Strong"/>
          <w:sz w:val="20"/>
          <w:szCs w:val="20"/>
        </w:rPr>
        <w:t>2.13 Impairment of non-financial assets</w:t>
      </w:r>
    </w:p>
    <w:p w14:paraId="3EF43038"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38EAA2CB" w14:textId="77777777" w:rsidR="00000000" w:rsidRDefault="00EB4933">
      <w:pPr>
        <w:pStyle w:val="NormalWeb"/>
        <w:spacing w:before="0" w:beforeAutospacing="0" w:after="0" w:afterAutospacing="0"/>
        <w:ind w:left="675"/>
        <w:jc w:val="both"/>
        <w:divId w:val="98525094"/>
        <w:rPr>
          <w:sz w:val="20"/>
          <w:szCs w:val="20"/>
        </w:rPr>
      </w:pPr>
      <w:r>
        <w:rPr>
          <w:sz w:val="20"/>
          <w:szCs w:val="20"/>
        </w:rPr>
        <w:t>At each reporting date, the Group reviews the carrying amounts of its non-financial assets to determine whether there is any indication of impairment. If any such indication exists, then the asset’s recoverable amount is estimated.</w:t>
      </w:r>
    </w:p>
    <w:p w14:paraId="1C742668"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2EF22366" w14:textId="77777777" w:rsidR="00000000" w:rsidRDefault="00EB4933">
      <w:pPr>
        <w:pStyle w:val="NormalWeb"/>
        <w:spacing w:before="0" w:beforeAutospacing="0" w:after="0" w:afterAutospacing="0"/>
        <w:ind w:left="675"/>
        <w:jc w:val="both"/>
        <w:divId w:val="98525094"/>
        <w:rPr>
          <w:sz w:val="20"/>
          <w:szCs w:val="20"/>
        </w:rPr>
      </w:pPr>
      <w:r>
        <w:rPr>
          <w:sz w:val="20"/>
          <w:szCs w:val="20"/>
        </w:rPr>
        <w:t>For impairment testing</w:t>
      </w:r>
      <w:r>
        <w:rPr>
          <w:sz w:val="20"/>
          <w:szCs w:val="20"/>
        </w:rPr>
        <w:t>, assets are grouped together into the smallest group of assets that generates cash inflows from continuing use that is largely independent of the cash inflows of other assets.</w:t>
      </w:r>
    </w:p>
    <w:p w14:paraId="1A44BBB3"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59E18BFB" w14:textId="77777777" w:rsidR="00000000" w:rsidRDefault="00EB4933">
      <w:pPr>
        <w:pStyle w:val="NormalWeb"/>
        <w:spacing w:before="0" w:beforeAutospacing="0" w:after="0" w:afterAutospacing="0"/>
        <w:ind w:left="675"/>
        <w:jc w:val="both"/>
        <w:divId w:val="98525094"/>
        <w:rPr>
          <w:sz w:val="20"/>
          <w:szCs w:val="20"/>
        </w:rPr>
      </w:pPr>
      <w:r>
        <w:rPr>
          <w:sz w:val="20"/>
          <w:szCs w:val="20"/>
        </w:rPr>
        <w:t>The recoverable amount of an asset is the greater of its value in use and its</w:t>
      </w:r>
      <w:r>
        <w:rPr>
          <w:sz w:val="20"/>
          <w:szCs w:val="20"/>
        </w:rPr>
        <w:t xml:space="preserve"> fair value less costs to sell. Value in use is based on the estimated future cash flows, discounted to their present value using a pre-tax discount rate that reflects current market assessments of the time value of money and the risks specific to the asse</w:t>
      </w:r>
      <w:r>
        <w:rPr>
          <w:sz w:val="20"/>
          <w:szCs w:val="20"/>
        </w:rPr>
        <w:t>t.</w:t>
      </w:r>
    </w:p>
    <w:p w14:paraId="3CC400BD"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465D235C" w14:textId="77777777" w:rsidR="00000000" w:rsidRDefault="00EB4933">
      <w:pPr>
        <w:pStyle w:val="NormalWeb"/>
        <w:spacing w:before="0" w:beforeAutospacing="0" w:after="0" w:afterAutospacing="0"/>
        <w:ind w:left="675"/>
        <w:jc w:val="both"/>
        <w:divId w:val="98525094"/>
        <w:rPr>
          <w:sz w:val="20"/>
          <w:szCs w:val="20"/>
        </w:rPr>
      </w:pPr>
      <w:r>
        <w:rPr>
          <w:sz w:val="20"/>
          <w:szCs w:val="20"/>
        </w:rPr>
        <w:t>An impairment loss is recognized if the carrying amount of an asset exceeds its recoverable amount.</w:t>
      </w:r>
    </w:p>
    <w:p w14:paraId="7E224BF2"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04C886B8" w14:textId="77777777" w:rsidR="00000000" w:rsidRDefault="00EB4933">
      <w:pPr>
        <w:pStyle w:val="NormalWeb"/>
        <w:spacing w:before="0" w:beforeAutospacing="0" w:after="0" w:afterAutospacing="0"/>
        <w:ind w:left="675"/>
        <w:jc w:val="both"/>
        <w:divId w:val="98525094"/>
        <w:rPr>
          <w:sz w:val="20"/>
          <w:szCs w:val="20"/>
        </w:rPr>
      </w:pPr>
      <w:r>
        <w:rPr>
          <w:sz w:val="20"/>
          <w:szCs w:val="20"/>
        </w:rPr>
        <w:t>Impairment losses are recognized in the Consolidated Statement of Profit and Other Comprehensive Income.</w:t>
      </w:r>
    </w:p>
    <w:p w14:paraId="1BE4E171"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36A9600D" w14:textId="77777777" w:rsidR="00000000" w:rsidRDefault="00EB4933">
      <w:pPr>
        <w:pStyle w:val="NormalWeb"/>
        <w:spacing w:before="0" w:beforeAutospacing="0" w:after="0" w:afterAutospacing="0"/>
        <w:ind w:left="675"/>
        <w:jc w:val="both"/>
        <w:divId w:val="98525094"/>
        <w:rPr>
          <w:sz w:val="20"/>
          <w:szCs w:val="20"/>
        </w:rPr>
      </w:pPr>
      <w:r>
        <w:rPr>
          <w:sz w:val="20"/>
          <w:szCs w:val="20"/>
        </w:rPr>
        <w:t>An impairment loss is reversed only to the</w:t>
      </w:r>
      <w:r>
        <w:rPr>
          <w:sz w:val="20"/>
          <w:szCs w:val="20"/>
        </w:rPr>
        <w:t xml:space="preserve"> extent that the asset’s carrying amount does not exceed the carrying amount that would have been determined, net of depreciation or amortization, if no impairment loss had been recognized.</w:t>
      </w:r>
    </w:p>
    <w:p w14:paraId="1AD6AED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8FD1E1B" w14:textId="77777777" w:rsidR="00000000" w:rsidRDefault="00EB4933">
      <w:pPr>
        <w:pStyle w:val="NormalWeb"/>
        <w:spacing w:before="0" w:beforeAutospacing="0" w:after="0" w:afterAutospacing="0"/>
        <w:jc w:val="both"/>
        <w:divId w:val="98525094"/>
        <w:rPr>
          <w:sz w:val="20"/>
          <w:szCs w:val="20"/>
        </w:rPr>
      </w:pPr>
      <w:r>
        <w:rPr>
          <w:rStyle w:val="Strong"/>
          <w:sz w:val="20"/>
          <w:szCs w:val="20"/>
        </w:rPr>
        <w:t>2.14 Provisions</w:t>
      </w:r>
    </w:p>
    <w:p w14:paraId="6178C2A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0D0807E" w14:textId="77777777" w:rsidR="00000000" w:rsidRDefault="00EB4933">
      <w:pPr>
        <w:pStyle w:val="NormalWeb"/>
        <w:spacing w:before="0" w:beforeAutospacing="0" w:after="0" w:afterAutospacing="0"/>
        <w:ind w:left="675"/>
        <w:jc w:val="both"/>
        <w:divId w:val="98525094"/>
        <w:rPr>
          <w:sz w:val="20"/>
          <w:szCs w:val="20"/>
        </w:rPr>
      </w:pPr>
      <w:r>
        <w:rPr>
          <w:sz w:val="20"/>
          <w:szCs w:val="20"/>
        </w:rPr>
        <w:t>A provision is recognized if, as a result of a</w:t>
      </w:r>
      <w:r>
        <w:rPr>
          <w:sz w:val="20"/>
          <w:szCs w:val="20"/>
        </w:rPr>
        <w:t xml:space="preserve"> past event, the Group has a present legal or constructive obligation that can be estimated reliably, and it is probable that an outflow of economic benefits will be required to settle the obligation. Provisions are determined by discounting the expected f</w:t>
      </w:r>
      <w:r>
        <w:rPr>
          <w:sz w:val="20"/>
          <w:szCs w:val="20"/>
        </w:rPr>
        <w:t>uture cash flows at a pre-tax rate that reflects current market assessments of the time value of money and the risks specific to the liability. The unwinding of the discount is recognized as finance cost.</w:t>
      </w:r>
    </w:p>
    <w:p w14:paraId="09DE5D55"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A4046D1" w14:textId="77777777">
        <w:trPr>
          <w:divId w:val="98525094"/>
          <w:trHeight w:val="225"/>
          <w:tblCellSpacing w:w="15" w:type="dxa"/>
        </w:trPr>
        <w:tc>
          <w:tcPr>
            <w:tcW w:w="0" w:type="auto"/>
            <w:vAlign w:val="center"/>
            <w:hideMark/>
          </w:tcPr>
          <w:p w14:paraId="32AF4D96" w14:textId="77777777" w:rsidR="00000000" w:rsidRDefault="00EB4933">
            <w:pPr>
              <w:rPr>
                <w:rFonts w:eastAsia="Times New Roman"/>
                <w:sz w:val="20"/>
                <w:szCs w:val="20"/>
              </w:rPr>
            </w:pPr>
            <w:r>
              <w:rPr>
                <w:rFonts w:eastAsia="Times New Roman"/>
                <w:sz w:val="20"/>
                <w:szCs w:val="20"/>
              </w:rPr>
              <w:t> </w:t>
            </w:r>
          </w:p>
        </w:tc>
      </w:tr>
      <w:tr w:rsidR="00000000" w14:paraId="3CE60920" w14:textId="77777777">
        <w:trPr>
          <w:divId w:val="98525094"/>
          <w:trHeight w:val="225"/>
          <w:tblCellSpacing w:w="15" w:type="dxa"/>
        </w:trPr>
        <w:tc>
          <w:tcPr>
            <w:tcW w:w="0" w:type="auto"/>
            <w:tcBorders>
              <w:bottom w:val="single" w:sz="6" w:space="0" w:color="000000"/>
            </w:tcBorders>
            <w:vAlign w:val="center"/>
            <w:hideMark/>
          </w:tcPr>
          <w:p w14:paraId="5EE972CD" w14:textId="77777777" w:rsidR="00000000" w:rsidRDefault="00EB4933">
            <w:pPr>
              <w:jc w:val="center"/>
              <w:rPr>
                <w:rFonts w:eastAsia="Times New Roman"/>
                <w:sz w:val="20"/>
                <w:szCs w:val="20"/>
              </w:rPr>
            </w:pPr>
            <w:r>
              <w:rPr>
                <w:rFonts w:eastAsia="Times New Roman"/>
                <w:sz w:val="20"/>
                <w:szCs w:val="20"/>
              </w:rPr>
              <w:t>F-36</w:t>
            </w:r>
          </w:p>
        </w:tc>
      </w:tr>
      <w:tr w:rsidR="00000000" w14:paraId="6A6772FD" w14:textId="77777777">
        <w:trPr>
          <w:divId w:val="98525094"/>
          <w:trHeight w:val="225"/>
          <w:tblCellSpacing w:w="15" w:type="dxa"/>
        </w:trPr>
        <w:tc>
          <w:tcPr>
            <w:tcW w:w="0" w:type="auto"/>
            <w:vAlign w:val="center"/>
            <w:hideMark/>
          </w:tcPr>
          <w:p w14:paraId="5FF8E49E" w14:textId="77777777" w:rsidR="00000000" w:rsidRDefault="00EB4933">
            <w:pPr>
              <w:rPr>
                <w:rFonts w:eastAsia="Times New Roman"/>
                <w:sz w:val="20"/>
                <w:szCs w:val="20"/>
              </w:rPr>
            </w:pPr>
          </w:p>
        </w:tc>
      </w:tr>
      <w:tr w:rsidR="00000000" w14:paraId="000B581D" w14:textId="77777777">
        <w:trPr>
          <w:divId w:val="98525094"/>
          <w:trHeight w:val="225"/>
          <w:tblCellSpacing w:w="15" w:type="dxa"/>
        </w:trPr>
        <w:tc>
          <w:tcPr>
            <w:tcW w:w="0" w:type="auto"/>
            <w:vAlign w:val="center"/>
            <w:hideMark/>
          </w:tcPr>
          <w:p w14:paraId="1DB33BD7" w14:textId="77777777" w:rsidR="00000000" w:rsidRDefault="00EB4933">
            <w:pPr>
              <w:rPr>
                <w:rFonts w:eastAsia="Times New Roman"/>
                <w:sz w:val="20"/>
                <w:szCs w:val="20"/>
              </w:rPr>
            </w:pPr>
            <w:hyperlink r:id="rId253" w:anchor="finindex" w:history="1">
              <w:r>
                <w:rPr>
                  <w:rStyle w:val="Hyperlink"/>
                  <w:rFonts w:eastAsia="Times New Roman"/>
                  <w:i/>
                  <w:iCs/>
                  <w:sz w:val="20"/>
                  <w:szCs w:val="20"/>
                </w:rPr>
                <w:t>Table of Contents</w:t>
              </w:r>
            </w:hyperlink>
          </w:p>
        </w:tc>
      </w:tr>
    </w:tbl>
    <w:p w14:paraId="4E3FFC11"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07B6067A"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6D231F74"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777A9AA0"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358AE523"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2C8530AE" w14:textId="77777777" w:rsidR="00000000" w:rsidRDefault="00EB4933">
      <w:pPr>
        <w:pStyle w:val="NormalWeb"/>
        <w:spacing w:before="0" w:beforeAutospacing="0" w:after="0" w:afterAutospacing="0"/>
        <w:jc w:val="both"/>
        <w:divId w:val="98525094"/>
        <w:rPr>
          <w:sz w:val="20"/>
          <w:szCs w:val="20"/>
        </w:rPr>
      </w:pPr>
      <w:r>
        <w:rPr>
          <w:sz w:val="20"/>
          <w:szCs w:val="20"/>
        </w:rPr>
        <w:t> </w:t>
      </w:r>
      <w:r>
        <w:rPr>
          <w:rStyle w:val="Strong"/>
          <w:sz w:val="20"/>
          <w:szCs w:val="20"/>
        </w:rPr>
        <w:t>2.15 Share-based payments</w:t>
      </w:r>
    </w:p>
    <w:p w14:paraId="0CA94933"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p w14:paraId="5569CFAA" w14:textId="77777777" w:rsidR="00000000" w:rsidRDefault="00EB4933">
      <w:pPr>
        <w:pStyle w:val="NormalWeb"/>
        <w:spacing w:before="0" w:beforeAutospacing="0" w:after="0" w:afterAutospacing="0"/>
        <w:ind w:left="675"/>
        <w:jc w:val="both"/>
        <w:divId w:val="98525094"/>
        <w:rPr>
          <w:sz w:val="20"/>
          <w:szCs w:val="20"/>
        </w:rPr>
      </w:pPr>
      <w:r>
        <w:rPr>
          <w:sz w:val="20"/>
          <w:szCs w:val="20"/>
        </w:rPr>
        <w:t xml:space="preserve">In December 2010, the Company </w:t>
      </w:r>
      <w:r>
        <w:rPr>
          <w:sz w:val="20"/>
          <w:szCs w:val="20"/>
        </w:rPr>
        <w:t>established the 2010 Equity Incentive Plan to help recruit and retain key employees, directors or consultants by providing incentives through the granting of equity awards. Under the 2010 Equity Incentive Plan, the Company may issue equity awards in the fo</w:t>
      </w:r>
      <w:r>
        <w:rPr>
          <w:sz w:val="20"/>
          <w:szCs w:val="20"/>
        </w:rPr>
        <w:t>rm of share options, restricted shares, or share appreciation rights. The maximum aggregate number of ordinary shares that may be issued pursuant to all awards is 23,200,000. No awards were made under the plan during the years ended December 31, 2016 and 2</w:t>
      </w:r>
      <w:r>
        <w:rPr>
          <w:sz w:val="20"/>
          <w:szCs w:val="20"/>
        </w:rPr>
        <w:t xml:space="preserve">017. For the year ended December 31, 2018 and 2019, a total of 862,148 and 269,252 ordinary shares were issued to certain directors and a key employee as a share-based compensation, respectively. </w:t>
      </w:r>
    </w:p>
    <w:p w14:paraId="5750980E"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49E62F1F" w14:textId="77777777" w:rsidR="00000000" w:rsidRDefault="00EB4933">
      <w:pPr>
        <w:pStyle w:val="NormalWeb"/>
        <w:spacing w:before="0" w:beforeAutospacing="0" w:after="0" w:afterAutospacing="0"/>
        <w:ind w:left="675"/>
        <w:jc w:val="both"/>
        <w:divId w:val="98525094"/>
        <w:rPr>
          <w:sz w:val="20"/>
          <w:szCs w:val="20"/>
        </w:rPr>
      </w:pPr>
      <w:r>
        <w:rPr>
          <w:sz w:val="20"/>
          <w:szCs w:val="20"/>
        </w:rPr>
        <w:t>The Group recognizes share-based compensation in relation</w:t>
      </w:r>
      <w:r>
        <w:rPr>
          <w:sz w:val="20"/>
          <w:szCs w:val="20"/>
        </w:rPr>
        <w:t xml:space="preserve"> to awards issued under the 2010 Equity Incentive Plan in the Consolidated Statements of Profit and Other Comprehensive Income based on the fair value of the equity awards on the date of the grant, and considering any applicable performance criteria and es</w:t>
      </w:r>
      <w:r>
        <w:rPr>
          <w:sz w:val="20"/>
          <w:szCs w:val="20"/>
        </w:rPr>
        <w:t>timated forfeitures, with compensation expense recognized over the period in which the recipient is required to provide service to the Group in exchange for the equity award.</w:t>
      </w:r>
    </w:p>
    <w:p w14:paraId="1EAA9088"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107763D6" w14:textId="77777777" w:rsidR="00000000" w:rsidRDefault="00EB4933">
      <w:pPr>
        <w:pStyle w:val="NormalWeb"/>
        <w:spacing w:before="0" w:beforeAutospacing="0" w:after="0" w:afterAutospacing="0"/>
        <w:ind w:left="675"/>
        <w:jc w:val="both"/>
        <w:divId w:val="98525094"/>
        <w:rPr>
          <w:sz w:val="20"/>
          <w:szCs w:val="20"/>
        </w:rPr>
      </w:pPr>
      <w:r>
        <w:rPr>
          <w:sz w:val="20"/>
          <w:szCs w:val="20"/>
        </w:rPr>
        <w:t>The estimation of share awards that ultimately vest requires judgment, and to the extent actual results differ from estimates, such amounts are recorded as a cumulative adjustment in the period estimates are revised. The Company will consider various facto</w:t>
      </w:r>
      <w:r>
        <w:rPr>
          <w:sz w:val="20"/>
          <w:szCs w:val="20"/>
        </w:rPr>
        <w:t>rs when estimating expected forfeitures, including historical experience. Actual results may differ substantially from these estimates.</w:t>
      </w:r>
    </w:p>
    <w:p w14:paraId="4F3DC595"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0FD1D1DA" w14:textId="77777777" w:rsidR="00000000" w:rsidRDefault="00EB4933">
      <w:pPr>
        <w:pStyle w:val="NormalWeb"/>
        <w:spacing w:before="0" w:beforeAutospacing="0" w:after="0" w:afterAutospacing="0"/>
        <w:ind w:left="675"/>
        <w:jc w:val="both"/>
        <w:divId w:val="98525094"/>
        <w:rPr>
          <w:sz w:val="20"/>
          <w:szCs w:val="20"/>
        </w:rPr>
      </w:pPr>
      <w:r>
        <w:rPr>
          <w:sz w:val="20"/>
          <w:szCs w:val="20"/>
        </w:rPr>
        <w:t xml:space="preserve">The fair value of share options granted to employees and directors under the 2010 Equity Incentive Plan is determined </w:t>
      </w:r>
      <w:r>
        <w:rPr>
          <w:sz w:val="20"/>
          <w:szCs w:val="20"/>
        </w:rPr>
        <w:t>using option pricing models, which consider the exercise price relative to the market value of the underlying shares, the expected share price volatility, the risk-free interest rate and the dividend yield, and the estimated period of time option grants ar</w:t>
      </w:r>
      <w:r>
        <w:rPr>
          <w:sz w:val="20"/>
          <w:szCs w:val="20"/>
        </w:rPr>
        <w:t>e outstanding before they are ultimately exercised.</w:t>
      </w:r>
    </w:p>
    <w:p w14:paraId="7F6C612C"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7BD8D209" w14:textId="77777777" w:rsidR="00000000" w:rsidRDefault="00EB4933">
      <w:pPr>
        <w:pStyle w:val="NormalWeb"/>
        <w:spacing w:before="0" w:beforeAutospacing="0" w:after="0" w:afterAutospacing="0"/>
        <w:ind w:left="675"/>
        <w:jc w:val="both"/>
        <w:divId w:val="98525094"/>
        <w:rPr>
          <w:sz w:val="20"/>
          <w:szCs w:val="20"/>
        </w:rPr>
      </w:pPr>
      <w:r>
        <w:rPr>
          <w:sz w:val="20"/>
          <w:szCs w:val="20"/>
        </w:rPr>
        <w:t>For shares granted to employees, the fair value of the shares is measured as the difference between the market price of the Company’s ordinary shares, adjusted to take into account the terms and conditi</w:t>
      </w:r>
      <w:r>
        <w:rPr>
          <w:sz w:val="20"/>
          <w:szCs w:val="20"/>
        </w:rPr>
        <w:t>ons upon which the shares were granted (except for vesting conditions that are excluded from the measurement of fair value) and the purchase price of the grant. Adjustments to the market price of the ordinary shares could arise, for example, if the employe</w:t>
      </w:r>
      <w:r>
        <w:rPr>
          <w:sz w:val="20"/>
          <w:szCs w:val="20"/>
        </w:rPr>
        <w:t>e is not entitled to receive dividends during the vesting period.</w:t>
      </w:r>
    </w:p>
    <w:p w14:paraId="47FEA99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FBDE01A" w14:textId="77777777" w:rsidR="00000000" w:rsidRDefault="00EB4933">
      <w:pPr>
        <w:pStyle w:val="NormalWeb"/>
        <w:spacing w:before="0" w:beforeAutospacing="0" w:after="0" w:afterAutospacing="0"/>
        <w:jc w:val="both"/>
        <w:divId w:val="98525094"/>
        <w:rPr>
          <w:sz w:val="20"/>
          <w:szCs w:val="20"/>
        </w:rPr>
      </w:pPr>
      <w:r>
        <w:rPr>
          <w:rStyle w:val="Strong"/>
          <w:sz w:val="20"/>
          <w:szCs w:val="20"/>
        </w:rPr>
        <w:t>2.16 Social benefits contributions</w:t>
      </w:r>
    </w:p>
    <w:p w14:paraId="024B06C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3500F7C" w14:textId="77777777" w:rsidR="00000000" w:rsidRDefault="00EB4933">
      <w:pPr>
        <w:pStyle w:val="NormalWeb"/>
        <w:spacing w:before="0" w:beforeAutospacing="0" w:after="0" w:afterAutospacing="0"/>
        <w:ind w:left="675"/>
        <w:jc w:val="both"/>
        <w:divId w:val="98525094"/>
        <w:rPr>
          <w:sz w:val="20"/>
          <w:szCs w:val="20"/>
        </w:rPr>
      </w:pPr>
      <w:r>
        <w:rPr>
          <w:sz w:val="20"/>
          <w:szCs w:val="20"/>
        </w:rPr>
        <w:t>Pursuant to the relevant regulations of the PRC government, the Group’s PRC subsidiaries participate in a local municipal government social benefits pl</w:t>
      </w:r>
      <w:r>
        <w:rPr>
          <w:sz w:val="20"/>
          <w:szCs w:val="20"/>
        </w:rPr>
        <w:t>an, and is required to contribute a certain percentage of the basic salaries of its employees to fund their retirement benefits. The local municipal government undertakes to assume the retirement benefits obligations of all existing and future retired empl</w:t>
      </w:r>
      <w:r>
        <w:rPr>
          <w:sz w:val="20"/>
          <w:szCs w:val="20"/>
        </w:rPr>
        <w:t>oyees. The Group’s only obligation is to pay the ongoing required contributions. Contributions are charged to expense as incurred. There are no provisions whereby forfeited contributions may be used to reduce future contributions. Amounts contributed durin</w:t>
      </w:r>
      <w:r>
        <w:rPr>
          <w:sz w:val="20"/>
          <w:szCs w:val="20"/>
        </w:rPr>
        <w:t>g the years ended December 31, 2017, 2018 and 2019, are discussed in Note 10.</w:t>
      </w:r>
    </w:p>
    <w:p w14:paraId="016EBFF3"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ADE96EF" w14:textId="77777777">
        <w:trPr>
          <w:divId w:val="98525094"/>
          <w:trHeight w:val="225"/>
          <w:tblCellSpacing w:w="15" w:type="dxa"/>
        </w:trPr>
        <w:tc>
          <w:tcPr>
            <w:tcW w:w="0" w:type="auto"/>
            <w:vAlign w:val="center"/>
            <w:hideMark/>
          </w:tcPr>
          <w:p w14:paraId="10C684BA" w14:textId="77777777" w:rsidR="00000000" w:rsidRDefault="00EB4933">
            <w:pPr>
              <w:rPr>
                <w:rFonts w:eastAsia="Times New Roman"/>
                <w:sz w:val="20"/>
                <w:szCs w:val="20"/>
              </w:rPr>
            </w:pPr>
            <w:r>
              <w:rPr>
                <w:rFonts w:eastAsia="Times New Roman"/>
                <w:sz w:val="20"/>
                <w:szCs w:val="20"/>
              </w:rPr>
              <w:t> </w:t>
            </w:r>
          </w:p>
        </w:tc>
      </w:tr>
      <w:tr w:rsidR="00000000" w14:paraId="1A3D5E44" w14:textId="77777777">
        <w:trPr>
          <w:divId w:val="98525094"/>
          <w:trHeight w:val="225"/>
          <w:tblCellSpacing w:w="15" w:type="dxa"/>
        </w:trPr>
        <w:tc>
          <w:tcPr>
            <w:tcW w:w="0" w:type="auto"/>
            <w:tcBorders>
              <w:bottom w:val="single" w:sz="6" w:space="0" w:color="000000"/>
            </w:tcBorders>
            <w:vAlign w:val="center"/>
            <w:hideMark/>
          </w:tcPr>
          <w:p w14:paraId="3851191E" w14:textId="77777777" w:rsidR="00000000" w:rsidRDefault="00EB4933">
            <w:pPr>
              <w:jc w:val="center"/>
              <w:rPr>
                <w:rFonts w:eastAsia="Times New Roman"/>
                <w:sz w:val="20"/>
                <w:szCs w:val="20"/>
              </w:rPr>
            </w:pPr>
            <w:r>
              <w:rPr>
                <w:rFonts w:eastAsia="Times New Roman"/>
                <w:sz w:val="20"/>
                <w:szCs w:val="20"/>
              </w:rPr>
              <w:t>F-37</w:t>
            </w:r>
          </w:p>
        </w:tc>
      </w:tr>
      <w:tr w:rsidR="00000000" w14:paraId="674C44C8" w14:textId="77777777">
        <w:trPr>
          <w:divId w:val="98525094"/>
          <w:trHeight w:val="225"/>
          <w:tblCellSpacing w:w="15" w:type="dxa"/>
        </w:trPr>
        <w:tc>
          <w:tcPr>
            <w:tcW w:w="0" w:type="auto"/>
            <w:vAlign w:val="center"/>
            <w:hideMark/>
          </w:tcPr>
          <w:p w14:paraId="3F562813" w14:textId="77777777" w:rsidR="00000000" w:rsidRDefault="00EB4933">
            <w:pPr>
              <w:rPr>
                <w:rFonts w:eastAsia="Times New Roman"/>
                <w:sz w:val="20"/>
                <w:szCs w:val="20"/>
              </w:rPr>
            </w:pPr>
          </w:p>
        </w:tc>
      </w:tr>
      <w:tr w:rsidR="00000000" w14:paraId="7AAA5F66" w14:textId="77777777">
        <w:trPr>
          <w:divId w:val="98525094"/>
          <w:trHeight w:val="225"/>
          <w:tblCellSpacing w:w="15" w:type="dxa"/>
        </w:trPr>
        <w:tc>
          <w:tcPr>
            <w:tcW w:w="0" w:type="auto"/>
            <w:vAlign w:val="center"/>
            <w:hideMark/>
          </w:tcPr>
          <w:p w14:paraId="73F78B5D" w14:textId="77777777" w:rsidR="00000000" w:rsidRDefault="00EB4933">
            <w:pPr>
              <w:rPr>
                <w:rFonts w:eastAsia="Times New Roman"/>
                <w:sz w:val="20"/>
                <w:szCs w:val="20"/>
              </w:rPr>
            </w:pPr>
            <w:hyperlink r:id="rId254" w:anchor="finindex" w:history="1">
              <w:r>
                <w:rPr>
                  <w:rStyle w:val="Hyperlink"/>
                  <w:rFonts w:eastAsia="Times New Roman"/>
                  <w:i/>
                  <w:iCs/>
                  <w:sz w:val="20"/>
                  <w:szCs w:val="20"/>
                </w:rPr>
                <w:t>Table of Contents</w:t>
              </w:r>
            </w:hyperlink>
          </w:p>
        </w:tc>
      </w:tr>
    </w:tbl>
    <w:p w14:paraId="751ACC8E"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20265135"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79062E33"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7D275375"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68B9B64C"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3793791F" w14:textId="77777777" w:rsidR="00000000" w:rsidRDefault="00EB4933">
      <w:pPr>
        <w:pStyle w:val="NormalWeb"/>
        <w:spacing w:before="0" w:beforeAutospacing="0" w:after="0" w:afterAutospacing="0"/>
        <w:jc w:val="both"/>
        <w:divId w:val="98525094"/>
        <w:rPr>
          <w:sz w:val="20"/>
          <w:szCs w:val="20"/>
        </w:rPr>
      </w:pPr>
      <w:r>
        <w:rPr>
          <w:sz w:val="20"/>
          <w:szCs w:val="20"/>
        </w:rPr>
        <w:t> </w:t>
      </w:r>
      <w:r>
        <w:rPr>
          <w:rStyle w:val="Strong"/>
          <w:sz w:val="20"/>
          <w:szCs w:val="20"/>
        </w:rPr>
        <w:t>2.17 Value added tax (“VAT”)</w:t>
      </w:r>
    </w:p>
    <w:p w14:paraId="2F9A693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1C40DDE" w14:textId="77777777" w:rsidR="00000000" w:rsidRDefault="00EB4933">
      <w:pPr>
        <w:pStyle w:val="NormalWeb"/>
        <w:spacing w:before="0" w:beforeAutospacing="0" w:after="0" w:afterAutospacing="0"/>
        <w:ind w:left="675"/>
        <w:jc w:val="both"/>
        <w:divId w:val="98525094"/>
        <w:rPr>
          <w:sz w:val="20"/>
          <w:szCs w:val="20"/>
        </w:rPr>
      </w:pPr>
      <w:r>
        <w:rPr>
          <w:sz w:val="20"/>
          <w:szCs w:val="20"/>
        </w:rPr>
        <w:t>Interest income in the PRC are subject to VAT at 6% (output VAT). Input tax on purchases can be deducted from output VAT. The</w:t>
      </w:r>
      <w:r>
        <w:rPr>
          <w:sz w:val="20"/>
          <w:szCs w:val="20"/>
        </w:rPr>
        <w:t xml:space="preserve"> net amount of VAT recoverable from, or payable to, the taxation authority is included </w:t>
      </w:r>
      <w:r>
        <w:rPr>
          <w:sz w:val="20"/>
          <w:szCs w:val="20"/>
        </w:rPr>
        <w:lastRenderedPageBreak/>
        <w:t>as part of other receivables or other payables in the Consolidated Statement of Financial Position. Revenues, expenses and assets are recognized net of VAT except:</w:t>
      </w:r>
    </w:p>
    <w:p w14:paraId="6954ED24"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45"/>
        <w:gridCol w:w="530"/>
        <w:gridCol w:w="8285"/>
      </w:tblGrid>
      <w:tr w:rsidR="00000000" w14:paraId="23046822" w14:textId="77777777">
        <w:trPr>
          <w:divId w:val="98525094"/>
          <w:trHeight w:val="225"/>
          <w:tblCellSpacing w:w="15" w:type="dxa"/>
        </w:trPr>
        <w:tc>
          <w:tcPr>
            <w:tcW w:w="200" w:type="pct"/>
            <w:vAlign w:val="center"/>
            <w:hideMark/>
          </w:tcPr>
          <w:p w14:paraId="7A1A62B4"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6149916B" w14:textId="77777777" w:rsidR="00000000" w:rsidRDefault="00EB4933">
            <w:pPr>
              <w:pStyle w:val="NormalWeb"/>
              <w:spacing w:before="0" w:beforeAutospacing="0" w:after="0" w:afterAutospacing="0"/>
              <w:jc w:val="both"/>
              <w:rPr>
                <w:sz w:val="20"/>
                <w:szCs w:val="20"/>
              </w:rPr>
            </w:pPr>
            <w:r>
              <w:rPr>
                <w:sz w:val="20"/>
                <w:szCs w:val="20"/>
              </w:rPr>
              <w:t>-</w:t>
            </w:r>
            <w:r>
              <w:rPr>
                <w:sz w:val="20"/>
                <w:szCs w:val="20"/>
              </w:rPr>
              <w:t xml:space="preserve"> </w:t>
            </w:r>
          </w:p>
        </w:tc>
        <w:tc>
          <w:tcPr>
            <w:tcW w:w="0" w:type="auto"/>
            <w:hideMark/>
          </w:tcPr>
          <w:p w14:paraId="5E5CA3CA" w14:textId="77777777" w:rsidR="00000000" w:rsidRDefault="00EB4933">
            <w:pPr>
              <w:jc w:val="both"/>
              <w:rPr>
                <w:rFonts w:eastAsia="Times New Roman"/>
                <w:sz w:val="20"/>
                <w:szCs w:val="20"/>
              </w:rPr>
            </w:pPr>
            <w:r>
              <w:rPr>
                <w:rFonts w:eastAsia="Times New Roman"/>
                <w:sz w:val="20"/>
                <w:szCs w:val="20"/>
              </w:rPr>
              <w:t>where the VAT incurred on a purchase of assets or services is not recoverable from the taxation authority, in which case the VAT is recognized as part of the cost of acquisition of the asset or as part of the expense item as applicable; and</w:t>
            </w:r>
          </w:p>
        </w:tc>
      </w:tr>
      <w:tr w:rsidR="00000000" w14:paraId="6158B37F" w14:textId="77777777">
        <w:trPr>
          <w:divId w:val="98525094"/>
          <w:trHeight w:val="225"/>
          <w:tblCellSpacing w:w="15" w:type="dxa"/>
        </w:trPr>
        <w:tc>
          <w:tcPr>
            <w:tcW w:w="0" w:type="auto"/>
            <w:vAlign w:val="center"/>
            <w:hideMark/>
          </w:tcPr>
          <w:p w14:paraId="7B1B9B77"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D28307E"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9D9532D"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2B17752" w14:textId="77777777">
        <w:trPr>
          <w:divId w:val="98525094"/>
          <w:trHeight w:val="225"/>
          <w:tblCellSpacing w:w="15" w:type="dxa"/>
        </w:trPr>
        <w:tc>
          <w:tcPr>
            <w:tcW w:w="0" w:type="auto"/>
            <w:vAlign w:val="center"/>
            <w:hideMark/>
          </w:tcPr>
          <w:p w14:paraId="22EAFA49"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2B90929F" w14:textId="77777777" w:rsidR="00000000" w:rsidRDefault="00EB4933">
            <w:pPr>
              <w:pStyle w:val="NormalWeb"/>
              <w:spacing w:before="0" w:beforeAutospacing="0" w:after="0" w:afterAutospacing="0"/>
              <w:jc w:val="both"/>
              <w:rPr>
                <w:sz w:val="20"/>
                <w:szCs w:val="20"/>
              </w:rPr>
            </w:pPr>
            <w:r>
              <w:rPr>
                <w:sz w:val="20"/>
                <w:szCs w:val="20"/>
              </w:rPr>
              <w:t xml:space="preserve">- </w:t>
            </w:r>
          </w:p>
        </w:tc>
        <w:tc>
          <w:tcPr>
            <w:tcW w:w="0" w:type="auto"/>
            <w:hideMark/>
          </w:tcPr>
          <w:p w14:paraId="645597E7" w14:textId="77777777" w:rsidR="00000000" w:rsidRDefault="00EB4933">
            <w:pPr>
              <w:jc w:val="both"/>
              <w:rPr>
                <w:rFonts w:eastAsia="Times New Roman"/>
                <w:sz w:val="20"/>
                <w:szCs w:val="20"/>
              </w:rPr>
            </w:pPr>
            <w:r>
              <w:rPr>
                <w:rFonts w:eastAsia="Times New Roman"/>
                <w:sz w:val="20"/>
                <w:szCs w:val="20"/>
              </w:rPr>
              <w:t>receivables and payables are stated with VAT included.</w:t>
            </w:r>
          </w:p>
        </w:tc>
      </w:tr>
    </w:tbl>
    <w:p w14:paraId="2D3B6F0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C1F9BD6" w14:textId="77777777" w:rsidR="00000000" w:rsidRDefault="00EB4933">
      <w:pPr>
        <w:pStyle w:val="NormalWeb"/>
        <w:spacing w:before="0" w:beforeAutospacing="0" w:after="0" w:afterAutospacing="0"/>
        <w:jc w:val="both"/>
        <w:divId w:val="98525094"/>
        <w:rPr>
          <w:sz w:val="20"/>
          <w:szCs w:val="20"/>
        </w:rPr>
      </w:pPr>
      <w:r>
        <w:rPr>
          <w:rStyle w:val="Strong"/>
          <w:sz w:val="20"/>
          <w:szCs w:val="20"/>
        </w:rPr>
        <w:t>2.18 Share capital</w:t>
      </w:r>
    </w:p>
    <w:p w14:paraId="43AA4C5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73F7926" w14:textId="77777777" w:rsidR="00000000" w:rsidRDefault="00EB4933">
      <w:pPr>
        <w:pStyle w:val="NormalWeb"/>
        <w:spacing w:before="0" w:beforeAutospacing="0" w:after="0" w:afterAutospacing="0"/>
        <w:ind w:left="675"/>
        <w:jc w:val="both"/>
        <w:divId w:val="98525094"/>
        <w:rPr>
          <w:sz w:val="20"/>
          <w:szCs w:val="20"/>
        </w:rPr>
      </w:pPr>
      <w:r>
        <w:rPr>
          <w:sz w:val="20"/>
          <w:szCs w:val="20"/>
        </w:rPr>
        <w:t>The transaction costs of an equity transaction are accounted for as a deduction from equity (net of any related income tax benefit) to the extent they are incremental costs dir</w:t>
      </w:r>
      <w:r>
        <w:rPr>
          <w:sz w:val="20"/>
          <w:szCs w:val="20"/>
        </w:rPr>
        <w:t>ectly attributable to the equity transaction that otherwise would have been avoided. These incremental costs include registration and other regulatory fees, amounts paid to legal, accounting and other professional advisors, printing costs and stamp duties,</w:t>
      </w:r>
      <w:r>
        <w:rPr>
          <w:sz w:val="20"/>
          <w:szCs w:val="20"/>
        </w:rPr>
        <w:t xml:space="preserve"> excluding management salaries, items normally included in general and administrative expenses or other recurring costs. Specifically, legal and accounting fees do not include any fees that would have been incurred in the absence of such issuance.</w:t>
      </w:r>
    </w:p>
    <w:p w14:paraId="591794F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8BA08B6" w14:textId="77777777" w:rsidR="00000000" w:rsidRDefault="00EB4933">
      <w:pPr>
        <w:pStyle w:val="NormalWeb"/>
        <w:spacing w:before="0" w:beforeAutospacing="0" w:after="0" w:afterAutospacing="0"/>
        <w:jc w:val="both"/>
        <w:divId w:val="98525094"/>
        <w:rPr>
          <w:sz w:val="20"/>
          <w:szCs w:val="20"/>
        </w:rPr>
      </w:pPr>
      <w:r>
        <w:rPr>
          <w:rStyle w:val="Strong"/>
          <w:sz w:val="20"/>
          <w:szCs w:val="20"/>
        </w:rPr>
        <w:t>2.19 E</w:t>
      </w:r>
      <w:r>
        <w:rPr>
          <w:rStyle w:val="Strong"/>
          <w:sz w:val="20"/>
          <w:szCs w:val="20"/>
        </w:rPr>
        <w:t>arnings per shares</w:t>
      </w:r>
    </w:p>
    <w:p w14:paraId="13ED378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E7861B5" w14:textId="77777777" w:rsidR="00000000" w:rsidRDefault="00EB4933">
      <w:pPr>
        <w:pStyle w:val="NormalWeb"/>
        <w:spacing w:before="0" w:beforeAutospacing="0" w:after="0" w:afterAutospacing="0"/>
        <w:ind w:left="540"/>
        <w:jc w:val="both"/>
        <w:divId w:val="98525094"/>
        <w:rPr>
          <w:sz w:val="20"/>
          <w:szCs w:val="20"/>
        </w:rPr>
      </w:pPr>
      <w:r>
        <w:rPr>
          <w:sz w:val="20"/>
          <w:szCs w:val="20"/>
        </w:rPr>
        <w:t>The Group presents basic and diluted earnings per share (“EPS”) data for its ordinary shares. Basic EPS is calculated by dividing the profit or loss that is attributable to ordinary shareholders of the Company by the weighted average n</w:t>
      </w:r>
      <w:r>
        <w:rPr>
          <w:sz w:val="20"/>
          <w:szCs w:val="20"/>
        </w:rPr>
        <w:t>umber of ordinary shares outstanding during the period. Diluted EPS is determined by adjusting the profit or loss that is attributable to ordinary shareholders and the weighted-average number of ordinary shares outstanding for the effects of all dilutive p</w:t>
      </w:r>
      <w:r>
        <w:rPr>
          <w:sz w:val="20"/>
          <w:szCs w:val="20"/>
        </w:rPr>
        <w:t>otential ordinary shares.</w:t>
      </w:r>
    </w:p>
    <w:p w14:paraId="3B49158D"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BBA3870" w14:textId="77777777">
        <w:trPr>
          <w:divId w:val="98525094"/>
          <w:trHeight w:val="225"/>
          <w:tblCellSpacing w:w="15" w:type="dxa"/>
        </w:trPr>
        <w:tc>
          <w:tcPr>
            <w:tcW w:w="0" w:type="auto"/>
            <w:vAlign w:val="center"/>
            <w:hideMark/>
          </w:tcPr>
          <w:p w14:paraId="7DCC8FEB" w14:textId="77777777" w:rsidR="00000000" w:rsidRDefault="00EB4933">
            <w:pPr>
              <w:rPr>
                <w:rFonts w:eastAsia="Times New Roman"/>
                <w:sz w:val="20"/>
                <w:szCs w:val="20"/>
              </w:rPr>
            </w:pPr>
            <w:r>
              <w:rPr>
                <w:rFonts w:eastAsia="Times New Roman"/>
                <w:sz w:val="20"/>
                <w:szCs w:val="20"/>
              </w:rPr>
              <w:t> </w:t>
            </w:r>
          </w:p>
        </w:tc>
      </w:tr>
      <w:tr w:rsidR="00000000" w14:paraId="6FFE0710" w14:textId="77777777">
        <w:trPr>
          <w:divId w:val="98525094"/>
          <w:trHeight w:val="225"/>
          <w:tblCellSpacing w:w="15" w:type="dxa"/>
        </w:trPr>
        <w:tc>
          <w:tcPr>
            <w:tcW w:w="0" w:type="auto"/>
            <w:tcBorders>
              <w:bottom w:val="single" w:sz="6" w:space="0" w:color="000000"/>
            </w:tcBorders>
            <w:vAlign w:val="center"/>
            <w:hideMark/>
          </w:tcPr>
          <w:p w14:paraId="2213E327" w14:textId="77777777" w:rsidR="00000000" w:rsidRDefault="00EB4933">
            <w:pPr>
              <w:jc w:val="center"/>
              <w:rPr>
                <w:rFonts w:eastAsia="Times New Roman"/>
                <w:sz w:val="20"/>
                <w:szCs w:val="20"/>
              </w:rPr>
            </w:pPr>
            <w:r>
              <w:rPr>
                <w:rFonts w:eastAsia="Times New Roman"/>
                <w:sz w:val="20"/>
                <w:szCs w:val="20"/>
              </w:rPr>
              <w:t>F-38</w:t>
            </w:r>
          </w:p>
        </w:tc>
      </w:tr>
      <w:tr w:rsidR="00000000" w14:paraId="688DD90C" w14:textId="77777777">
        <w:trPr>
          <w:divId w:val="98525094"/>
          <w:trHeight w:val="225"/>
          <w:tblCellSpacing w:w="15" w:type="dxa"/>
        </w:trPr>
        <w:tc>
          <w:tcPr>
            <w:tcW w:w="0" w:type="auto"/>
            <w:vAlign w:val="center"/>
            <w:hideMark/>
          </w:tcPr>
          <w:p w14:paraId="7F61DDFB" w14:textId="77777777" w:rsidR="00000000" w:rsidRDefault="00EB4933">
            <w:pPr>
              <w:rPr>
                <w:rFonts w:eastAsia="Times New Roman"/>
                <w:sz w:val="20"/>
                <w:szCs w:val="20"/>
              </w:rPr>
            </w:pPr>
          </w:p>
        </w:tc>
      </w:tr>
      <w:tr w:rsidR="00000000" w14:paraId="563FC6F0" w14:textId="77777777">
        <w:trPr>
          <w:divId w:val="98525094"/>
          <w:trHeight w:val="225"/>
          <w:tblCellSpacing w:w="15" w:type="dxa"/>
        </w:trPr>
        <w:tc>
          <w:tcPr>
            <w:tcW w:w="0" w:type="auto"/>
            <w:vAlign w:val="center"/>
            <w:hideMark/>
          </w:tcPr>
          <w:p w14:paraId="24CC8CBC" w14:textId="77777777" w:rsidR="00000000" w:rsidRDefault="00EB4933">
            <w:pPr>
              <w:rPr>
                <w:rFonts w:eastAsia="Times New Roman"/>
                <w:sz w:val="20"/>
                <w:szCs w:val="20"/>
              </w:rPr>
            </w:pPr>
            <w:hyperlink r:id="rId255" w:anchor="finindex" w:history="1">
              <w:r>
                <w:rPr>
                  <w:rStyle w:val="Hyperlink"/>
                  <w:rFonts w:eastAsia="Times New Roman"/>
                  <w:i/>
                  <w:iCs/>
                  <w:sz w:val="20"/>
                  <w:szCs w:val="20"/>
                </w:rPr>
                <w:t>Table of Contents</w:t>
              </w:r>
            </w:hyperlink>
          </w:p>
        </w:tc>
      </w:tr>
    </w:tbl>
    <w:p w14:paraId="67BFB954"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4135CB0B"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47BB44AE"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76469F53"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0E5B245F"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598F15AB" w14:textId="77777777" w:rsidR="00000000" w:rsidRDefault="00EB4933">
      <w:pPr>
        <w:pStyle w:val="NormalWeb"/>
        <w:spacing w:before="0" w:beforeAutospacing="0" w:after="0" w:afterAutospacing="0"/>
        <w:jc w:val="both"/>
        <w:divId w:val="98525094"/>
        <w:rPr>
          <w:sz w:val="20"/>
          <w:szCs w:val="20"/>
        </w:rPr>
      </w:pPr>
      <w:r>
        <w:rPr>
          <w:rStyle w:val="Strong"/>
          <w:sz w:val="20"/>
          <w:szCs w:val="20"/>
        </w:rPr>
        <w:t>3 Standards issued but not yet effective</w:t>
      </w:r>
    </w:p>
    <w:p w14:paraId="613F340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0BD15B7" w14:textId="77777777" w:rsidR="00000000" w:rsidRDefault="00EB4933">
      <w:pPr>
        <w:pStyle w:val="NormalWeb"/>
        <w:spacing w:before="0" w:beforeAutospacing="0" w:after="0" w:afterAutospacing="0"/>
        <w:ind w:left="675"/>
        <w:jc w:val="both"/>
        <w:divId w:val="98525094"/>
        <w:rPr>
          <w:sz w:val="20"/>
          <w:szCs w:val="20"/>
        </w:rPr>
      </w:pPr>
      <w:r>
        <w:rPr>
          <w:sz w:val="20"/>
          <w:szCs w:val="20"/>
        </w:rPr>
        <w:t>Up to the date of issue of these financial statements, the following standards and interpretations had been issued which are not mandatory for the year ended Dec</w:t>
      </w:r>
      <w:r>
        <w:rPr>
          <w:sz w:val="20"/>
          <w:szCs w:val="20"/>
        </w:rPr>
        <w:t>ember 31, 2019 and which have not been adopted in these financial statements. These include the following which may be relevant to the Group.</w:t>
      </w:r>
    </w:p>
    <w:p w14:paraId="00F6E766"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4305"/>
        <w:gridCol w:w="4306"/>
      </w:tblGrid>
      <w:tr w:rsidR="00000000" w14:paraId="439A2BE8" w14:textId="77777777">
        <w:trPr>
          <w:divId w:val="98525094"/>
          <w:trHeight w:val="225"/>
          <w:tblCellSpacing w:w="15" w:type="dxa"/>
        </w:trPr>
        <w:tc>
          <w:tcPr>
            <w:tcW w:w="2500" w:type="pct"/>
            <w:vAlign w:val="center"/>
            <w:hideMark/>
          </w:tcPr>
          <w:p w14:paraId="1B17E656" w14:textId="77777777" w:rsidR="00000000" w:rsidRDefault="00EB4933">
            <w:pPr>
              <w:pStyle w:val="NormalWeb"/>
              <w:spacing w:before="0" w:beforeAutospacing="0" w:after="0" w:afterAutospacing="0"/>
              <w:jc w:val="both"/>
              <w:rPr>
                <w:sz w:val="20"/>
                <w:szCs w:val="20"/>
              </w:rPr>
            </w:pPr>
            <w:r>
              <w:rPr>
                <w:sz w:val="20"/>
                <w:szCs w:val="20"/>
              </w:rPr>
              <w:t> </w:t>
            </w:r>
          </w:p>
        </w:tc>
        <w:tc>
          <w:tcPr>
            <w:tcW w:w="2500" w:type="pct"/>
            <w:hideMark/>
          </w:tcPr>
          <w:p w14:paraId="7EEC2025" w14:textId="77777777" w:rsidR="00000000" w:rsidRDefault="00EB4933">
            <w:pPr>
              <w:pStyle w:val="NormalWeb"/>
              <w:spacing w:before="0" w:beforeAutospacing="0" w:after="0" w:afterAutospacing="0"/>
              <w:jc w:val="center"/>
              <w:rPr>
                <w:sz w:val="20"/>
                <w:szCs w:val="20"/>
              </w:rPr>
            </w:pPr>
            <w:r>
              <w:rPr>
                <w:sz w:val="20"/>
                <w:szCs w:val="20"/>
              </w:rPr>
              <w:t>Effective for accounting periods beginning on or after</w:t>
            </w:r>
          </w:p>
        </w:tc>
      </w:tr>
      <w:tr w:rsidR="00000000" w14:paraId="403CB55E" w14:textId="77777777">
        <w:trPr>
          <w:divId w:val="98525094"/>
          <w:trHeight w:val="225"/>
          <w:tblCellSpacing w:w="15" w:type="dxa"/>
        </w:trPr>
        <w:tc>
          <w:tcPr>
            <w:tcW w:w="0" w:type="auto"/>
            <w:hideMark/>
          </w:tcPr>
          <w:p w14:paraId="0C933A47" w14:textId="77777777" w:rsidR="00000000" w:rsidRDefault="00EB4933">
            <w:pPr>
              <w:pStyle w:val="NormalWeb"/>
              <w:spacing w:before="0" w:beforeAutospacing="0" w:after="0" w:afterAutospacing="0"/>
              <w:jc w:val="both"/>
              <w:rPr>
                <w:sz w:val="20"/>
                <w:szCs w:val="20"/>
              </w:rPr>
            </w:pPr>
            <w:r>
              <w:rPr>
                <w:sz w:val="20"/>
                <w:szCs w:val="20"/>
              </w:rPr>
              <w:t xml:space="preserve">Definition of Material – </w:t>
            </w:r>
            <w:r>
              <w:rPr>
                <w:sz w:val="20"/>
                <w:szCs w:val="20"/>
              </w:rPr>
              <w:t xml:space="preserve">Amendments to IAS 1 and IAS 8 </w:t>
            </w:r>
          </w:p>
        </w:tc>
        <w:tc>
          <w:tcPr>
            <w:tcW w:w="0" w:type="auto"/>
            <w:hideMark/>
          </w:tcPr>
          <w:p w14:paraId="072F64DA" w14:textId="77777777" w:rsidR="00000000" w:rsidRDefault="00EB4933">
            <w:pPr>
              <w:pStyle w:val="NormalWeb"/>
              <w:spacing w:before="0" w:beforeAutospacing="0" w:after="0" w:afterAutospacing="0"/>
              <w:jc w:val="center"/>
              <w:rPr>
                <w:sz w:val="20"/>
                <w:szCs w:val="20"/>
              </w:rPr>
            </w:pPr>
            <w:r>
              <w:rPr>
                <w:sz w:val="20"/>
                <w:szCs w:val="20"/>
              </w:rPr>
              <w:t>January 1, 2020</w:t>
            </w:r>
          </w:p>
        </w:tc>
      </w:tr>
      <w:tr w:rsidR="00000000" w14:paraId="4D726055" w14:textId="77777777">
        <w:trPr>
          <w:divId w:val="98525094"/>
          <w:trHeight w:val="225"/>
          <w:tblCellSpacing w:w="15" w:type="dxa"/>
        </w:trPr>
        <w:tc>
          <w:tcPr>
            <w:tcW w:w="0" w:type="auto"/>
            <w:hideMark/>
          </w:tcPr>
          <w:p w14:paraId="7406BD7F" w14:textId="77777777" w:rsidR="00000000" w:rsidRDefault="00EB4933">
            <w:pPr>
              <w:pStyle w:val="NormalWeb"/>
              <w:spacing w:before="0" w:beforeAutospacing="0" w:after="0" w:afterAutospacing="0"/>
              <w:jc w:val="both"/>
              <w:rPr>
                <w:sz w:val="20"/>
                <w:szCs w:val="20"/>
              </w:rPr>
            </w:pPr>
            <w:r>
              <w:rPr>
                <w:sz w:val="20"/>
                <w:szCs w:val="20"/>
              </w:rPr>
              <w:t>Definition of a Business – Amendments to IFRS 3</w:t>
            </w:r>
          </w:p>
        </w:tc>
        <w:tc>
          <w:tcPr>
            <w:tcW w:w="0" w:type="auto"/>
            <w:hideMark/>
          </w:tcPr>
          <w:p w14:paraId="41A0B5FC" w14:textId="77777777" w:rsidR="00000000" w:rsidRDefault="00EB4933">
            <w:pPr>
              <w:pStyle w:val="NormalWeb"/>
              <w:spacing w:before="0" w:beforeAutospacing="0" w:after="0" w:afterAutospacing="0"/>
              <w:jc w:val="center"/>
              <w:rPr>
                <w:sz w:val="20"/>
                <w:szCs w:val="20"/>
              </w:rPr>
            </w:pPr>
            <w:r>
              <w:rPr>
                <w:sz w:val="20"/>
                <w:szCs w:val="20"/>
              </w:rPr>
              <w:t>January 1, 2020</w:t>
            </w:r>
          </w:p>
        </w:tc>
      </w:tr>
      <w:tr w:rsidR="00000000" w14:paraId="787F90CD" w14:textId="77777777">
        <w:trPr>
          <w:divId w:val="98525094"/>
          <w:trHeight w:val="225"/>
          <w:tblCellSpacing w:w="15" w:type="dxa"/>
        </w:trPr>
        <w:tc>
          <w:tcPr>
            <w:tcW w:w="0" w:type="auto"/>
            <w:hideMark/>
          </w:tcPr>
          <w:p w14:paraId="37E68A46" w14:textId="77777777" w:rsidR="00000000" w:rsidRDefault="00EB4933">
            <w:pPr>
              <w:pStyle w:val="NormalWeb"/>
              <w:spacing w:before="0" w:beforeAutospacing="0" w:after="0" w:afterAutospacing="0"/>
              <w:jc w:val="both"/>
              <w:rPr>
                <w:sz w:val="20"/>
                <w:szCs w:val="20"/>
              </w:rPr>
            </w:pPr>
            <w:r>
              <w:rPr>
                <w:sz w:val="20"/>
                <w:szCs w:val="20"/>
              </w:rPr>
              <w:t>Revised Conceptual Framework for Financial Reporting</w:t>
            </w:r>
          </w:p>
        </w:tc>
        <w:tc>
          <w:tcPr>
            <w:tcW w:w="0" w:type="auto"/>
            <w:hideMark/>
          </w:tcPr>
          <w:p w14:paraId="225380C4" w14:textId="77777777" w:rsidR="00000000" w:rsidRDefault="00EB4933">
            <w:pPr>
              <w:pStyle w:val="NormalWeb"/>
              <w:spacing w:before="0" w:beforeAutospacing="0" w:after="0" w:afterAutospacing="0"/>
              <w:jc w:val="center"/>
              <w:rPr>
                <w:sz w:val="20"/>
                <w:szCs w:val="20"/>
              </w:rPr>
            </w:pPr>
            <w:r>
              <w:rPr>
                <w:sz w:val="20"/>
                <w:szCs w:val="20"/>
              </w:rPr>
              <w:t>January 1, 2020</w:t>
            </w:r>
          </w:p>
        </w:tc>
      </w:tr>
    </w:tbl>
    <w:p w14:paraId="50E3121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23AD64D" w14:textId="77777777" w:rsidR="00000000" w:rsidRDefault="00EB4933">
      <w:pPr>
        <w:pStyle w:val="NormalWeb"/>
        <w:spacing w:before="0" w:beforeAutospacing="0" w:after="0" w:afterAutospacing="0"/>
        <w:ind w:left="675"/>
        <w:jc w:val="both"/>
        <w:divId w:val="98525094"/>
        <w:rPr>
          <w:sz w:val="20"/>
          <w:szCs w:val="20"/>
        </w:rPr>
      </w:pPr>
      <w:r>
        <w:rPr>
          <w:sz w:val="20"/>
          <w:szCs w:val="20"/>
        </w:rPr>
        <w:t xml:space="preserve">Management anticipates that all of the relevant pronouncements will be </w:t>
      </w:r>
      <w:r>
        <w:rPr>
          <w:sz w:val="20"/>
          <w:szCs w:val="20"/>
        </w:rPr>
        <w:t>adopted by the Group for the first period following the effective date of the pronouncement. Information on new standards and amendments, that are expected to be relevant, is provided below.</w:t>
      </w:r>
    </w:p>
    <w:p w14:paraId="163C13CE"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19D0726C" w14:textId="77777777" w:rsidR="00000000" w:rsidRDefault="00EB4933">
      <w:pPr>
        <w:pStyle w:val="NormalWeb"/>
        <w:spacing w:before="0" w:beforeAutospacing="0" w:after="0" w:afterAutospacing="0"/>
        <w:ind w:left="675"/>
        <w:jc w:val="both"/>
        <w:divId w:val="98525094"/>
        <w:rPr>
          <w:sz w:val="20"/>
          <w:szCs w:val="20"/>
        </w:rPr>
      </w:pPr>
      <w:r>
        <w:rPr>
          <w:rStyle w:val="Strong"/>
          <w:sz w:val="20"/>
          <w:szCs w:val="20"/>
        </w:rPr>
        <w:lastRenderedPageBreak/>
        <w:t xml:space="preserve">Definition of Material – Amendments to IAS 1 and IAS 8 </w:t>
      </w:r>
    </w:p>
    <w:p w14:paraId="6CC24FA1"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7575CEBE" w14:textId="77777777" w:rsidR="00000000" w:rsidRDefault="00EB4933">
      <w:pPr>
        <w:pStyle w:val="NormalWeb"/>
        <w:spacing w:before="0" w:beforeAutospacing="0" w:after="0" w:afterAutospacing="0"/>
        <w:ind w:left="675"/>
        <w:jc w:val="both"/>
        <w:divId w:val="98525094"/>
        <w:rPr>
          <w:sz w:val="20"/>
          <w:szCs w:val="20"/>
        </w:rPr>
      </w:pPr>
      <w:r>
        <w:rPr>
          <w:sz w:val="20"/>
          <w:szCs w:val="20"/>
        </w:rPr>
        <w:t>Amend</w:t>
      </w:r>
      <w:r>
        <w:rPr>
          <w:sz w:val="20"/>
          <w:szCs w:val="20"/>
        </w:rPr>
        <w:t xml:space="preserve">ments were made to IAS 1 </w:t>
      </w:r>
      <w:r>
        <w:rPr>
          <w:rStyle w:val="Emphasis"/>
          <w:sz w:val="20"/>
          <w:szCs w:val="20"/>
        </w:rPr>
        <w:t>Presentation of Financial Statements</w:t>
      </w:r>
      <w:r>
        <w:rPr>
          <w:sz w:val="20"/>
          <w:szCs w:val="20"/>
        </w:rPr>
        <w:t xml:space="preserve"> and IAS 8 </w:t>
      </w:r>
      <w:r>
        <w:rPr>
          <w:rStyle w:val="Emphasis"/>
          <w:sz w:val="20"/>
          <w:szCs w:val="20"/>
        </w:rPr>
        <w:t xml:space="preserve">Accounting Policies, Changes in Accounting Estimates and Errors </w:t>
      </w:r>
      <w:r>
        <w:rPr>
          <w:sz w:val="20"/>
          <w:szCs w:val="20"/>
        </w:rPr>
        <w:t xml:space="preserve">which use a consistent definition of materiality throughout International Financial Reporting Standards and the </w:t>
      </w:r>
      <w:r>
        <w:rPr>
          <w:rStyle w:val="Emphasis"/>
          <w:sz w:val="20"/>
          <w:szCs w:val="20"/>
        </w:rPr>
        <w:t>Conceptu</w:t>
      </w:r>
      <w:r>
        <w:rPr>
          <w:rStyle w:val="Emphasis"/>
          <w:sz w:val="20"/>
          <w:szCs w:val="20"/>
        </w:rPr>
        <w:t>al Framework for Financial Reporting</w:t>
      </w:r>
      <w:r>
        <w:rPr>
          <w:sz w:val="20"/>
          <w:szCs w:val="20"/>
        </w:rPr>
        <w:t>, clarify when information is material and incorporate some of the guidance in IAS 1 about immaterial information.</w:t>
      </w:r>
    </w:p>
    <w:p w14:paraId="43894795"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048C0303" w14:textId="77777777" w:rsidR="00000000" w:rsidRDefault="00EB4933">
      <w:pPr>
        <w:pStyle w:val="NormalWeb"/>
        <w:spacing w:before="0" w:beforeAutospacing="0" w:after="0" w:afterAutospacing="0"/>
        <w:ind w:left="675"/>
        <w:jc w:val="both"/>
        <w:divId w:val="98525094"/>
        <w:rPr>
          <w:sz w:val="20"/>
          <w:szCs w:val="20"/>
        </w:rPr>
      </w:pPr>
      <w:r>
        <w:rPr>
          <w:sz w:val="20"/>
          <w:szCs w:val="20"/>
        </w:rPr>
        <w:t>In particular, the amendments clarify that the reference to obscuring information addresses situations in which the effect is similar to omitting or misstating that information, and that an entity assesses materiality in the context of the financial statem</w:t>
      </w:r>
      <w:r>
        <w:rPr>
          <w:sz w:val="20"/>
          <w:szCs w:val="20"/>
        </w:rPr>
        <w:t>ents as a whole, and the meaning of “primary users of general purpose financial statements” to whom those financial statements are directed, by defining them as “existing and potential investors, lenders and other creditors’ that must rely on general purpo</w:t>
      </w:r>
      <w:r>
        <w:rPr>
          <w:sz w:val="20"/>
          <w:szCs w:val="20"/>
        </w:rPr>
        <w:t>se financial statements for much of the financial information they need.</w:t>
      </w:r>
    </w:p>
    <w:p w14:paraId="0A5C4271"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5C4D39D" w14:textId="77777777">
        <w:trPr>
          <w:divId w:val="98525094"/>
          <w:trHeight w:val="225"/>
          <w:tblCellSpacing w:w="15" w:type="dxa"/>
        </w:trPr>
        <w:tc>
          <w:tcPr>
            <w:tcW w:w="0" w:type="auto"/>
            <w:vAlign w:val="center"/>
            <w:hideMark/>
          </w:tcPr>
          <w:p w14:paraId="106D8CF2" w14:textId="77777777" w:rsidR="00000000" w:rsidRDefault="00EB4933">
            <w:pPr>
              <w:rPr>
                <w:rFonts w:eastAsia="Times New Roman"/>
                <w:sz w:val="20"/>
                <w:szCs w:val="20"/>
              </w:rPr>
            </w:pPr>
            <w:r>
              <w:rPr>
                <w:rFonts w:eastAsia="Times New Roman"/>
                <w:sz w:val="20"/>
                <w:szCs w:val="20"/>
              </w:rPr>
              <w:t> </w:t>
            </w:r>
          </w:p>
        </w:tc>
      </w:tr>
      <w:tr w:rsidR="00000000" w14:paraId="73DE980F" w14:textId="77777777">
        <w:trPr>
          <w:divId w:val="98525094"/>
          <w:trHeight w:val="225"/>
          <w:tblCellSpacing w:w="15" w:type="dxa"/>
        </w:trPr>
        <w:tc>
          <w:tcPr>
            <w:tcW w:w="0" w:type="auto"/>
            <w:tcBorders>
              <w:bottom w:val="single" w:sz="6" w:space="0" w:color="000000"/>
            </w:tcBorders>
            <w:vAlign w:val="center"/>
            <w:hideMark/>
          </w:tcPr>
          <w:p w14:paraId="7AF7149C" w14:textId="77777777" w:rsidR="00000000" w:rsidRDefault="00EB4933">
            <w:pPr>
              <w:jc w:val="center"/>
              <w:rPr>
                <w:rFonts w:eastAsia="Times New Roman"/>
                <w:sz w:val="20"/>
                <w:szCs w:val="20"/>
              </w:rPr>
            </w:pPr>
            <w:r>
              <w:rPr>
                <w:rFonts w:eastAsia="Times New Roman"/>
                <w:sz w:val="20"/>
                <w:szCs w:val="20"/>
              </w:rPr>
              <w:t>F-39</w:t>
            </w:r>
          </w:p>
        </w:tc>
      </w:tr>
      <w:tr w:rsidR="00000000" w14:paraId="6974A585" w14:textId="77777777">
        <w:trPr>
          <w:divId w:val="98525094"/>
          <w:trHeight w:val="225"/>
          <w:tblCellSpacing w:w="15" w:type="dxa"/>
        </w:trPr>
        <w:tc>
          <w:tcPr>
            <w:tcW w:w="0" w:type="auto"/>
            <w:vAlign w:val="center"/>
            <w:hideMark/>
          </w:tcPr>
          <w:p w14:paraId="3D7C6D29" w14:textId="77777777" w:rsidR="00000000" w:rsidRDefault="00EB4933">
            <w:pPr>
              <w:rPr>
                <w:rFonts w:eastAsia="Times New Roman"/>
                <w:sz w:val="20"/>
                <w:szCs w:val="20"/>
              </w:rPr>
            </w:pPr>
          </w:p>
        </w:tc>
      </w:tr>
      <w:tr w:rsidR="00000000" w14:paraId="5A45975D" w14:textId="77777777">
        <w:trPr>
          <w:divId w:val="98525094"/>
          <w:trHeight w:val="225"/>
          <w:tblCellSpacing w:w="15" w:type="dxa"/>
        </w:trPr>
        <w:tc>
          <w:tcPr>
            <w:tcW w:w="0" w:type="auto"/>
            <w:vAlign w:val="center"/>
            <w:hideMark/>
          </w:tcPr>
          <w:p w14:paraId="3AFEC12C" w14:textId="77777777" w:rsidR="00000000" w:rsidRDefault="00EB4933">
            <w:pPr>
              <w:rPr>
                <w:rFonts w:eastAsia="Times New Roman"/>
                <w:sz w:val="20"/>
                <w:szCs w:val="20"/>
              </w:rPr>
            </w:pPr>
            <w:hyperlink r:id="rId256" w:anchor="finindex" w:history="1">
              <w:r>
                <w:rPr>
                  <w:rStyle w:val="Hyperlink"/>
                  <w:rFonts w:eastAsia="Times New Roman"/>
                  <w:i/>
                  <w:iCs/>
                  <w:sz w:val="20"/>
                  <w:szCs w:val="20"/>
                </w:rPr>
                <w:t>Table of Contents</w:t>
              </w:r>
            </w:hyperlink>
          </w:p>
        </w:tc>
      </w:tr>
    </w:tbl>
    <w:p w14:paraId="3ACCB795"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5AAB9F13"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050294D7"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4F14B606"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w:t>
      </w:r>
      <w:r>
        <w:rPr>
          <w:rStyle w:val="Strong"/>
          <w:sz w:val="20"/>
          <w:szCs w:val="20"/>
        </w:rPr>
        <w:t>NDED 2017, 2018 AND 2019</w:t>
      </w:r>
    </w:p>
    <w:p w14:paraId="6897EDAD"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2785FC76" w14:textId="77777777" w:rsidR="00000000" w:rsidRDefault="00EB4933">
      <w:pPr>
        <w:pStyle w:val="NormalWeb"/>
        <w:spacing w:before="0" w:beforeAutospacing="0" w:after="0" w:afterAutospacing="0"/>
        <w:jc w:val="both"/>
        <w:divId w:val="98525094"/>
        <w:rPr>
          <w:sz w:val="20"/>
          <w:szCs w:val="20"/>
        </w:rPr>
      </w:pPr>
      <w:r>
        <w:rPr>
          <w:rStyle w:val="Strong"/>
          <w:sz w:val="20"/>
          <w:szCs w:val="20"/>
        </w:rPr>
        <w:t>3. Standards issued but not yet effective - continued</w:t>
      </w:r>
    </w:p>
    <w:p w14:paraId="5A3302F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204F413" w14:textId="77777777" w:rsidR="00000000" w:rsidRDefault="00EB4933">
      <w:pPr>
        <w:pStyle w:val="NormalWeb"/>
        <w:spacing w:before="0" w:beforeAutospacing="0" w:after="0" w:afterAutospacing="0"/>
        <w:ind w:left="675"/>
        <w:jc w:val="both"/>
        <w:divId w:val="98525094"/>
        <w:rPr>
          <w:sz w:val="20"/>
          <w:szCs w:val="20"/>
        </w:rPr>
      </w:pPr>
      <w:r>
        <w:rPr>
          <w:rStyle w:val="Strong"/>
          <w:sz w:val="20"/>
          <w:szCs w:val="20"/>
        </w:rPr>
        <w:t>Definition of a Business – Amendments to IFRS 3</w:t>
      </w:r>
    </w:p>
    <w:p w14:paraId="431467E6" w14:textId="77777777" w:rsidR="00000000" w:rsidRDefault="00EB4933">
      <w:pPr>
        <w:pStyle w:val="NormalWeb"/>
        <w:spacing w:before="0" w:beforeAutospacing="0" w:after="0" w:afterAutospacing="0"/>
        <w:jc w:val="both"/>
        <w:divId w:val="98525094"/>
        <w:rPr>
          <w:sz w:val="20"/>
          <w:szCs w:val="20"/>
        </w:rPr>
      </w:pPr>
      <w:r>
        <w:rPr>
          <w:rStyle w:val="Strong"/>
          <w:sz w:val="20"/>
          <w:szCs w:val="20"/>
        </w:rPr>
        <w:t> </w:t>
      </w:r>
    </w:p>
    <w:p w14:paraId="00E2CB15" w14:textId="77777777" w:rsidR="00000000" w:rsidRDefault="00EB4933">
      <w:pPr>
        <w:pStyle w:val="NormalWeb"/>
        <w:spacing w:before="0" w:beforeAutospacing="0" w:after="0" w:afterAutospacing="0"/>
        <w:ind w:left="675"/>
        <w:jc w:val="both"/>
        <w:divId w:val="98525094"/>
        <w:rPr>
          <w:sz w:val="20"/>
          <w:szCs w:val="20"/>
        </w:rPr>
      </w:pPr>
      <w:r>
        <w:rPr>
          <w:sz w:val="20"/>
          <w:szCs w:val="20"/>
        </w:rPr>
        <w:t>The amended definition of a business requires an acquisition to include an input and a substantive process that together significantly contribute to the ability to create outputs. The definition of the term “outputs” is amended to focus on goods and servic</w:t>
      </w:r>
      <w:r>
        <w:rPr>
          <w:sz w:val="20"/>
          <w:szCs w:val="20"/>
        </w:rPr>
        <w:t xml:space="preserve">es provided to customers, generating investment income and other income, and it excludes returns in the form of lower costs and other economic benefits. </w:t>
      </w:r>
    </w:p>
    <w:p w14:paraId="1795A705"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63351BBE" w14:textId="77777777" w:rsidR="00000000" w:rsidRDefault="00EB4933">
      <w:pPr>
        <w:pStyle w:val="NormalWeb"/>
        <w:spacing w:before="0" w:beforeAutospacing="0" w:after="0" w:afterAutospacing="0"/>
        <w:ind w:left="675"/>
        <w:jc w:val="both"/>
        <w:divId w:val="98525094"/>
        <w:rPr>
          <w:sz w:val="20"/>
          <w:szCs w:val="20"/>
        </w:rPr>
      </w:pPr>
      <w:r>
        <w:rPr>
          <w:sz w:val="20"/>
          <w:szCs w:val="20"/>
        </w:rPr>
        <w:t>The amendments will likely result in more acquisitions being accounted for as asset acquisitions.</w:t>
      </w:r>
    </w:p>
    <w:p w14:paraId="077644D2"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5F3AE096" w14:textId="77777777" w:rsidR="00000000" w:rsidRDefault="00EB4933">
      <w:pPr>
        <w:pStyle w:val="NormalWeb"/>
        <w:spacing w:before="0" w:beforeAutospacing="0" w:after="0" w:afterAutospacing="0"/>
        <w:ind w:left="675"/>
        <w:jc w:val="both"/>
        <w:divId w:val="98525094"/>
        <w:rPr>
          <w:sz w:val="20"/>
          <w:szCs w:val="20"/>
        </w:rPr>
      </w:pPr>
      <w:r>
        <w:rPr>
          <w:rStyle w:val="Strong"/>
          <w:sz w:val="20"/>
          <w:szCs w:val="20"/>
        </w:rPr>
        <w:t>Revised Conceptual Framework for Financial Reporting</w:t>
      </w:r>
    </w:p>
    <w:p w14:paraId="70C6D273"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16847E91" w14:textId="77777777" w:rsidR="00000000" w:rsidRDefault="00EB4933">
      <w:pPr>
        <w:pStyle w:val="NormalWeb"/>
        <w:spacing w:before="0" w:beforeAutospacing="0" w:after="0" w:afterAutospacing="0"/>
        <w:ind w:left="675"/>
        <w:jc w:val="both"/>
        <w:divId w:val="98525094"/>
        <w:rPr>
          <w:sz w:val="20"/>
          <w:szCs w:val="20"/>
        </w:rPr>
      </w:pPr>
      <w:r>
        <w:rPr>
          <w:sz w:val="20"/>
          <w:szCs w:val="20"/>
        </w:rPr>
        <w:t>Key changes in a revised Conceptual Framework include:</w:t>
      </w:r>
    </w:p>
    <w:p w14:paraId="73F82CA8"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349"/>
        <w:gridCol w:w="530"/>
        <w:gridCol w:w="8481"/>
      </w:tblGrid>
      <w:tr w:rsidR="00000000" w14:paraId="310B466C" w14:textId="77777777">
        <w:trPr>
          <w:divId w:val="98525094"/>
          <w:trHeight w:val="225"/>
          <w:tblCellSpacing w:w="15" w:type="dxa"/>
        </w:trPr>
        <w:tc>
          <w:tcPr>
            <w:tcW w:w="200" w:type="pct"/>
            <w:vAlign w:val="center"/>
            <w:hideMark/>
          </w:tcPr>
          <w:p w14:paraId="12D61AC7"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3ACDED94"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092023D5" w14:textId="77777777" w:rsidR="00000000" w:rsidRDefault="00EB4933">
            <w:pPr>
              <w:rPr>
                <w:rFonts w:eastAsia="Times New Roman"/>
                <w:sz w:val="20"/>
                <w:szCs w:val="20"/>
              </w:rPr>
            </w:pPr>
            <w:r>
              <w:rPr>
                <w:rFonts w:eastAsia="Times New Roman"/>
                <w:sz w:val="20"/>
                <w:szCs w:val="20"/>
              </w:rPr>
              <w:t>increasing the prominence of stewardship in the objective of financial reporting</w:t>
            </w:r>
          </w:p>
        </w:tc>
      </w:tr>
      <w:tr w:rsidR="00000000" w14:paraId="1593357B" w14:textId="77777777">
        <w:trPr>
          <w:divId w:val="98525094"/>
          <w:trHeight w:val="225"/>
          <w:tblCellSpacing w:w="15" w:type="dxa"/>
        </w:trPr>
        <w:tc>
          <w:tcPr>
            <w:tcW w:w="0" w:type="auto"/>
            <w:vAlign w:val="center"/>
            <w:hideMark/>
          </w:tcPr>
          <w:p w14:paraId="18995EE0"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4ED96F59"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0691771D" w14:textId="77777777" w:rsidR="00000000" w:rsidRDefault="00EB4933">
            <w:pPr>
              <w:pStyle w:val="NormalWeb"/>
              <w:spacing w:before="0" w:beforeAutospacing="0" w:after="0" w:afterAutospacing="0"/>
              <w:rPr>
                <w:sz w:val="20"/>
                <w:szCs w:val="20"/>
              </w:rPr>
            </w:pPr>
            <w:r>
              <w:rPr>
                <w:sz w:val="20"/>
                <w:szCs w:val="20"/>
              </w:rPr>
              <w:t> </w:t>
            </w:r>
          </w:p>
        </w:tc>
      </w:tr>
      <w:tr w:rsidR="00000000" w14:paraId="19FEA0CE" w14:textId="77777777">
        <w:trPr>
          <w:divId w:val="98525094"/>
          <w:trHeight w:val="225"/>
          <w:tblCellSpacing w:w="15" w:type="dxa"/>
        </w:trPr>
        <w:tc>
          <w:tcPr>
            <w:tcW w:w="0" w:type="auto"/>
            <w:vAlign w:val="center"/>
            <w:hideMark/>
          </w:tcPr>
          <w:p w14:paraId="4B776E06"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3FC4BAD1"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793FA735" w14:textId="77777777" w:rsidR="00000000" w:rsidRDefault="00EB4933">
            <w:pPr>
              <w:rPr>
                <w:rFonts w:eastAsia="Times New Roman"/>
                <w:sz w:val="20"/>
                <w:szCs w:val="20"/>
              </w:rPr>
            </w:pPr>
            <w:r>
              <w:rPr>
                <w:rFonts w:eastAsia="Times New Roman"/>
                <w:sz w:val="20"/>
                <w:szCs w:val="20"/>
              </w:rPr>
              <w:t>reinstating prudence as a component of neutrality</w:t>
            </w:r>
          </w:p>
        </w:tc>
      </w:tr>
      <w:tr w:rsidR="00000000" w14:paraId="0F0238D3" w14:textId="77777777">
        <w:trPr>
          <w:divId w:val="98525094"/>
          <w:trHeight w:val="225"/>
          <w:tblCellSpacing w:w="15" w:type="dxa"/>
        </w:trPr>
        <w:tc>
          <w:tcPr>
            <w:tcW w:w="0" w:type="auto"/>
            <w:vAlign w:val="center"/>
            <w:hideMark/>
          </w:tcPr>
          <w:p w14:paraId="586BBEC0"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3881A344"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60614789" w14:textId="77777777" w:rsidR="00000000" w:rsidRDefault="00EB4933">
            <w:pPr>
              <w:pStyle w:val="NormalWeb"/>
              <w:spacing w:before="0" w:beforeAutospacing="0" w:after="0" w:afterAutospacing="0"/>
              <w:rPr>
                <w:sz w:val="20"/>
                <w:szCs w:val="20"/>
              </w:rPr>
            </w:pPr>
            <w:r>
              <w:rPr>
                <w:sz w:val="20"/>
                <w:szCs w:val="20"/>
              </w:rPr>
              <w:t> </w:t>
            </w:r>
          </w:p>
        </w:tc>
      </w:tr>
      <w:tr w:rsidR="00000000" w14:paraId="7AF69F33" w14:textId="77777777">
        <w:trPr>
          <w:divId w:val="98525094"/>
          <w:trHeight w:val="225"/>
          <w:tblCellSpacing w:w="15" w:type="dxa"/>
        </w:trPr>
        <w:tc>
          <w:tcPr>
            <w:tcW w:w="0" w:type="auto"/>
            <w:vAlign w:val="center"/>
            <w:hideMark/>
          </w:tcPr>
          <w:p w14:paraId="634AB943"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44B22B89"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023D0BB4" w14:textId="77777777" w:rsidR="00000000" w:rsidRDefault="00EB4933">
            <w:pPr>
              <w:rPr>
                <w:rFonts w:eastAsia="Times New Roman"/>
                <w:sz w:val="20"/>
                <w:szCs w:val="20"/>
              </w:rPr>
            </w:pPr>
            <w:r>
              <w:rPr>
                <w:rFonts w:eastAsia="Times New Roman"/>
                <w:sz w:val="20"/>
                <w:szCs w:val="20"/>
              </w:rPr>
              <w:t>defining a reporting entity, which may be a legal entity, or a portion of an entity</w:t>
            </w:r>
          </w:p>
        </w:tc>
      </w:tr>
      <w:tr w:rsidR="00000000" w14:paraId="5BDFC003" w14:textId="77777777">
        <w:trPr>
          <w:divId w:val="98525094"/>
          <w:trHeight w:val="225"/>
          <w:tblCellSpacing w:w="15" w:type="dxa"/>
        </w:trPr>
        <w:tc>
          <w:tcPr>
            <w:tcW w:w="0" w:type="auto"/>
            <w:vAlign w:val="center"/>
            <w:hideMark/>
          </w:tcPr>
          <w:p w14:paraId="62466B2D"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428A93A9"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594F8CF7" w14:textId="77777777" w:rsidR="00000000" w:rsidRDefault="00EB4933">
            <w:pPr>
              <w:pStyle w:val="NormalWeb"/>
              <w:spacing w:before="0" w:beforeAutospacing="0" w:after="0" w:afterAutospacing="0"/>
              <w:rPr>
                <w:sz w:val="20"/>
                <w:szCs w:val="20"/>
              </w:rPr>
            </w:pPr>
            <w:r>
              <w:rPr>
                <w:sz w:val="20"/>
                <w:szCs w:val="20"/>
              </w:rPr>
              <w:t> </w:t>
            </w:r>
          </w:p>
        </w:tc>
      </w:tr>
      <w:tr w:rsidR="00000000" w14:paraId="0AECE6C8" w14:textId="77777777">
        <w:trPr>
          <w:divId w:val="98525094"/>
          <w:trHeight w:val="225"/>
          <w:tblCellSpacing w:w="15" w:type="dxa"/>
        </w:trPr>
        <w:tc>
          <w:tcPr>
            <w:tcW w:w="0" w:type="auto"/>
            <w:vAlign w:val="center"/>
            <w:hideMark/>
          </w:tcPr>
          <w:p w14:paraId="31D61C97"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7E139D1A"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517EDCE4" w14:textId="77777777" w:rsidR="00000000" w:rsidRDefault="00EB4933">
            <w:pPr>
              <w:rPr>
                <w:rFonts w:eastAsia="Times New Roman"/>
                <w:sz w:val="20"/>
                <w:szCs w:val="20"/>
              </w:rPr>
            </w:pPr>
            <w:r>
              <w:rPr>
                <w:rFonts w:eastAsia="Times New Roman"/>
                <w:sz w:val="20"/>
                <w:szCs w:val="20"/>
              </w:rPr>
              <w:t>revising the definitions of an asset and a liability</w:t>
            </w:r>
          </w:p>
        </w:tc>
      </w:tr>
      <w:tr w:rsidR="00000000" w14:paraId="688A8A98" w14:textId="77777777">
        <w:trPr>
          <w:divId w:val="98525094"/>
          <w:trHeight w:val="225"/>
          <w:tblCellSpacing w:w="15" w:type="dxa"/>
        </w:trPr>
        <w:tc>
          <w:tcPr>
            <w:tcW w:w="0" w:type="auto"/>
            <w:vAlign w:val="center"/>
            <w:hideMark/>
          </w:tcPr>
          <w:p w14:paraId="3D5E32DD"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61D22891"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566B2C2C" w14:textId="77777777" w:rsidR="00000000" w:rsidRDefault="00EB4933">
            <w:pPr>
              <w:pStyle w:val="NormalWeb"/>
              <w:spacing w:before="0" w:beforeAutospacing="0" w:after="0" w:afterAutospacing="0"/>
              <w:rPr>
                <w:sz w:val="20"/>
                <w:szCs w:val="20"/>
              </w:rPr>
            </w:pPr>
            <w:r>
              <w:rPr>
                <w:sz w:val="20"/>
                <w:szCs w:val="20"/>
              </w:rPr>
              <w:t> </w:t>
            </w:r>
          </w:p>
        </w:tc>
      </w:tr>
      <w:tr w:rsidR="00000000" w14:paraId="08AAEAA8" w14:textId="77777777">
        <w:trPr>
          <w:divId w:val="98525094"/>
          <w:trHeight w:val="225"/>
          <w:tblCellSpacing w:w="15" w:type="dxa"/>
        </w:trPr>
        <w:tc>
          <w:tcPr>
            <w:tcW w:w="0" w:type="auto"/>
            <w:vAlign w:val="center"/>
            <w:hideMark/>
          </w:tcPr>
          <w:p w14:paraId="25F3D7AA"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16A5648F"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20F8695" w14:textId="77777777" w:rsidR="00000000" w:rsidRDefault="00EB4933">
            <w:pPr>
              <w:rPr>
                <w:rFonts w:eastAsia="Times New Roman"/>
                <w:sz w:val="20"/>
                <w:szCs w:val="20"/>
              </w:rPr>
            </w:pPr>
            <w:r>
              <w:rPr>
                <w:rFonts w:eastAsia="Times New Roman"/>
                <w:sz w:val="20"/>
                <w:szCs w:val="20"/>
              </w:rPr>
              <w:t>removing the probability threshold for recognition and adding guidance and derecognition</w:t>
            </w:r>
          </w:p>
        </w:tc>
      </w:tr>
      <w:tr w:rsidR="00000000" w14:paraId="4077907D" w14:textId="77777777">
        <w:trPr>
          <w:divId w:val="98525094"/>
          <w:trHeight w:val="225"/>
          <w:tblCellSpacing w:w="15" w:type="dxa"/>
        </w:trPr>
        <w:tc>
          <w:tcPr>
            <w:tcW w:w="0" w:type="auto"/>
            <w:vAlign w:val="center"/>
            <w:hideMark/>
          </w:tcPr>
          <w:p w14:paraId="1FF8F16C"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2C526D2A"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7132AF2F" w14:textId="77777777" w:rsidR="00000000" w:rsidRDefault="00EB4933">
            <w:pPr>
              <w:pStyle w:val="NormalWeb"/>
              <w:spacing w:before="0" w:beforeAutospacing="0" w:after="0" w:afterAutospacing="0"/>
              <w:rPr>
                <w:sz w:val="20"/>
                <w:szCs w:val="20"/>
              </w:rPr>
            </w:pPr>
            <w:r>
              <w:rPr>
                <w:sz w:val="20"/>
                <w:szCs w:val="20"/>
              </w:rPr>
              <w:t> </w:t>
            </w:r>
          </w:p>
        </w:tc>
      </w:tr>
      <w:tr w:rsidR="00000000" w14:paraId="36BC9C0C" w14:textId="77777777">
        <w:trPr>
          <w:divId w:val="98525094"/>
          <w:trHeight w:val="225"/>
          <w:tblCellSpacing w:w="15" w:type="dxa"/>
        </w:trPr>
        <w:tc>
          <w:tcPr>
            <w:tcW w:w="0" w:type="auto"/>
            <w:vAlign w:val="center"/>
            <w:hideMark/>
          </w:tcPr>
          <w:p w14:paraId="45EEF356"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7AFA019B"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41C8F91" w14:textId="77777777" w:rsidR="00000000" w:rsidRDefault="00EB4933">
            <w:pPr>
              <w:rPr>
                <w:rFonts w:eastAsia="Times New Roman"/>
                <w:sz w:val="20"/>
                <w:szCs w:val="20"/>
              </w:rPr>
            </w:pPr>
            <w:r>
              <w:rPr>
                <w:rFonts w:eastAsia="Times New Roman"/>
                <w:sz w:val="20"/>
                <w:szCs w:val="20"/>
              </w:rPr>
              <w:t>adding guidance on different measurement basis; and</w:t>
            </w:r>
          </w:p>
        </w:tc>
      </w:tr>
      <w:tr w:rsidR="00000000" w14:paraId="556E7070" w14:textId="77777777">
        <w:trPr>
          <w:divId w:val="98525094"/>
          <w:trHeight w:val="225"/>
          <w:tblCellSpacing w:w="15" w:type="dxa"/>
        </w:trPr>
        <w:tc>
          <w:tcPr>
            <w:tcW w:w="0" w:type="auto"/>
            <w:vAlign w:val="center"/>
            <w:hideMark/>
          </w:tcPr>
          <w:p w14:paraId="7CBB4130"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36C0BD8F"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1B34D8D0" w14:textId="77777777" w:rsidR="00000000" w:rsidRDefault="00EB4933">
            <w:pPr>
              <w:pStyle w:val="NormalWeb"/>
              <w:spacing w:before="0" w:beforeAutospacing="0" w:after="0" w:afterAutospacing="0"/>
              <w:rPr>
                <w:sz w:val="20"/>
                <w:szCs w:val="20"/>
              </w:rPr>
            </w:pPr>
            <w:r>
              <w:rPr>
                <w:sz w:val="20"/>
                <w:szCs w:val="20"/>
              </w:rPr>
              <w:t> </w:t>
            </w:r>
          </w:p>
        </w:tc>
      </w:tr>
      <w:tr w:rsidR="00000000" w14:paraId="61AB95F3" w14:textId="77777777">
        <w:trPr>
          <w:divId w:val="98525094"/>
          <w:trHeight w:val="225"/>
          <w:tblCellSpacing w:w="15" w:type="dxa"/>
        </w:trPr>
        <w:tc>
          <w:tcPr>
            <w:tcW w:w="0" w:type="auto"/>
            <w:vAlign w:val="center"/>
            <w:hideMark/>
          </w:tcPr>
          <w:p w14:paraId="08DC6078"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096D7EAA"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8A0F388" w14:textId="77777777" w:rsidR="00000000" w:rsidRDefault="00EB4933">
            <w:pPr>
              <w:rPr>
                <w:rFonts w:eastAsia="Times New Roman"/>
                <w:sz w:val="20"/>
                <w:szCs w:val="20"/>
              </w:rPr>
            </w:pPr>
            <w:r>
              <w:rPr>
                <w:rFonts w:eastAsia="Times New Roman"/>
                <w:sz w:val="20"/>
                <w:szCs w:val="20"/>
              </w:rPr>
              <w:t>stating that profit or loss is the primary performance indicator and that, in principle, income and expenses in other comprehensive income should be recycled where this enhances the relevance or faithful representation of the financial statements.</w:t>
            </w:r>
          </w:p>
        </w:tc>
      </w:tr>
    </w:tbl>
    <w:p w14:paraId="0EA47A8D"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p w14:paraId="56FE1C95" w14:textId="77777777" w:rsidR="00000000" w:rsidRDefault="00EB4933">
      <w:pPr>
        <w:pStyle w:val="NormalWeb"/>
        <w:spacing w:before="0" w:beforeAutospacing="0" w:after="0" w:afterAutospacing="0"/>
        <w:ind w:left="675"/>
        <w:jc w:val="both"/>
        <w:divId w:val="98525094"/>
        <w:rPr>
          <w:sz w:val="20"/>
          <w:szCs w:val="20"/>
        </w:rPr>
      </w:pPr>
      <w:r>
        <w:rPr>
          <w:sz w:val="20"/>
          <w:szCs w:val="20"/>
        </w:rPr>
        <w:t>No changes will be made to any of the current accounting standards. However, entities that rely on the Framework in determining their accounting policies for transactions, events or conditions that are not otherwise dealt with under the accounting standard</w:t>
      </w:r>
      <w:r>
        <w:rPr>
          <w:sz w:val="20"/>
          <w:szCs w:val="20"/>
        </w:rPr>
        <w:t>s will need to apply the revised Framework from January 1, 2020. These entities will need to consider whether their accounting policies are still appropriate under the revised Framework.</w:t>
      </w:r>
    </w:p>
    <w:p w14:paraId="6D9B6428"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7D5E3F2D" w14:textId="77777777" w:rsidR="00000000" w:rsidRDefault="00EB4933">
      <w:pPr>
        <w:pStyle w:val="NormalWeb"/>
        <w:spacing w:before="0" w:beforeAutospacing="0" w:after="0" w:afterAutospacing="0"/>
        <w:ind w:left="675"/>
        <w:jc w:val="both"/>
        <w:divId w:val="98525094"/>
        <w:rPr>
          <w:sz w:val="20"/>
          <w:szCs w:val="20"/>
        </w:rPr>
      </w:pPr>
      <w:r>
        <w:rPr>
          <w:sz w:val="20"/>
          <w:szCs w:val="20"/>
        </w:rPr>
        <w:t>There are no other IFRSs or related interpretations that are not ye</w:t>
      </w:r>
      <w:r>
        <w:rPr>
          <w:sz w:val="20"/>
          <w:szCs w:val="20"/>
        </w:rPr>
        <w:t>t effective that would be expected to have a material impact on the Group’s consolidated financial statements.</w:t>
      </w:r>
      <w:r>
        <w:rPr>
          <w:rStyle w:val="Strong"/>
          <w:sz w:val="20"/>
          <w:szCs w:val="20"/>
        </w:rPr>
        <w:t xml:space="preserve"> </w:t>
      </w:r>
    </w:p>
    <w:p w14:paraId="23AA89E0"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A5DA800" w14:textId="77777777">
        <w:trPr>
          <w:divId w:val="98525094"/>
          <w:trHeight w:val="225"/>
          <w:tblCellSpacing w:w="15" w:type="dxa"/>
        </w:trPr>
        <w:tc>
          <w:tcPr>
            <w:tcW w:w="0" w:type="auto"/>
            <w:vAlign w:val="center"/>
            <w:hideMark/>
          </w:tcPr>
          <w:p w14:paraId="607818D6" w14:textId="77777777" w:rsidR="00000000" w:rsidRDefault="00EB4933">
            <w:pPr>
              <w:rPr>
                <w:rFonts w:eastAsia="Times New Roman"/>
                <w:sz w:val="20"/>
                <w:szCs w:val="20"/>
              </w:rPr>
            </w:pPr>
            <w:r>
              <w:rPr>
                <w:rFonts w:eastAsia="Times New Roman"/>
                <w:sz w:val="20"/>
                <w:szCs w:val="20"/>
              </w:rPr>
              <w:t> </w:t>
            </w:r>
          </w:p>
        </w:tc>
      </w:tr>
      <w:tr w:rsidR="00000000" w14:paraId="6A84657C" w14:textId="77777777">
        <w:trPr>
          <w:divId w:val="98525094"/>
          <w:trHeight w:val="225"/>
          <w:tblCellSpacing w:w="15" w:type="dxa"/>
        </w:trPr>
        <w:tc>
          <w:tcPr>
            <w:tcW w:w="0" w:type="auto"/>
            <w:tcBorders>
              <w:bottom w:val="single" w:sz="6" w:space="0" w:color="000000"/>
            </w:tcBorders>
            <w:vAlign w:val="center"/>
            <w:hideMark/>
          </w:tcPr>
          <w:p w14:paraId="7602F52B" w14:textId="77777777" w:rsidR="00000000" w:rsidRDefault="00EB4933">
            <w:pPr>
              <w:jc w:val="center"/>
              <w:rPr>
                <w:rFonts w:eastAsia="Times New Roman"/>
                <w:sz w:val="20"/>
                <w:szCs w:val="20"/>
              </w:rPr>
            </w:pPr>
            <w:r>
              <w:rPr>
                <w:rFonts w:eastAsia="Times New Roman"/>
                <w:sz w:val="20"/>
                <w:szCs w:val="20"/>
              </w:rPr>
              <w:t>F-40</w:t>
            </w:r>
          </w:p>
        </w:tc>
      </w:tr>
      <w:tr w:rsidR="00000000" w14:paraId="5E12BADF" w14:textId="77777777">
        <w:trPr>
          <w:divId w:val="98525094"/>
          <w:trHeight w:val="225"/>
          <w:tblCellSpacing w:w="15" w:type="dxa"/>
        </w:trPr>
        <w:tc>
          <w:tcPr>
            <w:tcW w:w="0" w:type="auto"/>
            <w:vAlign w:val="center"/>
            <w:hideMark/>
          </w:tcPr>
          <w:p w14:paraId="7436316B" w14:textId="77777777" w:rsidR="00000000" w:rsidRDefault="00EB4933">
            <w:pPr>
              <w:rPr>
                <w:rFonts w:eastAsia="Times New Roman"/>
                <w:sz w:val="20"/>
                <w:szCs w:val="20"/>
              </w:rPr>
            </w:pPr>
          </w:p>
        </w:tc>
      </w:tr>
      <w:tr w:rsidR="00000000" w14:paraId="53FF827B" w14:textId="77777777">
        <w:trPr>
          <w:divId w:val="98525094"/>
          <w:trHeight w:val="225"/>
          <w:tblCellSpacing w:w="15" w:type="dxa"/>
        </w:trPr>
        <w:tc>
          <w:tcPr>
            <w:tcW w:w="0" w:type="auto"/>
            <w:vAlign w:val="center"/>
            <w:hideMark/>
          </w:tcPr>
          <w:p w14:paraId="0F97F786" w14:textId="77777777" w:rsidR="00000000" w:rsidRDefault="00EB4933">
            <w:pPr>
              <w:rPr>
                <w:rFonts w:eastAsia="Times New Roman"/>
                <w:sz w:val="20"/>
                <w:szCs w:val="20"/>
              </w:rPr>
            </w:pPr>
            <w:hyperlink r:id="rId257" w:anchor="finindex" w:history="1">
              <w:r>
                <w:rPr>
                  <w:rStyle w:val="Hyperlink"/>
                  <w:rFonts w:eastAsia="Times New Roman"/>
                  <w:i/>
                  <w:iCs/>
                  <w:sz w:val="20"/>
                  <w:szCs w:val="20"/>
                </w:rPr>
                <w:t>Table of Contents</w:t>
              </w:r>
            </w:hyperlink>
          </w:p>
        </w:tc>
      </w:tr>
    </w:tbl>
    <w:p w14:paraId="0C3D885F"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2FA55644"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74EB398E"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w:t>
      </w:r>
      <w:r>
        <w:rPr>
          <w:rStyle w:val="Strong"/>
          <w:sz w:val="20"/>
          <w:szCs w:val="20"/>
        </w:rPr>
        <w:t>AL STATEMENTS</w:t>
      </w:r>
    </w:p>
    <w:p w14:paraId="7F0BE808"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06D16708"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2A6A5594"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4 Critical accounting estimates and use of judgments </w:t>
      </w:r>
    </w:p>
    <w:p w14:paraId="4C61E70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2E8F6B2" w14:textId="77777777" w:rsidR="00000000" w:rsidRDefault="00EB4933">
      <w:pPr>
        <w:pStyle w:val="NormalWeb"/>
        <w:spacing w:before="0" w:beforeAutospacing="0" w:after="0" w:afterAutospacing="0"/>
        <w:ind w:left="675"/>
        <w:jc w:val="both"/>
        <w:divId w:val="98525094"/>
        <w:rPr>
          <w:sz w:val="20"/>
          <w:szCs w:val="20"/>
        </w:rPr>
      </w:pPr>
      <w:r>
        <w:rPr>
          <w:sz w:val="20"/>
          <w:szCs w:val="20"/>
        </w:rPr>
        <w:t xml:space="preserve">In preparing these consolidated financial statements, management are required to make judgments, estimates and assumptions that affect the application of the Group’s accounting policies and the reported amounts of assets, liabilities, income and expenses. </w:t>
      </w:r>
      <w:r>
        <w:rPr>
          <w:sz w:val="20"/>
          <w:szCs w:val="20"/>
        </w:rPr>
        <w:t>Actual results may differ from these estimates.</w:t>
      </w:r>
    </w:p>
    <w:p w14:paraId="1E4CEDDF"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084E4A60" w14:textId="77777777" w:rsidR="00000000" w:rsidRDefault="00EB4933">
      <w:pPr>
        <w:pStyle w:val="NormalWeb"/>
        <w:spacing w:before="0" w:beforeAutospacing="0" w:after="0" w:afterAutospacing="0"/>
        <w:ind w:left="675"/>
        <w:jc w:val="both"/>
        <w:divId w:val="98525094"/>
        <w:rPr>
          <w:sz w:val="20"/>
          <w:szCs w:val="20"/>
        </w:rPr>
      </w:pPr>
      <w:r>
        <w:rPr>
          <w:sz w:val="20"/>
          <w:szCs w:val="20"/>
        </w:rPr>
        <w:t>Estimates, assumptions and judgments are continually evaluated and are based on historical experience and other factors that are considered to be relevant, including expectations of future events that are b</w:t>
      </w:r>
      <w:r>
        <w:rPr>
          <w:sz w:val="20"/>
          <w:szCs w:val="20"/>
        </w:rPr>
        <w:t>elieved to be reasonable under the circumstances. Revisions to estimates are recognized prospectively.</w:t>
      </w:r>
    </w:p>
    <w:p w14:paraId="3E87E77E"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7EC8A376" w14:textId="77777777" w:rsidR="00000000" w:rsidRDefault="00EB4933">
      <w:pPr>
        <w:pStyle w:val="NormalWeb"/>
        <w:spacing w:before="0" w:beforeAutospacing="0" w:after="0" w:afterAutospacing="0"/>
        <w:ind w:left="675"/>
        <w:jc w:val="both"/>
        <w:divId w:val="98525094"/>
        <w:rPr>
          <w:sz w:val="20"/>
          <w:szCs w:val="20"/>
        </w:rPr>
      </w:pPr>
      <w:r>
        <w:rPr>
          <w:sz w:val="20"/>
          <w:szCs w:val="20"/>
        </w:rPr>
        <w:t>The estimates and assumptions that have a significant risk of causing a material adjustment to the carrying amounts of assets and liabilities within th</w:t>
      </w:r>
      <w:r>
        <w:rPr>
          <w:sz w:val="20"/>
          <w:szCs w:val="20"/>
        </w:rPr>
        <w:t>e next financial year are discussed below.</w:t>
      </w:r>
    </w:p>
    <w:p w14:paraId="7233EC23"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40AEF02C" w14:textId="77777777">
        <w:trPr>
          <w:divId w:val="98525094"/>
          <w:trHeight w:val="225"/>
          <w:tblCellSpacing w:w="15" w:type="dxa"/>
        </w:trPr>
        <w:tc>
          <w:tcPr>
            <w:tcW w:w="200" w:type="pct"/>
            <w:vAlign w:val="center"/>
            <w:hideMark/>
          </w:tcPr>
          <w:p w14:paraId="4CF6E7BC"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3724FC3A" w14:textId="77777777" w:rsidR="00000000" w:rsidRDefault="00EB4933">
            <w:pPr>
              <w:pStyle w:val="NormalWeb"/>
              <w:spacing w:before="0" w:beforeAutospacing="0" w:after="0" w:afterAutospacing="0"/>
              <w:rPr>
                <w:sz w:val="20"/>
                <w:szCs w:val="20"/>
              </w:rPr>
            </w:pPr>
            <w:r>
              <w:rPr>
                <w:rStyle w:val="Strong"/>
                <w:sz w:val="20"/>
                <w:szCs w:val="20"/>
              </w:rPr>
              <w:t xml:space="preserve">i. </w:t>
            </w:r>
          </w:p>
        </w:tc>
        <w:tc>
          <w:tcPr>
            <w:tcW w:w="0" w:type="auto"/>
            <w:hideMark/>
          </w:tcPr>
          <w:p w14:paraId="20ED0A40" w14:textId="77777777" w:rsidR="00000000" w:rsidRDefault="00EB4933">
            <w:pPr>
              <w:rPr>
                <w:rFonts w:eastAsia="Times New Roman"/>
                <w:sz w:val="20"/>
                <w:szCs w:val="20"/>
              </w:rPr>
            </w:pPr>
            <w:r>
              <w:rPr>
                <w:rStyle w:val="Strong"/>
                <w:rFonts w:eastAsia="Times New Roman"/>
                <w:sz w:val="20"/>
                <w:szCs w:val="20"/>
              </w:rPr>
              <w:t>Measurement of the expected credit loss allowance</w:t>
            </w:r>
          </w:p>
        </w:tc>
      </w:tr>
    </w:tbl>
    <w:p w14:paraId="1240A74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55EC3E2" w14:textId="77777777" w:rsidR="00000000" w:rsidRDefault="00EB4933">
      <w:pPr>
        <w:pStyle w:val="NormalWeb"/>
        <w:spacing w:before="0" w:beforeAutospacing="0" w:after="0" w:afterAutospacing="0"/>
        <w:ind w:left="1350"/>
        <w:jc w:val="both"/>
        <w:divId w:val="98525094"/>
        <w:rPr>
          <w:sz w:val="20"/>
          <w:szCs w:val="20"/>
        </w:rPr>
      </w:pPr>
      <w:r>
        <w:rPr>
          <w:sz w:val="20"/>
          <w:szCs w:val="20"/>
        </w:rPr>
        <w:t>The measurement of the expected credit loss allowance for financial assets measured at amortized cost is an area that requires the use of significant as</w:t>
      </w:r>
      <w:r>
        <w:rPr>
          <w:sz w:val="20"/>
          <w:szCs w:val="20"/>
        </w:rPr>
        <w:t>sumptions about future economic conditions and credit behavior (e.g. the likelihood of customers defaulting and the resulting losses).</w:t>
      </w:r>
    </w:p>
    <w:p w14:paraId="2F8D9490"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65891B85" w14:textId="77777777" w:rsidR="00000000" w:rsidRDefault="00EB4933">
      <w:pPr>
        <w:pStyle w:val="NormalWeb"/>
        <w:spacing w:before="0" w:beforeAutospacing="0" w:after="0" w:afterAutospacing="0"/>
        <w:ind w:left="1350"/>
        <w:jc w:val="both"/>
        <w:divId w:val="98525094"/>
        <w:rPr>
          <w:sz w:val="20"/>
          <w:szCs w:val="20"/>
        </w:rPr>
      </w:pPr>
      <w:r>
        <w:rPr>
          <w:sz w:val="20"/>
          <w:szCs w:val="20"/>
        </w:rPr>
        <w:t>A number of significant judgements are also required in applying the accounting requirements for measuring expected cre</w:t>
      </w:r>
      <w:r>
        <w:rPr>
          <w:sz w:val="20"/>
          <w:szCs w:val="20"/>
        </w:rPr>
        <w:t>dit loss, such as:</w:t>
      </w:r>
    </w:p>
    <w:p w14:paraId="57F1BAE5"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719"/>
        <w:gridCol w:w="530"/>
        <w:gridCol w:w="8111"/>
      </w:tblGrid>
      <w:tr w:rsidR="00000000" w14:paraId="3318D91C" w14:textId="77777777">
        <w:trPr>
          <w:divId w:val="98525094"/>
          <w:trHeight w:val="225"/>
          <w:tblCellSpacing w:w="15" w:type="dxa"/>
        </w:trPr>
        <w:tc>
          <w:tcPr>
            <w:tcW w:w="400" w:type="pct"/>
            <w:vAlign w:val="center"/>
            <w:hideMark/>
          </w:tcPr>
          <w:p w14:paraId="6F9BCD83"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47281120"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6725E040" w14:textId="77777777" w:rsidR="00000000" w:rsidRDefault="00EB4933">
            <w:pPr>
              <w:rPr>
                <w:rFonts w:eastAsia="Times New Roman"/>
                <w:sz w:val="20"/>
                <w:szCs w:val="20"/>
              </w:rPr>
            </w:pPr>
            <w:r>
              <w:rPr>
                <w:rFonts w:eastAsia="Times New Roman"/>
                <w:sz w:val="20"/>
                <w:szCs w:val="20"/>
              </w:rPr>
              <w:t>Determining criteria for significant increase in credit risk;</w:t>
            </w:r>
          </w:p>
        </w:tc>
      </w:tr>
      <w:tr w:rsidR="00000000" w14:paraId="6F5147F5" w14:textId="77777777">
        <w:trPr>
          <w:divId w:val="98525094"/>
          <w:trHeight w:val="225"/>
          <w:tblCellSpacing w:w="15" w:type="dxa"/>
        </w:trPr>
        <w:tc>
          <w:tcPr>
            <w:tcW w:w="0" w:type="auto"/>
            <w:vAlign w:val="center"/>
            <w:hideMark/>
          </w:tcPr>
          <w:p w14:paraId="5B4DC330"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5145F53C"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03DDCEC0" w14:textId="77777777" w:rsidR="00000000" w:rsidRDefault="00EB4933">
            <w:pPr>
              <w:pStyle w:val="NormalWeb"/>
              <w:spacing w:before="0" w:beforeAutospacing="0" w:after="0" w:afterAutospacing="0"/>
              <w:rPr>
                <w:sz w:val="20"/>
                <w:szCs w:val="20"/>
              </w:rPr>
            </w:pPr>
            <w:r>
              <w:rPr>
                <w:sz w:val="20"/>
                <w:szCs w:val="20"/>
              </w:rPr>
              <w:t> </w:t>
            </w:r>
          </w:p>
        </w:tc>
      </w:tr>
      <w:tr w:rsidR="00000000" w14:paraId="182B2226" w14:textId="77777777">
        <w:trPr>
          <w:divId w:val="98525094"/>
          <w:trHeight w:val="225"/>
          <w:tblCellSpacing w:w="15" w:type="dxa"/>
        </w:trPr>
        <w:tc>
          <w:tcPr>
            <w:tcW w:w="0" w:type="auto"/>
            <w:vAlign w:val="center"/>
            <w:hideMark/>
          </w:tcPr>
          <w:p w14:paraId="1C42624A"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39C17418"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D8F93EF" w14:textId="77777777" w:rsidR="00000000" w:rsidRDefault="00EB4933">
            <w:pPr>
              <w:rPr>
                <w:rFonts w:eastAsia="Times New Roman"/>
                <w:sz w:val="20"/>
                <w:szCs w:val="20"/>
              </w:rPr>
            </w:pPr>
            <w:r>
              <w:rPr>
                <w:rFonts w:eastAsia="Times New Roman"/>
                <w:sz w:val="20"/>
                <w:szCs w:val="20"/>
              </w:rPr>
              <w:t>Choosing appropriate models and assumptions for the measurement of expected credit loss.</w:t>
            </w:r>
          </w:p>
        </w:tc>
      </w:tr>
    </w:tbl>
    <w:p w14:paraId="49C9DBF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008ED4B" w14:textId="77777777" w:rsidR="00000000" w:rsidRDefault="00EB4933">
      <w:pPr>
        <w:pStyle w:val="NormalWeb"/>
        <w:spacing w:before="0" w:beforeAutospacing="0" w:after="0" w:afterAutospacing="0"/>
        <w:ind w:left="1350"/>
        <w:jc w:val="both"/>
        <w:divId w:val="98525094"/>
        <w:rPr>
          <w:sz w:val="20"/>
          <w:szCs w:val="20"/>
        </w:rPr>
      </w:pPr>
      <w:r>
        <w:rPr>
          <w:sz w:val="20"/>
          <w:szCs w:val="20"/>
        </w:rPr>
        <w:t>Further details of identification and measurement of expected credit loss impairment were discussed in Note 2.8 of Notes to the Consolidated Financial Statements.</w:t>
      </w:r>
    </w:p>
    <w:p w14:paraId="51845087"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3064B16F" w14:textId="77777777">
        <w:trPr>
          <w:divId w:val="98525094"/>
          <w:trHeight w:val="225"/>
          <w:tblCellSpacing w:w="15" w:type="dxa"/>
        </w:trPr>
        <w:tc>
          <w:tcPr>
            <w:tcW w:w="200" w:type="pct"/>
            <w:vAlign w:val="center"/>
            <w:hideMark/>
          </w:tcPr>
          <w:p w14:paraId="5C1235AA"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41A1A6CE" w14:textId="77777777" w:rsidR="00000000" w:rsidRDefault="00EB4933">
            <w:pPr>
              <w:pStyle w:val="NormalWeb"/>
              <w:spacing w:before="0" w:beforeAutospacing="0" w:after="0" w:afterAutospacing="0"/>
              <w:rPr>
                <w:sz w:val="20"/>
                <w:szCs w:val="20"/>
              </w:rPr>
            </w:pPr>
            <w:r>
              <w:rPr>
                <w:rStyle w:val="Strong"/>
                <w:sz w:val="20"/>
                <w:szCs w:val="20"/>
              </w:rPr>
              <w:t xml:space="preserve">ii. </w:t>
            </w:r>
          </w:p>
        </w:tc>
        <w:tc>
          <w:tcPr>
            <w:tcW w:w="0" w:type="auto"/>
            <w:hideMark/>
          </w:tcPr>
          <w:p w14:paraId="718903D3" w14:textId="77777777" w:rsidR="00000000" w:rsidRDefault="00EB4933">
            <w:pPr>
              <w:rPr>
                <w:rFonts w:eastAsia="Times New Roman"/>
                <w:sz w:val="20"/>
                <w:szCs w:val="20"/>
              </w:rPr>
            </w:pPr>
            <w:r>
              <w:rPr>
                <w:rStyle w:val="Strong"/>
                <w:rFonts w:eastAsia="Times New Roman"/>
                <w:sz w:val="20"/>
                <w:szCs w:val="20"/>
              </w:rPr>
              <w:t>Allowance for interest receivable</w:t>
            </w:r>
          </w:p>
        </w:tc>
      </w:tr>
    </w:tbl>
    <w:p w14:paraId="21F7CBD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A549D46" w14:textId="77777777" w:rsidR="00000000" w:rsidRDefault="00EB4933">
      <w:pPr>
        <w:pStyle w:val="NormalWeb"/>
        <w:spacing w:before="0" w:beforeAutospacing="0" w:after="0" w:afterAutospacing="0"/>
        <w:ind w:left="1350"/>
        <w:jc w:val="both"/>
        <w:divId w:val="98525094"/>
        <w:rPr>
          <w:sz w:val="20"/>
          <w:szCs w:val="20"/>
        </w:rPr>
      </w:pPr>
      <w:r>
        <w:rPr>
          <w:sz w:val="20"/>
          <w:szCs w:val="20"/>
        </w:rPr>
        <w:t>Management assesses the collectability of interest receivable from loan customer and estimates the allowance for interest receivable from customers. The Group reviews the interest receivable on a periodic basis and makes allowance when there is doubt as to</w:t>
      </w:r>
      <w:r>
        <w:rPr>
          <w:sz w:val="20"/>
          <w:szCs w:val="20"/>
        </w:rPr>
        <w:t xml:space="preserve"> the collectability of individual balances. In evaluating the collectability of individual interest receivable balance, the Company considers many </w:t>
      </w:r>
      <w:r>
        <w:rPr>
          <w:sz w:val="20"/>
          <w:szCs w:val="20"/>
        </w:rPr>
        <w:lastRenderedPageBreak/>
        <w:t>factors, including the age of the balance, a customer’s historical payment history, its current creditworthin</w:t>
      </w:r>
      <w:r>
        <w:rPr>
          <w:sz w:val="20"/>
          <w:szCs w:val="20"/>
        </w:rPr>
        <w:t>ess and current economic trends. Accounts are written off after exhaustive efforts at collection. Management reassesses the allowance for interest receivable at each statement of financial position date and revises the allowance for interest receivable acc</w:t>
      </w:r>
      <w:r>
        <w:rPr>
          <w:sz w:val="20"/>
          <w:szCs w:val="20"/>
        </w:rPr>
        <w:t>ordingly.</w:t>
      </w:r>
    </w:p>
    <w:p w14:paraId="5B2264EA"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66DB946" w14:textId="77777777">
        <w:trPr>
          <w:divId w:val="98525094"/>
          <w:trHeight w:val="225"/>
          <w:tblCellSpacing w:w="15" w:type="dxa"/>
        </w:trPr>
        <w:tc>
          <w:tcPr>
            <w:tcW w:w="0" w:type="auto"/>
            <w:vAlign w:val="center"/>
            <w:hideMark/>
          </w:tcPr>
          <w:p w14:paraId="518640B8" w14:textId="77777777" w:rsidR="00000000" w:rsidRDefault="00EB4933">
            <w:pPr>
              <w:rPr>
                <w:rFonts w:eastAsia="Times New Roman"/>
                <w:sz w:val="20"/>
                <w:szCs w:val="20"/>
              </w:rPr>
            </w:pPr>
            <w:r>
              <w:rPr>
                <w:rFonts w:eastAsia="Times New Roman"/>
                <w:sz w:val="20"/>
                <w:szCs w:val="20"/>
              </w:rPr>
              <w:t> </w:t>
            </w:r>
          </w:p>
        </w:tc>
      </w:tr>
      <w:tr w:rsidR="00000000" w14:paraId="1A34D2E9" w14:textId="77777777">
        <w:trPr>
          <w:divId w:val="98525094"/>
          <w:trHeight w:val="225"/>
          <w:tblCellSpacing w:w="15" w:type="dxa"/>
        </w:trPr>
        <w:tc>
          <w:tcPr>
            <w:tcW w:w="0" w:type="auto"/>
            <w:tcBorders>
              <w:bottom w:val="single" w:sz="6" w:space="0" w:color="000000"/>
            </w:tcBorders>
            <w:vAlign w:val="center"/>
            <w:hideMark/>
          </w:tcPr>
          <w:p w14:paraId="5A697185" w14:textId="77777777" w:rsidR="00000000" w:rsidRDefault="00EB4933">
            <w:pPr>
              <w:jc w:val="center"/>
              <w:rPr>
                <w:rFonts w:eastAsia="Times New Roman"/>
                <w:sz w:val="20"/>
                <w:szCs w:val="20"/>
              </w:rPr>
            </w:pPr>
            <w:r>
              <w:rPr>
                <w:rFonts w:eastAsia="Times New Roman"/>
                <w:sz w:val="20"/>
                <w:szCs w:val="20"/>
              </w:rPr>
              <w:t>F-41</w:t>
            </w:r>
          </w:p>
        </w:tc>
      </w:tr>
      <w:tr w:rsidR="00000000" w14:paraId="4F46088F" w14:textId="77777777">
        <w:trPr>
          <w:divId w:val="98525094"/>
          <w:trHeight w:val="225"/>
          <w:tblCellSpacing w:w="15" w:type="dxa"/>
        </w:trPr>
        <w:tc>
          <w:tcPr>
            <w:tcW w:w="0" w:type="auto"/>
            <w:vAlign w:val="center"/>
            <w:hideMark/>
          </w:tcPr>
          <w:p w14:paraId="778BF514" w14:textId="77777777" w:rsidR="00000000" w:rsidRDefault="00EB4933">
            <w:pPr>
              <w:rPr>
                <w:rFonts w:eastAsia="Times New Roman"/>
                <w:sz w:val="20"/>
                <w:szCs w:val="20"/>
              </w:rPr>
            </w:pPr>
          </w:p>
        </w:tc>
      </w:tr>
      <w:tr w:rsidR="00000000" w14:paraId="79630F27" w14:textId="77777777">
        <w:trPr>
          <w:divId w:val="98525094"/>
          <w:trHeight w:val="225"/>
          <w:tblCellSpacing w:w="15" w:type="dxa"/>
        </w:trPr>
        <w:tc>
          <w:tcPr>
            <w:tcW w:w="0" w:type="auto"/>
            <w:vAlign w:val="center"/>
            <w:hideMark/>
          </w:tcPr>
          <w:p w14:paraId="4CC33F5F" w14:textId="77777777" w:rsidR="00000000" w:rsidRDefault="00EB4933">
            <w:pPr>
              <w:rPr>
                <w:rFonts w:eastAsia="Times New Roman"/>
                <w:sz w:val="20"/>
                <w:szCs w:val="20"/>
              </w:rPr>
            </w:pPr>
            <w:hyperlink r:id="rId258" w:anchor="finindex" w:history="1">
              <w:r>
                <w:rPr>
                  <w:rStyle w:val="Hyperlink"/>
                  <w:rFonts w:eastAsia="Times New Roman"/>
                  <w:i/>
                  <w:iCs/>
                  <w:sz w:val="20"/>
                  <w:szCs w:val="20"/>
                </w:rPr>
                <w:t>Table of Contents</w:t>
              </w:r>
            </w:hyperlink>
          </w:p>
        </w:tc>
      </w:tr>
    </w:tbl>
    <w:p w14:paraId="68493DB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CD224CB"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04DA753D"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4BD05171"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11D1434E"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240FC65A"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4. Critical accounting estimates and use of judgments - continued </w:t>
      </w:r>
    </w:p>
    <w:p w14:paraId="0C393B52"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400E729" w14:textId="77777777">
        <w:trPr>
          <w:divId w:val="98525094"/>
          <w:trHeight w:val="225"/>
          <w:tblCellSpacing w:w="15" w:type="dxa"/>
        </w:trPr>
        <w:tc>
          <w:tcPr>
            <w:tcW w:w="200" w:type="pct"/>
            <w:vAlign w:val="center"/>
            <w:hideMark/>
          </w:tcPr>
          <w:p w14:paraId="0AA57D5A"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09C6A0E4" w14:textId="77777777" w:rsidR="00000000" w:rsidRDefault="00EB4933">
            <w:pPr>
              <w:pStyle w:val="NormalWeb"/>
              <w:spacing w:before="0" w:beforeAutospacing="0" w:after="0" w:afterAutospacing="0"/>
              <w:rPr>
                <w:sz w:val="20"/>
                <w:szCs w:val="20"/>
              </w:rPr>
            </w:pPr>
            <w:r>
              <w:rPr>
                <w:rStyle w:val="Strong"/>
                <w:sz w:val="20"/>
                <w:szCs w:val="20"/>
              </w:rPr>
              <w:t xml:space="preserve">iii. </w:t>
            </w:r>
          </w:p>
        </w:tc>
        <w:tc>
          <w:tcPr>
            <w:tcW w:w="0" w:type="auto"/>
            <w:hideMark/>
          </w:tcPr>
          <w:p w14:paraId="24171156" w14:textId="77777777" w:rsidR="00000000" w:rsidRDefault="00EB4933">
            <w:pPr>
              <w:rPr>
                <w:rFonts w:eastAsia="Times New Roman"/>
                <w:sz w:val="20"/>
                <w:szCs w:val="20"/>
              </w:rPr>
            </w:pPr>
            <w:r>
              <w:rPr>
                <w:rStyle w:val="Strong"/>
                <w:rFonts w:eastAsia="Times New Roman"/>
                <w:sz w:val="20"/>
                <w:szCs w:val="20"/>
              </w:rPr>
              <w:t>Income tax</w:t>
            </w:r>
          </w:p>
        </w:tc>
      </w:tr>
    </w:tbl>
    <w:p w14:paraId="51B0DE5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94EB6A1" w14:textId="77777777" w:rsidR="00000000" w:rsidRDefault="00EB4933">
      <w:pPr>
        <w:pStyle w:val="NormalWeb"/>
        <w:spacing w:before="0" w:beforeAutospacing="0" w:after="0" w:afterAutospacing="0"/>
        <w:ind w:left="1350"/>
        <w:jc w:val="both"/>
        <w:divId w:val="98525094"/>
        <w:rPr>
          <w:sz w:val="20"/>
          <w:szCs w:val="20"/>
        </w:rPr>
      </w:pPr>
      <w:r>
        <w:rPr>
          <w:sz w:val="20"/>
          <w:szCs w:val="20"/>
        </w:rPr>
        <w:t>The Company recognizes deferred tax assets and liabilities for the expected future tax consequences of event that have been included in the financial statements or tax returns. Under this method, deferred income taxes are recognized for the tax consequence</w:t>
      </w:r>
      <w:r>
        <w:rPr>
          <w:sz w:val="20"/>
          <w:szCs w:val="20"/>
        </w:rPr>
        <w:t xml:space="preserve">s in future years of differences between the tax bases of assets and liabilities and their financial reporting amounts at each period end based on enacted tax laws and statutory tax rates, applicable to the periods in which the differences are expected to </w:t>
      </w:r>
      <w:r>
        <w:rPr>
          <w:sz w:val="20"/>
          <w:szCs w:val="20"/>
        </w:rPr>
        <w:t>affect taxable income. International Accounting Standard 12 Income Taxes (“IAS12”) requires a one-step approach that provides a company to satisfy the probability criterion when assessing whether a deferred tax account should be recorded or not. Under this</w:t>
      </w:r>
      <w:r>
        <w:rPr>
          <w:sz w:val="20"/>
          <w:szCs w:val="20"/>
        </w:rPr>
        <w:t xml:space="preserve"> criterion, the Company record a deferred tax account only to the extent it can show it is probable that taxable profit will be available against which the deferred tax asset can be utilized.</w:t>
      </w:r>
    </w:p>
    <w:p w14:paraId="2BC0FE1B"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25E10D74" w14:textId="77777777" w:rsidR="00000000" w:rsidRDefault="00EB4933">
      <w:pPr>
        <w:pStyle w:val="NormalWeb"/>
        <w:spacing w:before="0" w:beforeAutospacing="0" w:after="0" w:afterAutospacing="0"/>
        <w:ind w:left="1350"/>
        <w:jc w:val="both"/>
        <w:divId w:val="98525094"/>
        <w:rPr>
          <w:sz w:val="20"/>
          <w:szCs w:val="20"/>
        </w:rPr>
      </w:pPr>
      <w:r>
        <w:rPr>
          <w:sz w:val="20"/>
          <w:szCs w:val="20"/>
        </w:rPr>
        <w:t>Current IAS 12 does not have specific guidance on uncertain ta</w:t>
      </w:r>
      <w:r>
        <w:rPr>
          <w:sz w:val="20"/>
          <w:szCs w:val="20"/>
        </w:rPr>
        <w:t xml:space="preserve">x positions. The Company measures tax assets and liabilities at the amount expected to be paid, based on enacted or substantively enacted tax legislation. Interest and penalties related to uncertain tax position are recognized and recorded as necessary in </w:t>
      </w:r>
      <w:r>
        <w:rPr>
          <w:sz w:val="20"/>
          <w:szCs w:val="20"/>
        </w:rPr>
        <w:t>the provision for income taxes. According to the PRC Tax Administration and Collection Law, the statute of limitations is three years if the underpayment of taxes is due to computation errors made by the taxpayer or the withholding agent. The statute of li</w:t>
      </w:r>
      <w:r>
        <w:rPr>
          <w:sz w:val="20"/>
          <w:szCs w:val="20"/>
        </w:rPr>
        <w:t xml:space="preserve">mitations is extended to five years under special circumstances, where the underpayment of taxes is more than RMB 100,000. In the case of transfer pricing issues, the statute of limitation is ten years. There is no statute of limitation in the case of tax </w:t>
      </w:r>
      <w:r>
        <w:rPr>
          <w:sz w:val="20"/>
          <w:szCs w:val="20"/>
        </w:rPr>
        <w:t>evasion. The PRC tax returns for the Company’s PRC subsidiaries are open to examination by tax authorities for the tax years beginning in 2018. There were no uncertain tax positions as of December 31, 2019 and 2018 and the Company does not believe that its</w:t>
      </w:r>
      <w:r>
        <w:rPr>
          <w:sz w:val="20"/>
          <w:szCs w:val="20"/>
        </w:rPr>
        <w:t xml:space="preserve"> unrecognized tax benefits will change over the next twelve months.</w:t>
      </w:r>
    </w:p>
    <w:p w14:paraId="45CDE518"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2B7F264" w14:textId="77777777">
        <w:trPr>
          <w:divId w:val="98525094"/>
          <w:trHeight w:val="225"/>
          <w:tblCellSpacing w:w="15" w:type="dxa"/>
        </w:trPr>
        <w:tc>
          <w:tcPr>
            <w:tcW w:w="200" w:type="pct"/>
            <w:vAlign w:val="center"/>
            <w:hideMark/>
          </w:tcPr>
          <w:p w14:paraId="06DAAE47"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0E5C8421" w14:textId="77777777" w:rsidR="00000000" w:rsidRDefault="00EB4933">
            <w:pPr>
              <w:pStyle w:val="NormalWeb"/>
              <w:spacing w:before="0" w:beforeAutospacing="0" w:after="0" w:afterAutospacing="0"/>
              <w:rPr>
                <w:sz w:val="20"/>
                <w:szCs w:val="20"/>
              </w:rPr>
            </w:pPr>
            <w:r>
              <w:rPr>
                <w:rStyle w:val="Strong"/>
                <w:sz w:val="20"/>
                <w:szCs w:val="20"/>
              </w:rPr>
              <w:t xml:space="preserve">iv. </w:t>
            </w:r>
          </w:p>
        </w:tc>
        <w:tc>
          <w:tcPr>
            <w:tcW w:w="0" w:type="auto"/>
            <w:hideMark/>
          </w:tcPr>
          <w:p w14:paraId="0E45B185" w14:textId="77777777" w:rsidR="00000000" w:rsidRDefault="00EB4933">
            <w:pPr>
              <w:rPr>
                <w:rFonts w:eastAsia="Times New Roman"/>
                <w:sz w:val="20"/>
                <w:szCs w:val="20"/>
              </w:rPr>
            </w:pPr>
            <w:r>
              <w:rPr>
                <w:rStyle w:val="Strong"/>
                <w:rFonts w:eastAsia="Times New Roman"/>
                <w:sz w:val="20"/>
                <w:szCs w:val="20"/>
              </w:rPr>
              <w:t>Impairment of property and equipment</w:t>
            </w:r>
          </w:p>
        </w:tc>
      </w:tr>
    </w:tbl>
    <w:p w14:paraId="05DAAD3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133C403" w14:textId="77777777" w:rsidR="00000000" w:rsidRDefault="00EB4933">
      <w:pPr>
        <w:pStyle w:val="NormalWeb"/>
        <w:spacing w:before="0" w:beforeAutospacing="0" w:after="0" w:afterAutospacing="0"/>
        <w:ind w:left="1350"/>
        <w:jc w:val="both"/>
        <w:divId w:val="98525094"/>
        <w:rPr>
          <w:sz w:val="20"/>
          <w:szCs w:val="20"/>
        </w:rPr>
      </w:pPr>
      <w:r>
        <w:rPr>
          <w:sz w:val="20"/>
          <w:szCs w:val="20"/>
        </w:rPr>
        <w:t>The Company reviews its property and equipment for impairment whenever events or changes in circumstances indicate that the carrying amount</w:t>
      </w:r>
      <w:r>
        <w:rPr>
          <w:sz w:val="20"/>
          <w:szCs w:val="20"/>
        </w:rPr>
        <w:t xml:space="preserve"> of an asset may no longer be recoverable. When these events occur, the Company assesses the recoverability of the property and equipment by comparing the carrying value of the property and equipment to the estimated undiscounted future cash flows expected</w:t>
      </w:r>
      <w:r>
        <w:rPr>
          <w:sz w:val="20"/>
          <w:szCs w:val="20"/>
        </w:rPr>
        <w:t xml:space="preserve"> to result from the use of the assets and their eventual disposition where the fair value is lower than the carrying value, measurement of an impairment loss is recognized in the consolidated statements of operations for the difference between the fair val</w:t>
      </w:r>
      <w:r>
        <w:rPr>
          <w:sz w:val="20"/>
          <w:szCs w:val="20"/>
        </w:rPr>
        <w:t>ue, using the expected future discounted cash flows, and the carrying value of the assets. No impairment of property and equipment was recognized for the periods presented.</w:t>
      </w:r>
    </w:p>
    <w:p w14:paraId="29F3874D"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127A674" w14:textId="77777777">
        <w:trPr>
          <w:divId w:val="98525094"/>
          <w:trHeight w:val="225"/>
          <w:tblCellSpacing w:w="15" w:type="dxa"/>
        </w:trPr>
        <w:tc>
          <w:tcPr>
            <w:tcW w:w="0" w:type="auto"/>
            <w:vAlign w:val="center"/>
            <w:hideMark/>
          </w:tcPr>
          <w:p w14:paraId="7E9A5123" w14:textId="77777777" w:rsidR="00000000" w:rsidRDefault="00EB4933">
            <w:pPr>
              <w:rPr>
                <w:rFonts w:eastAsia="Times New Roman"/>
                <w:sz w:val="20"/>
                <w:szCs w:val="20"/>
              </w:rPr>
            </w:pPr>
            <w:r>
              <w:rPr>
                <w:rFonts w:eastAsia="Times New Roman"/>
                <w:sz w:val="20"/>
                <w:szCs w:val="20"/>
              </w:rPr>
              <w:lastRenderedPageBreak/>
              <w:t> </w:t>
            </w:r>
          </w:p>
        </w:tc>
      </w:tr>
      <w:tr w:rsidR="00000000" w14:paraId="712D951B" w14:textId="77777777">
        <w:trPr>
          <w:divId w:val="98525094"/>
          <w:trHeight w:val="225"/>
          <w:tblCellSpacing w:w="15" w:type="dxa"/>
        </w:trPr>
        <w:tc>
          <w:tcPr>
            <w:tcW w:w="0" w:type="auto"/>
            <w:tcBorders>
              <w:bottom w:val="single" w:sz="6" w:space="0" w:color="000000"/>
            </w:tcBorders>
            <w:vAlign w:val="center"/>
            <w:hideMark/>
          </w:tcPr>
          <w:p w14:paraId="692951A2" w14:textId="77777777" w:rsidR="00000000" w:rsidRDefault="00EB4933">
            <w:pPr>
              <w:jc w:val="center"/>
              <w:rPr>
                <w:rFonts w:eastAsia="Times New Roman"/>
                <w:sz w:val="20"/>
                <w:szCs w:val="20"/>
              </w:rPr>
            </w:pPr>
            <w:r>
              <w:rPr>
                <w:rFonts w:eastAsia="Times New Roman"/>
                <w:sz w:val="20"/>
                <w:szCs w:val="20"/>
              </w:rPr>
              <w:t>F-42</w:t>
            </w:r>
          </w:p>
        </w:tc>
      </w:tr>
      <w:tr w:rsidR="00000000" w14:paraId="27363963" w14:textId="77777777">
        <w:trPr>
          <w:divId w:val="98525094"/>
          <w:trHeight w:val="225"/>
          <w:tblCellSpacing w:w="15" w:type="dxa"/>
        </w:trPr>
        <w:tc>
          <w:tcPr>
            <w:tcW w:w="0" w:type="auto"/>
            <w:vAlign w:val="center"/>
            <w:hideMark/>
          </w:tcPr>
          <w:p w14:paraId="7CBE2FA1" w14:textId="77777777" w:rsidR="00000000" w:rsidRDefault="00EB4933">
            <w:pPr>
              <w:rPr>
                <w:rFonts w:eastAsia="Times New Roman"/>
                <w:sz w:val="20"/>
                <w:szCs w:val="20"/>
              </w:rPr>
            </w:pPr>
          </w:p>
        </w:tc>
      </w:tr>
      <w:tr w:rsidR="00000000" w14:paraId="66861F68" w14:textId="77777777">
        <w:trPr>
          <w:divId w:val="98525094"/>
          <w:trHeight w:val="225"/>
          <w:tblCellSpacing w:w="15" w:type="dxa"/>
        </w:trPr>
        <w:tc>
          <w:tcPr>
            <w:tcW w:w="0" w:type="auto"/>
            <w:vAlign w:val="center"/>
            <w:hideMark/>
          </w:tcPr>
          <w:p w14:paraId="66445537" w14:textId="77777777" w:rsidR="00000000" w:rsidRDefault="00EB4933">
            <w:pPr>
              <w:rPr>
                <w:rFonts w:eastAsia="Times New Roman"/>
                <w:sz w:val="20"/>
                <w:szCs w:val="20"/>
              </w:rPr>
            </w:pPr>
            <w:hyperlink r:id="rId259" w:anchor="finindex" w:history="1">
              <w:r>
                <w:rPr>
                  <w:rStyle w:val="Hyperlink"/>
                  <w:rFonts w:eastAsia="Times New Roman"/>
                  <w:i/>
                  <w:iCs/>
                  <w:sz w:val="20"/>
                  <w:szCs w:val="20"/>
                </w:rPr>
                <w:t>Table of Contents</w:t>
              </w:r>
            </w:hyperlink>
          </w:p>
        </w:tc>
      </w:tr>
    </w:tbl>
    <w:p w14:paraId="426FBF5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40CF972"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10CA8021"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43A2332D"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4092203C"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40EB844D" w14:textId="77777777" w:rsidR="00000000" w:rsidRDefault="00EB4933">
      <w:pPr>
        <w:pStyle w:val="NormalWeb"/>
        <w:spacing w:before="0" w:beforeAutospacing="0" w:after="0" w:afterAutospacing="0"/>
        <w:jc w:val="both"/>
        <w:divId w:val="98525094"/>
        <w:rPr>
          <w:sz w:val="20"/>
          <w:szCs w:val="20"/>
        </w:rPr>
      </w:pPr>
      <w:r>
        <w:rPr>
          <w:rStyle w:val="Strong"/>
          <w:sz w:val="20"/>
          <w:szCs w:val="20"/>
        </w:rPr>
        <w:t>5. </w:t>
      </w:r>
      <w:r>
        <w:rPr>
          <w:rStyle w:val="Strong"/>
          <w:sz w:val="14"/>
          <w:szCs w:val="14"/>
        </w:rPr>
        <w:t> </w:t>
      </w:r>
      <w:r>
        <w:rPr>
          <w:rStyle w:val="Strong"/>
          <w:sz w:val="20"/>
          <w:szCs w:val="20"/>
        </w:rPr>
        <w:t>Credit risk</w:t>
      </w:r>
    </w:p>
    <w:p w14:paraId="263F440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421BA60" w14:textId="77777777" w:rsidR="00000000" w:rsidRDefault="00EB4933">
      <w:pPr>
        <w:pStyle w:val="NormalWeb"/>
        <w:spacing w:before="0" w:beforeAutospacing="0" w:after="0" w:afterAutospacing="0"/>
        <w:ind w:left="675"/>
        <w:jc w:val="both"/>
        <w:divId w:val="98525094"/>
        <w:rPr>
          <w:sz w:val="20"/>
          <w:szCs w:val="20"/>
        </w:rPr>
      </w:pPr>
      <w:r>
        <w:rPr>
          <w:sz w:val="20"/>
          <w:szCs w:val="20"/>
        </w:rPr>
        <w:t>Credit risk is the risk that a customer or</w:t>
      </w:r>
      <w:r>
        <w:rPr>
          <w:sz w:val="20"/>
          <w:szCs w:val="20"/>
        </w:rPr>
        <w:t xml:space="preserve"> counterparty fail to fulfill its contractual obligations resulting in financial loss to the Group. The Group’s main income generating activity is lending to customers and therefore credit risk is a principal risk. Credit risk mainly arises from loans to c</w:t>
      </w:r>
      <w:r>
        <w:rPr>
          <w:sz w:val="20"/>
          <w:szCs w:val="20"/>
        </w:rPr>
        <w:t>ustomers. The Group considers all elements of credit risk exposure such as counterparty default risk for risk management purposes.</w:t>
      </w:r>
    </w:p>
    <w:p w14:paraId="7CF7DC0C"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4BC1BD22" w14:textId="77777777" w:rsidR="00000000" w:rsidRDefault="00EB4933">
      <w:pPr>
        <w:pStyle w:val="NormalWeb"/>
        <w:spacing w:before="0" w:beforeAutospacing="0" w:after="0" w:afterAutospacing="0"/>
        <w:ind w:left="675"/>
        <w:jc w:val="both"/>
        <w:divId w:val="98525094"/>
        <w:rPr>
          <w:sz w:val="20"/>
          <w:szCs w:val="20"/>
        </w:rPr>
      </w:pPr>
      <w:r>
        <w:rPr>
          <w:rStyle w:val="Strong"/>
          <w:sz w:val="20"/>
          <w:szCs w:val="20"/>
        </w:rPr>
        <w:t>Credit risk management</w:t>
      </w:r>
    </w:p>
    <w:p w14:paraId="62819618"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20680145" w14:textId="77777777" w:rsidR="00000000" w:rsidRDefault="00EB4933">
      <w:pPr>
        <w:pStyle w:val="NormalWeb"/>
        <w:spacing w:before="0" w:beforeAutospacing="0" w:after="0" w:afterAutospacing="0"/>
        <w:ind w:left="675"/>
        <w:jc w:val="both"/>
        <w:divId w:val="98525094"/>
        <w:rPr>
          <w:sz w:val="20"/>
          <w:szCs w:val="20"/>
        </w:rPr>
      </w:pPr>
      <w:r>
        <w:rPr>
          <w:sz w:val="20"/>
          <w:szCs w:val="20"/>
        </w:rPr>
        <w:t>The Group’</w:t>
      </w:r>
      <w:r>
        <w:rPr>
          <w:sz w:val="20"/>
          <w:szCs w:val="20"/>
        </w:rPr>
        <w:t>s credit committee is responsible for managing the Group’s credit risk by:</w:t>
      </w:r>
    </w:p>
    <w:p w14:paraId="510572C8"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45"/>
        <w:gridCol w:w="530"/>
        <w:gridCol w:w="8285"/>
      </w:tblGrid>
      <w:tr w:rsidR="00000000" w14:paraId="1384F588" w14:textId="77777777">
        <w:trPr>
          <w:divId w:val="98525094"/>
          <w:trHeight w:val="225"/>
          <w:tblCellSpacing w:w="15" w:type="dxa"/>
        </w:trPr>
        <w:tc>
          <w:tcPr>
            <w:tcW w:w="200" w:type="pct"/>
            <w:vAlign w:val="center"/>
            <w:hideMark/>
          </w:tcPr>
          <w:p w14:paraId="59113DC5"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057B839D" w14:textId="77777777" w:rsidR="00000000" w:rsidRDefault="00EB4933">
            <w:pPr>
              <w:pStyle w:val="NormalWeb"/>
              <w:spacing w:before="0" w:beforeAutospacing="0" w:after="0" w:afterAutospacing="0"/>
              <w:jc w:val="both"/>
              <w:rPr>
                <w:sz w:val="20"/>
                <w:szCs w:val="20"/>
              </w:rPr>
            </w:pPr>
            <w:r>
              <w:rPr>
                <w:sz w:val="20"/>
                <w:szCs w:val="20"/>
              </w:rPr>
              <w:t xml:space="preserve">- </w:t>
            </w:r>
          </w:p>
        </w:tc>
        <w:tc>
          <w:tcPr>
            <w:tcW w:w="0" w:type="auto"/>
            <w:hideMark/>
          </w:tcPr>
          <w:p w14:paraId="6E74D7BA" w14:textId="77777777" w:rsidR="00000000" w:rsidRDefault="00EB4933">
            <w:pPr>
              <w:jc w:val="both"/>
              <w:rPr>
                <w:rFonts w:eastAsia="Times New Roman"/>
                <w:sz w:val="20"/>
                <w:szCs w:val="20"/>
              </w:rPr>
            </w:pPr>
            <w:r>
              <w:rPr>
                <w:rFonts w:eastAsia="Times New Roman"/>
                <w:sz w:val="20"/>
                <w:szCs w:val="20"/>
              </w:rPr>
              <w:t xml:space="preserve">Ensuring that the Group has appropriate credit risk practices, including an effective system of internal control, to consistently determine adequate allowances in accordance </w:t>
            </w:r>
            <w:r>
              <w:rPr>
                <w:rFonts w:eastAsia="Times New Roman"/>
                <w:sz w:val="20"/>
                <w:szCs w:val="20"/>
              </w:rPr>
              <w:t>with the Group’s stated policies and procedures, IFRS and relevant supervisory guidance.</w:t>
            </w:r>
          </w:p>
        </w:tc>
      </w:tr>
      <w:tr w:rsidR="00000000" w14:paraId="0FDC20B9" w14:textId="77777777">
        <w:trPr>
          <w:divId w:val="98525094"/>
          <w:trHeight w:val="225"/>
          <w:tblCellSpacing w:w="15" w:type="dxa"/>
        </w:trPr>
        <w:tc>
          <w:tcPr>
            <w:tcW w:w="0" w:type="auto"/>
            <w:vAlign w:val="center"/>
            <w:hideMark/>
          </w:tcPr>
          <w:p w14:paraId="6ECC18BA"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26DD8BDC"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1C4B4D2B"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2C26206" w14:textId="77777777">
        <w:trPr>
          <w:divId w:val="98525094"/>
          <w:trHeight w:val="225"/>
          <w:tblCellSpacing w:w="15" w:type="dxa"/>
        </w:trPr>
        <w:tc>
          <w:tcPr>
            <w:tcW w:w="0" w:type="auto"/>
            <w:vAlign w:val="center"/>
            <w:hideMark/>
          </w:tcPr>
          <w:p w14:paraId="0AE0123B"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51281DAD" w14:textId="77777777" w:rsidR="00000000" w:rsidRDefault="00EB4933">
            <w:pPr>
              <w:pStyle w:val="NormalWeb"/>
              <w:spacing w:before="0" w:beforeAutospacing="0" w:after="0" w:afterAutospacing="0"/>
              <w:jc w:val="both"/>
              <w:rPr>
                <w:sz w:val="20"/>
                <w:szCs w:val="20"/>
              </w:rPr>
            </w:pPr>
            <w:r>
              <w:rPr>
                <w:sz w:val="20"/>
                <w:szCs w:val="20"/>
              </w:rPr>
              <w:t xml:space="preserve">- </w:t>
            </w:r>
          </w:p>
        </w:tc>
        <w:tc>
          <w:tcPr>
            <w:tcW w:w="0" w:type="auto"/>
            <w:hideMark/>
          </w:tcPr>
          <w:p w14:paraId="0B075130" w14:textId="77777777" w:rsidR="00000000" w:rsidRDefault="00EB4933">
            <w:pPr>
              <w:jc w:val="both"/>
              <w:rPr>
                <w:rFonts w:eastAsia="Times New Roman"/>
                <w:sz w:val="20"/>
                <w:szCs w:val="20"/>
              </w:rPr>
            </w:pPr>
            <w:r>
              <w:rPr>
                <w:rFonts w:eastAsia="Times New Roman"/>
                <w:sz w:val="20"/>
                <w:szCs w:val="20"/>
              </w:rPr>
              <w:t>Identifying, assessing and measuring credit risk across the Group, from an individual loan to a portfolio level.</w:t>
            </w:r>
          </w:p>
        </w:tc>
      </w:tr>
      <w:tr w:rsidR="00000000" w14:paraId="73433525" w14:textId="77777777">
        <w:trPr>
          <w:divId w:val="98525094"/>
          <w:trHeight w:val="225"/>
          <w:tblCellSpacing w:w="15" w:type="dxa"/>
        </w:trPr>
        <w:tc>
          <w:tcPr>
            <w:tcW w:w="0" w:type="auto"/>
            <w:vAlign w:val="center"/>
            <w:hideMark/>
          </w:tcPr>
          <w:p w14:paraId="663753DF"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73998E17"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4ED00C3"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78ED4224" w14:textId="77777777">
        <w:trPr>
          <w:divId w:val="98525094"/>
          <w:trHeight w:val="225"/>
          <w:tblCellSpacing w:w="15" w:type="dxa"/>
        </w:trPr>
        <w:tc>
          <w:tcPr>
            <w:tcW w:w="0" w:type="auto"/>
            <w:vAlign w:val="center"/>
            <w:hideMark/>
          </w:tcPr>
          <w:p w14:paraId="745AB364"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56A0F358" w14:textId="77777777" w:rsidR="00000000" w:rsidRDefault="00EB4933">
            <w:pPr>
              <w:pStyle w:val="NormalWeb"/>
              <w:spacing w:before="0" w:beforeAutospacing="0" w:after="0" w:afterAutospacing="0"/>
              <w:jc w:val="both"/>
              <w:rPr>
                <w:sz w:val="20"/>
                <w:szCs w:val="20"/>
              </w:rPr>
            </w:pPr>
            <w:r>
              <w:rPr>
                <w:sz w:val="20"/>
                <w:szCs w:val="20"/>
              </w:rPr>
              <w:t xml:space="preserve">- </w:t>
            </w:r>
          </w:p>
        </w:tc>
        <w:tc>
          <w:tcPr>
            <w:tcW w:w="0" w:type="auto"/>
            <w:hideMark/>
          </w:tcPr>
          <w:p w14:paraId="77A46616" w14:textId="77777777" w:rsidR="00000000" w:rsidRDefault="00EB4933">
            <w:pPr>
              <w:jc w:val="both"/>
              <w:rPr>
                <w:rFonts w:eastAsia="Times New Roman"/>
                <w:sz w:val="20"/>
                <w:szCs w:val="20"/>
              </w:rPr>
            </w:pPr>
            <w:r>
              <w:rPr>
                <w:rFonts w:eastAsia="Times New Roman"/>
                <w:sz w:val="20"/>
                <w:szCs w:val="20"/>
              </w:rPr>
              <w:t>Creating credit policies to protect the Group against the identified risks including the requirements to obtain collateral from bo</w:t>
            </w:r>
            <w:r>
              <w:rPr>
                <w:rFonts w:eastAsia="Times New Roman"/>
                <w:sz w:val="20"/>
                <w:szCs w:val="20"/>
              </w:rPr>
              <w:t>rrowers, to perform robust ongoing credit assessment of borrowers and to continually monitor exposures against internal risk limits.</w:t>
            </w:r>
          </w:p>
        </w:tc>
      </w:tr>
      <w:tr w:rsidR="00000000" w14:paraId="0DD60C5F" w14:textId="77777777">
        <w:trPr>
          <w:divId w:val="98525094"/>
          <w:trHeight w:val="225"/>
          <w:tblCellSpacing w:w="15" w:type="dxa"/>
        </w:trPr>
        <w:tc>
          <w:tcPr>
            <w:tcW w:w="0" w:type="auto"/>
            <w:vAlign w:val="center"/>
            <w:hideMark/>
          </w:tcPr>
          <w:p w14:paraId="410F4B80"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02D0410D"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0A5C3125"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5F698429" w14:textId="77777777">
        <w:trPr>
          <w:divId w:val="98525094"/>
          <w:trHeight w:val="225"/>
          <w:tblCellSpacing w:w="15" w:type="dxa"/>
        </w:trPr>
        <w:tc>
          <w:tcPr>
            <w:tcW w:w="0" w:type="auto"/>
            <w:vAlign w:val="center"/>
            <w:hideMark/>
          </w:tcPr>
          <w:p w14:paraId="67A55E42"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4E1DFF0D" w14:textId="77777777" w:rsidR="00000000" w:rsidRDefault="00EB4933">
            <w:pPr>
              <w:pStyle w:val="NormalWeb"/>
              <w:spacing w:before="0" w:beforeAutospacing="0" w:after="0" w:afterAutospacing="0"/>
              <w:jc w:val="both"/>
              <w:rPr>
                <w:sz w:val="20"/>
                <w:szCs w:val="20"/>
              </w:rPr>
            </w:pPr>
            <w:r>
              <w:rPr>
                <w:sz w:val="20"/>
                <w:szCs w:val="20"/>
              </w:rPr>
              <w:t xml:space="preserve">- </w:t>
            </w:r>
          </w:p>
        </w:tc>
        <w:tc>
          <w:tcPr>
            <w:tcW w:w="0" w:type="auto"/>
            <w:hideMark/>
          </w:tcPr>
          <w:p w14:paraId="6FCE7B9F" w14:textId="77777777" w:rsidR="00000000" w:rsidRDefault="00EB4933">
            <w:pPr>
              <w:jc w:val="both"/>
              <w:rPr>
                <w:rFonts w:eastAsia="Times New Roman"/>
                <w:sz w:val="20"/>
                <w:szCs w:val="20"/>
              </w:rPr>
            </w:pPr>
            <w:r>
              <w:rPr>
                <w:rFonts w:eastAsia="Times New Roman"/>
                <w:sz w:val="20"/>
                <w:szCs w:val="20"/>
              </w:rPr>
              <w:t xml:space="preserve">Establishing a robust control framework regarding the authorization structure for the approval and renewal of </w:t>
            </w:r>
            <w:r>
              <w:rPr>
                <w:rFonts w:eastAsia="Times New Roman"/>
                <w:sz w:val="20"/>
                <w:szCs w:val="20"/>
              </w:rPr>
              <w:t>credit facilities.</w:t>
            </w:r>
          </w:p>
        </w:tc>
      </w:tr>
      <w:tr w:rsidR="00000000" w14:paraId="68E92132" w14:textId="77777777">
        <w:trPr>
          <w:divId w:val="98525094"/>
          <w:trHeight w:val="225"/>
          <w:tblCellSpacing w:w="15" w:type="dxa"/>
        </w:trPr>
        <w:tc>
          <w:tcPr>
            <w:tcW w:w="0" w:type="auto"/>
            <w:vAlign w:val="center"/>
            <w:hideMark/>
          </w:tcPr>
          <w:p w14:paraId="6E000D68"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130F39EF"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4A2E2FB5"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8701944" w14:textId="77777777">
        <w:trPr>
          <w:divId w:val="98525094"/>
          <w:trHeight w:val="225"/>
          <w:tblCellSpacing w:w="15" w:type="dxa"/>
        </w:trPr>
        <w:tc>
          <w:tcPr>
            <w:tcW w:w="0" w:type="auto"/>
            <w:vAlign w:val="center"/>
            <w:hideMark/>
          </w:tcPr>
          <w:p w14:paraId="52AB715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16276827" w14:textId="77777777" w:rsidR="00000000" w:rsidRDefault="00EB4933">
            <w:pPr>
              <w:pStyle w:val="NormalWeb"/>
              <w:spacing w:before="0" w:beforeAutospacing="0" w:after="0" w:afterAutospacing="0"/>
              <w:jc w:val="both"/>
              <w:rPr>
                <w:sz w:val="20"/>
                <w:szCs w:val="20"/>
              </w:rPr>
            </w:pPr>
            <w:r>
              <w:rPr>
                <w:sz w:val="20"/>
                <w:szCs w:val="20"/>
              </w:rPr>
              <w:t xml:space="preserve">- </w:t>
            </w:r>
          </w:p>
        </w:tc>
        <w:tc>
          <w:tcPr>
            <w:tcW w:w="0" w:type="auto"/>
            <w:hideMark/>
          </w:tcPr>
          <w:p w14:paraId="00D36255" w14:textId="77777777" w:rsidR="00000000" w:rsidRDefault="00EB4933">
            <w:pPr>
              <w:jc w:val="both"/>
              <w:rPr>
                <w:rFonts w:eastAsia="Times New Roman"/>
                <w:sz w:val="20"/>
                <w:szCs w:val="20"/>
              </w:rPr>
            </w:pPr>
            <w:r>
              <w:rPr>
                <w:rFonts w:eastAsia="Times New Roman"/>
                <w:sz w:val="20"/>
                <w:szCs w:val="20"/>
              </w:rPr>
              <w:t>Developing and maintaining the Group’</w:t>
            </w:r>
            <w:r>
              <w:rPr>
                <w:rFonts w:eastAsia="Times New Roman"/>
                <w:sz w:val="20"/>
                <w:szCs w:val="20"/>
              </w:rPr>
              <w:t>s processes for measuring expected credit loss including monitoring of credit risk, incorporation of forward-looking information and the method used to measure expected credit loss.</w:t>
            </w:r>
          </w:p>
        </w:tc>
      </w:tr>
      <w:tr w:rsidR="00000000" w14:paraId="67F413B1" w14:textId="77777777">
        <w:trPr>
          <w:divId w:val="98525094"/>
          <w:trHeight w:val="225"/>
          <w:tblCellSpacing w:w="15" w:type="dxa"/>
        </w:trPr>
        <w:tc>
          <w:tcPr>
            <w:tcW w:w="0" w:type="auto"/>
            <w:vAlign w:val="center"/>
            <w:hideMark/>
          </w:tcPr>
          <w:p w14:paraId="0F861D00"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27133908"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277FABF1"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237E890F" w14:textId="77777777">
        <w:trPr>
          <w:divId w:val="98525094"/>
          <w:trHeight w:val="225"/>
          <w:tblCellSpacing w:w="15" w:type="dxa"/>
        </w:trPr>
        <w:tc>
          <w:tcPr>
            <w:tcW w:w="0" w:type="auto"/>
            <w:vAlign w:val="center"/>
            <w:hideMark/>
          </w:tcPr>
          <w:p w14:paraId="19A450A9"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4FB71153" w14:textId="77777777" w:rsidR="00000000" w:rsidRDefault="00EB4933">
            <w:pPr>
              <w:pStyle w:val="NormalWeb"/>
              <w:spacing w:before="0" w:beforeAutospacing="0" w:after="0" w:afterAutospacing="0"/>
              <w:jc w:val="both"/>
              <w:rPr>
                <w:sz w:val="20"/>
                <w:szCs w:val="20"/>
              </w:rPr>
            </w:pPr>
            <w:r>
              <w:rPr>
                <w:sz w:val="20"/>
                <w:szCs w:val="20"/>
              </w:rPr>
              <w:t xml:space="preserve">- </w:t>
            </w:r>
          </w:p>
        </w:tc>
        <w:tc>
          <w:tcPr>
            <w:tcW w:w="0" w:type="auto"/>
            <w:hideMark/>
          </w:tcPr>
          <w:p w14:paraId="3D208441" w14:textId="77777777" w:rsidR="00000000" w:rsidRDefault="00EB4933">
            <w:pPr>
              <w:jc w:val="both"/>
              <w:rPr>
                <w:rFonts w:eastAsia="Times New Roman"/>
                <w:sz w:val="20"/>
                <w:szCs w:val="20"/>
              </w:rPr>
            </w:pPr>
            <w:r>
              <w:rPr>
                <w:rFonts w:eastAsia="Times New Roman"/>
                <w:sz w:val="20"/>
                <w:szCs w:val="20"/>
              </w:rPr>
              <w:t xml:space="preserve">Ensuring that the Group has policies and procedures in place </w:t>
            </w:r>
            <w:r>
              <w:rPr>
                <w:rFonts w:eastAsia="Times New Roman"/>
                <w:sz w:val="20"/>
                <w:szCs w:val="20"/>
              </w:rPr>
              <w:t>to appropriately maintain and validate methods used to assess and measure expected credit loss.</w:t>
            </w:r>
          </w:p>
        </w:tc>
      </w:tr>
      <w:tr w:rsidR="00000000" w14:paraId="3924E898" w14:textId="77777777">
        <w:trPr>
          <w:divId w:val="98525094"/>
          <w:trHeight w:val="225"/>
          <w:tblCellSpacing w:w="15" w:type="dxa"/>
        </w:trPr>
        <w:tc>
          <w:tcPr>
            <w:tcW w:w="0" w:type="auto"/>
            <w:vAlign w:val="center"/>
            <w:hideMark/>
          </w:tcPr>
          <w:p w14:paraId="485CB6F3"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27E37274"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5BAA8E60"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2019EDA" w14:textId="77777777">
        <w:trPr>
          <w:divId w:val="98525094"/>
          <w:trHeight w:val="225"/>
          <w:tblCellSpacing w:w="15" w:type="dxa"/>
        </w:trPr>
        <w:tc>
          <w:tcPr>
            <w:tcW w:w="0" w:type="auto"/>
            <w:vAlign w:val="center"/>
            <w:hideMark/>
          </w:tcPr>
          <w:p w14:paraId="57FBE26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7528E1A1" w14:textId="77777777" w:rsidR="00000000" w:rsidRDefault="00EB4933">
            <w:pPr>
              <w:pStyle w:val="NormalWeb"/>
              <w:spacing w:before="0" w:beforeAutospacing="0" w:after="0" w:afterAutospacing="0"/>
              <w:jc w:val="both"/>
              <w:rPr>
                <w:sz w:val="20"/>
                <w:szCs w:val="20"/>
              </w:rPr>
            </w:pPr>
            <w:r>
              <w:rPr>
                <w:sz w:val="20"/>
                <w:szCs w:val="20"/>
              </w:rPr>
              <w:t xml:space="preserve">- </w:t>
            </w:r>
          </w:p>
        </w:tc>
        <w:tc>
          <w:tcPr>
            <w:tcW w:w="0" w:type="auto"/>
            <w:hideMark/>
          </w:tcPr>
          <w:p w14:paraId="3C64CC62" w14:textId="77777777" w:rsidR="00000000" w:rsidRDefault="00EB4933">
            <w:pPr>
              <w:jc w:val="both"/>
              <w:rPr>
                <w:rFonts w:eastAsia="Times New Roman"/>
                <w:sz w:val="20"/>
                <w:szCs w:val="20"/>
              </w:rPr>
            </w:pPr>
            <w:r>
              <w:rPr>
                <w:rFonts w:eastAsia="Times New Roman"/>
                <w:sz w:val="20"/>
                <w:szCs w:val="20"/>
              </w:rPr>
              <w:t>Establishing a sound credit risk accounting assessment and measurement process that provides it with a strong basis for common systems, tools and d</w:t>
            </w:r>
            <w:r>
              <w:rPr>
                <w:rFonts w:eastAsia="Times New Roman"/>
                <w:sz w:val="20"/>
                <w:szCs w:val="20"/>
              </w:rPr>
              <w:t>ata to assess credit risk and to account for expected credit loss. Providing advice, guidance and specialist skills to business units to promote best practice throughout the Group in the management of credit risk.</w:t>
            </w:r>
          </w:p>
        </w:tc>
      </w:tr>
    </w:tbl>
    <w:p w14:paraId="1337BD1B"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F5D43F8" w14:textId="77777777">
        <w:trPr>
          <w:divId w:val="98525094"/>
          <w:trHeight w:val="225"/>
          <w:tblCellSpacing w:w="15" w:type="dxa"/>
        </w:trPr>
        <w:tc>
          <w:tcPr>
            <w:tcW w:w="0" w:type="auto"/>
            <w:vAlign w:val="center"/>
            <w:hideMark/>
          </w:tcPr>
          <w:p w14:paraId="5C5E7938" w14:textId="77777777" w:rsidR="00000000" w:rsidRDefault="00EB4933">
            <w:pPr>
              <w:rPr>
                <w:rFonts w:eastAsia="Times New Roman"/>
                <w:sz w:val="20"/>
                <w:szCs w:val="20"/>
              </w:rPr>
            </w:pPr>
            <w:r>
              <w:rPr>
                <w:rFonts w:eastAsia="Times New Roman"/>
                <w:sz w:val="20"/>
                <w:szCs w:val="20"/>
              </w:rPr>
              <w:t> </w:t>
            </w:r>
          </w:p>
        </w:tc>
      </w:tr>
      <w:tr w:rsidR="00000000" w14:paraId="6D791748" w14:textId="77777777">
        <w:trPr>
          <w:divId w:val="98525094"/>
          <w:trHeight w:val="225"/>
          <w:tblCellSpacing w:w="15" w:type="dxa"/>
        </w:trPr>
        <w:tc>
          <w:tcPr>
            <w:tcW w:w="0" w:type="auto"/>
            <w:tcBorders>
              <w:bottom w:val="single" w:sz="6" w:space="0" w:color="000000"/>
            </w:tcBorders>
            <w:vAlign w:val="center"/>
            <w:hideMark/>
          </w:tcPr>
          <w:p w14:paraId="280546C7" w14:textId="77777777" w:rsidR="00000000" w:rsidRDefault="00EB4933">
            <w:pPr>
              <w:jc w:val="center"/>
              <w:rPr>
                <w:rFonts w:eastAsia="Times New Roman"/>
                <w:sz w:val="20"/>
                <w:szCs w:val="20"/>
              </w:rPr>
            </w:pPr>
            <w:r>
              <w:rPr>
                <w:rFonts w:eastAsia="Times New Roman"/>
                <w:sz w:val="20"/>
                <w:szCs w:val="20"/>
              </w:rPr>
              <w:t>F-43</w:t>
            </w:r>
          </w:p>
        </w:tc>
      </w:tr>
      <w:tr w:rsidR="00000000" w14:paraId="7D1F73B8" w14:textId="77777777">
        <w:trPr>
          <w:divId w:val="98525094"/>
          <w:trHeight w:val="225"/>
          <w:tblCellSpacing w:w="15" w:type="dxa"/>
        </w:trPr>
        <w:tc>
          <w:tcPr>
            <w:tcW w:w="0" w:type="auto"/>
            <w:vAlign w:val="center"/>
            <w:hideMark/>
          </w:tcPr>
          <w:p w14:paraId="597F20F0" w14:textId="77777777" w:rsidR="00000000" w:rsidRDefault="00EB4933">
            <w:pPr>
              <w:rPr>
                <w:rFonts w:eastAsia="Times New Roman"/>
                <w:sz w:val="20"/>
                <w:szCs w:val="20"/>
              </w:rPr>
            </w:pPr>
          </w:p>
        </w:tc>
      </w:tr>
      <w:tr w:rsidR="00000000" w14:paraId="43165A95" w14:textId="77777777">
        <w:trPr>
          <w:divId w:val="98525094"/>
          <w:trHeight w:val="225"/>
          <w:tblCellSpacing w:w="15" w:type="dxa"/>
        </w:trPr>
        <w:tc>
          <w:tcPr>
            <w:tcW w:w="0" w:type="auto"/>
            <w:vAlign w:val="center"/>
            <w:hideMark/>
          </w:tcPr>
          <w:p w14:paraId="3AA7668F" w14:textId="77777777" w:rsidR="00000000" w:rsidRDefault="00EB4933">
            <w:pPr>
              <w:rPr>
                <w:rFonts w:eastAsia="Times New Roman"/>
                <w:sz w:val="20"/>
                <w:szCs w:val="20"/>
              </w:rPr>
            </w:pPr>
            <w:hyperlink r:id="rId260" w:anchor="finindex" w:history="1">
              <w:r>
                <w:rPr>
                  <w:rStyle w:val="Hyperlink"/>
                  <w:rFonts w:eastAsia="Times New Roman"/>
                  <w:i/>
                  <w:iCs/>
                  <w:sz w:val="20"/>
                  <w:szCs w:val="20"/>
                </w:rPr>
                <w:t>Table of Contents</w:t>
              </w:r>
            </w:hyperlink>
          </w:p>
        </w:tc>
      </w:tr>
    </w:tbl>
    <w:p w14:paraId="4B9DEFC7"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0504837B"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1934C586"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188A763B" w14:textId="77777777" w:rsidR="00000000" w:rsidRDefault="00EB4933">
      <w:pPr>
        <w:pStyle w:val="NormalWeb"/>
        <w:spacing w:before="0" w:beforeAutospacing="0" w:after="0" w:afterAutospacing="0"/>
        <w:jc w:val="both"/>
        <w:divId w:val="98525094"/>
        <w:rPr>
          <w:sz w:val="20"/>
          <w:szCs w:val="20"/>
        </w:rPr>
      </w:pPr>
      <w:r>
        <w:rPr>
          <w:rStyle w:val="Strong"/>
          <w:sz w:val="20"/>
          <w:szCs w:val="20"/>
        </w:rPr>
        <w:lastRenderedPageBreak/>
        <w:t>FOR THE FINANCIAL YEAR ENDED 2017, 2018 AND 2019</w:t>
      </w:r>
    </w:p>
    <w:p w14:paraId="12E67307"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2DD792DC" w14:textId="77777777" w:rsidR="00000000" w:rsidRDefault="00EB4933">
      <w:pPr>
        <w:pStyle w:val="NormalWeb"/>
        <w:spacing w:before="0" w:beforeAutospacing="0" w:after="0" w:afterAutospacing="0"/>
        <w:jc w:val="both"/>
        <w:divId w:val="98525094"/>
        <w:rPr>
          <w:sz w:val="20"/>
          <w:szCs w:val="20"/>
        </w:rPr>
      </w:pPr>
      <w:r>
        <w:rPr>
          <w:rStyle w:val="Strong"/>
          <w:sz w:val="20"/>
          <w:szCs w:val="20"/>
        </w:rPr>
        <w:t>5. Credit risk – continued</w:t>
      </w:r>
    </w:p>
    <w:p w14:paraId="4229C80E" w14:textId="77777777" w:rsidR="00000000" w:rsidRDefault="00EB4933">
      <w:pPr>
        <w:pStyle w:val="NormalWeb"/>
        <w:spacing w:before="0" w:beforeAutospacing="0" w:after="0" w:afterAutospacing="0"/>
        <w:jc w:val="both"/>
        <w:divId w:val="98525094"/>
        <w:rPr>
          <w:sz w:val="20"/>
          <w:szCs w:val="20"/>
        </w:rPr>
      </w:pPr>
      <w:r>
        <w:rPr>
          <w:rStyle w:val="Strong"/>
          <w:sz w:val="20"/>
          <w:szCs w:val="20"/>
        </w:rPr>
        <w:t> </w:t>
      </w:r>
    </w:p>
    <w:p w14:paraId="57EC9B86" w14:textId="77777777" w:rsidR="00000000" w:rsidRDefault="00EB4933">
      <w:pPr>
        <w:pStyle w:val="NormalWeb"/>
        <w:spacing w:before="0" w:beforeAutospacing="0" w:after="0" w:afterAutospacing="0"/>
        <w:ind w:left="675"/>
        <w:jc w:val="both"/>
        <w:divId w:val="98525094"/>
        <w:rPr>
          <w:sz w:val="20"/>
          <w:szCs w:val="20"/>
        </w:rPr>
      </w:pPr>
      <w:r>
        <w:rPr>
          <w:rStyle w:val="Strong"/>
          <w:sz w:val="20"/>
          <w:szCs w:val="20"/>
        </w:rPr>
        <w:t>Maximum exposure to credit risk – Financial instruments subject to impairment</w:t>
      </w:r>
    </w:p>
    <w:p w14:paraId="2B1746BD"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37017915" w14:textId="77777777" w:rsidR="00000000" w:rsidRDefault="00EB4933">
      <w:pPr>
        <w:pStyle w:val="NormalWeb"/>
        <w:spacing w:before="0" w:beforeAutospacing="0" w:after="0" w:afterAutospacing="0"/>
        <w:ind w:left="675"/>
        <w:jc w:val="both"/>
        <w:divId w:val="98525094"/>
        <w:rPr>
          <w:sz w:val="20"/>
          <w:szCs w:val="20"/>
        </w:rPr>
      </w:pPr>
      <w:r>
        <w:rPr>
          <w:sz w:val="20"/>
          <w:szCs w:val="20"/>
        </w:rPr>
        <w:t>The following table contains an analysis of the credit risk exposure of financial instruments for which an expected credit loss allowance is recognized. The gross carrying amou</w:t>
      </w:r>
      <w:r>
        <w:rPr>
          <w:sz w:val="20"/>
          <w:szCs w:val="20"/>
        </w:rPr>
        <w:t>nt of financial assets below also represents the Group’s maximum exposure to credit risk on these assets.</w:t>
      </w:r>
    </w:p>
    <w:p w14:paraId="4E8EEBDA"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4230"/>
        <w:gridCol w:w="99"/>
        <w:gridCol w:w="111"/>
        <w:gridCol w:w="753"/>
        <w:gridCol w:w="90"/>
        <w:gridCol w:w="99"/>
        <w:gridCol w:w="111"/>
        <w:gridCol w:w="753"/>
        <w:gridCol w:w="90"/>
        <w:gridCol w:w="100"/>
        <w:gridCol w:w="100"/>
        <w:gridCol w:w="830"/>
        <w:gridCol w:w="100"/>
        <w:gridCol w:w="100"/>
        <w:gridCol w:w="100"/>
        <w:gridCol w:w="830"/>
        <w:gridCol w:w="115"/>
      </w:tblGrid>
      <w:tr w:rsidR="00000000" w14:paraId="2EDC59DC" w14:textId="77777777">
        <w:trPr>
          <w:divId w:val="98525094"/>
          <w:trHeight w:val="225"/>
          <w:tblCellSpacing w:w="15" w:type="dxa"/>
        </w:trPr>
        <w:tc>
          <w:tcPr>
            <w:tcW w:w="0" w:type="auto"/>
            <w:vAlign w:val="center"/>
            <w:hideMark/>
          </w:tcPr>
          <w:p w14:paraId="5BFAE023"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27585A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14"/>
            <w:vAlign w:val="bottom"/>
            <w:hideMark/>
          </w:tcPr>
          <w:p w14:paraId="3195BAA1"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58256D3B" w14:textId="77777777" w:rsidR="00000000" w:rsidRDefault="00EB4933">
            <w:pPr>
              <w:pStyle w:val="NormalWeb"/>
              <w:spacing w:before="0" w:beforeAutospacing="0" w:after="0" w:afterAutospacing="0"/>
              <w:rPr>
                <w:sz w:val="20"/>
                <w:szCs w:val="20"/>
              </w:rPr>
            </w:pPr>
            <w:r>
              <w:rPr>
                <w:sz w:val="20"/>
                <w:szCs w:val="20"/>
              </w:rPr>
              <w:t> </w:t>
            </w:r>
          </w:p>
        </w:tc>
      </w:tr>
      <w:tr w:rsidR="00000000" w14:paraId="1A827C5A" w14:textId="77777777">
        <w:trPr>
          <w:divId w:val="98525094"/>
          <w:trHeight w:val="225"/>
          <w:tblCellSpacing w:w="15" w:type="dxa"/>
        </w:trPr>
        <w:tc>
          <w:tcPr>
            <w:tcW w:w="0" w:type="auto"/>
            <w:vAlign w:val="center"/>
            <w:hideMark/>
          </w:tcPr>
          <w:p w14:paraId="56701633"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5109518"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14"/>
            <w:tcBorders>
              <w:bottom w:val="single" w:sz="6" w:space="0" w:color="000000"/>
            </w:tcBorders>
            <w:vAlign w:val="bottom"/>
            <w:hideMark/>
          </w:tcPr>
          <w:p w14:paraId="08348925" w14:textId="77777777" w:rsidR="00000000" w:rsidRDefault="00EB4933">
            <w:pPr>
              <w:pStyle w:val="NormalWeb"/>
              <w:spacing w:before="0" w:beforeAutospacing="0" w:after="0" w:afterAutospacing="0"/>
              <w:jc w:val="center"/>
              <w:rPr>
                <w:sz w:val="20"/>
                <w:szCs w:val="20"/>
              </w:rPr>
            </w:pPr>
            <w:r>
              <w:rPr>
                <w:rStyle w:val="Strong"/>
                <w:sz w:val="20"/>
                <w:szCs w:val="20"/>
              </w:rPr>
              <w:t>ECL staging</w:t>
            </w:r>
          </w:p>
        </w:tc>
        <w:tc>
          <w:tcPr>
            <w:tcW w:w="0" w:type="auto"/>
            <w:noWrap/>
            <w:vAlign w:val="center"/>
            <w:hideMark/>
          </w:tcPr>
          <w:p w14:paraId="627E1898" w14:textId="77777777" w:rsidR="00000000" w:rsidRDefault="00EB4933">
            <w:pPr>
              <w:pStyle w:val="NormalWeb"/>
              <w:spacing w:before="0" w:beforeAutospacing="0" w:after="0" w:afterAutospacing="0"/>
              <w:rPr>
                <w:sz w:val="20"/>
                <w:szCs w:val="20"/>
              </w:rPr>
            </w:pPr>
            <w:r>
              <w:rPr>
                <w:sz w:val="20"/>
                <w:szCs w:val="20"/>
              </w:rPr>
              <w:t> </w:t>
            </w:r>
          </w:p>
        </w:tc>
      </w:tr>
      <w:tr w:rsidR="00000000" w14:paraId="7591791C" w14:textId="77777777">
        <w:trPr>
          <w:divId w:val="98525094"/>
          <w:trHeight w:val="225"/>
          <w:tblCellSpacing w:w="15" w:type="dxa"/>
        </w:trPr>
        <w:tc>
          <w:tcPr>
            <w:tcW w:w="0" w:type="auto"/>
            <w:vAlign w:val="center"/>
            <w:hideMark/>
          </w:tcPr>
          <w:p w14:paraId="1AE9493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2AA5F28"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5D114065" w14:textId="77777777" w:rsidR="00000000" w:rsidRDefault="00EB4933">
            <w:pPr>
              <w:pStyle w:val="NormalWeb"/>
              <w:spacing w:before="0" w:beforeAutospacing="0" w:after="0" w:afterAutospacing="0"/>
              <w:jc w:val="center"/>
              <w:rPr>
                <w:sz w:val="20"/>
                <w:szCs w:val="20"/>
              </w:rPr>
            </w:pPr>
            <w:r>
              <w:rPr>
                <w:rStyle w:val="Strong"/>
                <w:sz w:val="20"/>
                <w:szCs w:val="20"/>
              </w:rPr>
              <w:t>Stage 1</w:t>
            </w:r>
          </w:p>
        </w:tc>
        <w:tc>
          <w:tcPr>
            <w:tcW w:w="0" w:type="auto"/>
            <w:noWrap/>
            <w:vAlign w:val="center"/>
            <w:hideMark/>
          </w:tcPr>
          <w:p w14:paraId="79E04BBD"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CC69BD4"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5A54EBC1" w14:textId="77777777" w:rsidR="00000000" w:rsidRDefault="00EB4933">
            <w:pPr>
              <w:pStyle w:val="NormalWeb"/>
              <w:spacing w:before="0" w:beforeAutospacing="0" w:after="0" w:afterAutospacing="0"/>
              <w:jc w:val="center"/>
              <w:rPr>
                <w:sz w:val="20"/>
                <w:szCs w:val="20"/>
              </w:rPr>
            </w:pPr>
            <w:r>
              <w:rPr>
                <w:rStyle w:val="Strong"/>
                <w:sz w:val="20"/>
                <w:szCs w:val="20"/>
              </w:rPr>
              <w:t>Stage 2</w:t>
            </w:r>
          </w:p>
        </w:tc>
        <w:tc>
          <w:tcPr>
            <w:tcW w:w="0" w:type="auto"/>
            <w:noWrap/>
            <w:vAlign w:val="center"/>
            <w:hideMark/>
          </w:tcPr>
          <w:p w14:paraId="06E53FDB"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3CF67E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66D13333" w14:textId="77777777" w:rsidR="00000000" w:rsidRDefault="00EB4933">
            <w:pPr>
              <w:pStyle w:val="NormalWeb"/>
              <w:spacing w:before="0" w:beforeAutospacing="0" w:after="0" w:afterAutospacing="0"/>
              <w:jc w:val="center"/>
              <w:rPr>
                <w:sz w:val="20"/>
                <w:szCs w:val="20"/>
              </w:rPr>
            </w:pPr>
            <w:r>
              <w:rPr>
                <w:rStyle w:val="Strong"/>
                <w:sz w:val="20"/>
                <w:szCs w:val="20"/>
              </w:rPr>
              <w:t>Stage 3</w:t>
            </w:r>
          </w:p>
        </w:tc>
        <w:tc>
          <w:tcPr>
            <w:tcW w:w="0" w:type="auto"/>
            <w:noWrap/>
            <w:vAlign w:val="center"/>
            <w:hideMark/>
          </w:tcPr>
          <w:p w14:paraId="02A60D2A"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753AB5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FE22E50" w14:textId="77777777" w:rsidR="00000000" w:rsidRDefault="00EB4933">
            <w:pPr>
              <w:pStyle w:val="NormalWeb"/>
              <w:spacing w:before="0" w:beforeAutospacing="0" w:after="0" w:afterAutospacing="0"/>
              <w:jc w:val="center"/>
              <w:rPr>
                <w:sz w:val="20"/>
                <w:szCs w:val="20"/>
              </w:rPr>
            </w:pPr>
            <w:r>
              <w:rPr>
                <w:sz w:val="20"/>
                <w:szCs w:val="20"/>
              </w:rPr>
              <w:t> </w:t>
            </w:r>
          </w:p>
        </w:tc>
        <w:tc>
          <w:tcPr>
            <w:tcW w:w="0" w:type="auto"/>
            <w:noWrap/>
            <w:vAlign w:val="center"/>
            <w:hideMark/>
          </w:tcPr>
          <w:p w14:paraId="43177287" w14:textId="77777777" w:rsidR="00000000" w:rsidRDefault="00EB4933">
            <w:pPr>
              <w:pStyle w:val="NormalWeb"/>
              <w:spacing w:before="0" w:beforeAutospacing="0" w:after="0" w:afterAutospacing="0"/>
              <w:rPr>
                <w:sz w:val="20"/>
                <w:szCs w:val="20"/>
              </w:rPr>
            </w:pPr>
            <w:r>
              <w:rPr>
                <w:sz w:val="20"/>
                <w:szCs w:val="20"/>
              </w:rPr>
              <w:t> </w:t>
            </w:r>
          </w:p>
        </w:tc>
      </w:tr>
      <w:tr w:rsidR="00000000" w14:paraId="17F66F84" w14:textId="77777777">
        <w:trPr>
          <w:divId w:val="98525094"/>
          <w:trHeight w:val="225"/>
          <w:tblCellSpacing w:w="15" w:type="dxa"/>
        </w:trPr>
        <w:tc>
          <w:tcPr>
            <w:tcW w:w="0" w:type="auto"/>
            <w:vAlign w:val="center"/>
            <w:hideMark/>
          </w:tcPr>
          <w:p w14:paraId="68E01FBB"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92E2CC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7B7A0645" w14:textId="77777777" w:rsidR="00000000" w:rsidRDefault="00EB4933">
            <w:pPr>
              <w:pStyle w:val="NormalWeb"/>
              <w:spacing w:before="0" w:beforeAutospacing="0" w:after="0" w:afterAutospacing="0"/>
              <w:jc w:val="center"/>
              <w:rPr>
                <w:sz w:val="20"/>
                <w:szCs w:val="20"/>
              </w:rPr>
            </w:pPr>
            <w:r>
              <w:rPr>
                <w:rStyle w:val="Strong"/>
                <w:sz w:val="20"/>
                <w:szCs w:val="20"/>
              </w:rPr>
              <w:t>Lifetime</w:t>
            </w:r>
          </w:p>
          <w:p w14:paraId="134F75B0" w14:textId="77777777" w:rsidR="00000000" w:rsidRDefault="00EB4933">
            <w:pPr>
              <w:pStyle w:val="NormalWeb"/>
              <w:spacing w:before="0" w:beforeAutospacing="0" w:after="0" w:afterAutospacing="0"/>
              <w:jc w:val="center"/>
              <w:rPr>
                <w:sz w:val="20"/>
                <w:szCs w:val="20"/>
              </w:rPr>
            </w:pPr>
            <w:r>
              <w:rPr>
                <w:rStyle w:val="Strong"/>
                <w:sz w:val="20"/>
                <w:szCs w:val="20"/>
              </w:rPr>
              <w:t>ECL</w:t>
            </w:r>
          </w:p>
        </w:tc>
        <w:tc>
          <w:tcPr>
            <w:tcW w:w="0" w:type="auto"/>
            <w:noWrap/>
            <w:vAlign w:val="center"/>
            <w:hideMark/>
          </w:tcPr>
          <w:p w14:paraId="6A6294B6" w14:textId="77777777" w:rsidR="00000000" w:rsidRDefault="00EB4933">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62EFF7A9" w14:textId="77777777" w:rsidR="00000000" w:rsidRDefault="00EB4933">
            <w:pPr>
              <w:pStyle w:val="NormalWeb"/>
              <w:spacing w:before="0" w:beforeAutospacing="0" w:after="0" w:afterAutospacing="0"/>
              <w:rPr>
                <w:sz w:val="20"/>
                <w:szCs w:val="20"/>
              </w:rPr>
            </w:pPr>
            <w:r>
              <w:rPr>
                <w:rStyle w:val="Strong"/>
                <w:sz w:val="20"/>
                <w:szCs w:val="20"/>
              </w:rPr>
              <w:t> </w:t>
            </w:r>
          </w:p>
        </w:tc>
        <w:tc>
          <w:tcPr>
            <w:tcW w:w="450" w:type="pct"/>
            <w:gridSpan w:val="2"/>
            <w:tcBorders>
              <w:bottom w:val="single" w:sz="6" w:space="0" w:color="000000"/>
            </w:tcBorders>
            <w:vAlign w:val="bottom"/>
            <w:hideMark/>
          </w:tcPr>
          <w:p w14:paraId="2AFCFDAA" w14:textId="77777777" w:rsidR="00000000" w:rsidRDefault="00EB4933">
            <w:pPr>
              <w:pStyle w:val="NormalWeb"/>
              <w:spacing w:before="0" w:beforeAutospacing="0" w:after="0" w:afterAutospacing="0"/>
              <w:jc w:val="center"/>
              <w:rPr>
                <w:sz w:val="20"/>
                <w:szCs w:val="20"/>
              </w:rPr>
            </w:pPr>
            <w:r>
              <w:rPr>
                <w:rStyle w:val="Strong"/>
                <w:sz w:val="20"/>
                <w:szCs w:val="20"/>
              </w:rPr>
              <w:t>Lifetime</w:t>
            </w:r>
          </w:p>
          <w:p w14:paraId="469C327B" w14:textId="77777777" w:rsidR="00000000" w:rsidRDefault="00EB4933">
            <w:pPr>
              <w:pStyle w:val="NormalWeb"/>
              <w:spacing w:before="0" w:beforeAutospacing="0" w:after="0" w:afterAutospacing="0"/>
              <w:jc w:val="center"/>
              <w:rPr>
                <w:sz w:val="20"/>
                <w:szCs w:val="20"/>
              </w:rPr>
            </w:pPr>
            <w:r>
              <w:rPr>
                <w:rStyle w:val="Strong"/>
                <w:sz w:val="20"/>
                <w:szCs w:val="20"/>
              </w:rPr>
              <w:t>ECL</w:t>
            </w:r>
          </w:p>
        </w:tc>
        <w:tc>
          <w:tcPr>
            <w:tcW w:w="0" w:type="auto"/>
            <w:noWrap/>
            <w:vAlign w:val="center"/>
            <w:hideMark/>
          </w:tcPr>
          <w:p w14:paraId="71497CB6" w14:textId="77777777" w:rsidR="00000000" w:rsidRDefault="00EB4933">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2B423EC4" w14:textId="77777777" w:rsidR="00000000" w:rsidRDefault="00EB4933">
            <w:pPr>
              <w:pStyle w:val="NormalWeb"/>
              <w:spacing w:before="0" w:beforeAutospacing="0" w:after="0" w:afterAutospacing="0"/>
              <w:rPr>
                <w:sz w:val="20"/>
                <w:szCs w:val="20"/>
              </w:rPr>
            </w:pPr>
            <w:r>
              <w:rPr>
                <w:rStyle w:val="Strong"/>
                <w:sz w:val="20"/>
                <w:szCs w:val="20"/>
              </w:rPr>
              <w:t> </w:t>
            </w:r>
          </w:p>
        </w:tc>
        <w:tc>
          <w:tcPr>
            <w:tcW w:w="450" w:type="pct"/>
            <w:gridSpan w:val="2"/>
            <w:tcBorders>
              <w:bottom w:val="single" w:sz="6" w:space="0" w:color="000000"/>
            </w:tcBorders>
            <w:vAlign w:val="bottom"/>
            <w:hideMark/>
          </w:tcPr>
          <w:p w14:paraId="276EA75E" w14:textId="77777777" w:rsidR="00000000" w:rsidRDefault="00EB4933">
            <w:pPr>
              <w:pStyle w:val="NormalWeb"/>
              <w:spacing w:before="0" w:beforeAutospacing="0" w:after="0" w:afterAutospacing="0"/>
              <w:jc w:val="center"/>
              <w:rPr>
                <w:sz w:val="20"/>
                <w:szCs w:val="20"/>
              </w:rPr>
            </w:pPr>
            <w:r>
              <w:rPr>
                <w:rStyle w:val="Strong"/>
                <w:sz w:val="20"/>
                <w:szCs w:val="20"/>
              </w:rPr>
              <w:t>Lifetime</w:t>
            </w:r>
          </w:p>
          <w:p w14:paraId="5B178389" w14:textId="77777777" w:rsidR="00000000" w:rsidRDefault="00EB4933">
            <w:pPr>
              <w:pStyle w:val="NormalWeb"/>
              <w:spacing w:before="0" w:beforeAutospacing="0" w:after="0" w:afterAutospacing="0"/>
              <w:jc w:val="center"/>
              <w:rPr>
                <w:sz w:val="20"/>
                <w:szCs w:val="20"/>
              </w:rPr>
            </w:pPr>
            <w:r>
              <w:rPr>
                <w:rStyle w:val="Strong"/>
                <w:sz w:val="20"/>
                <w:szCs w:val="20"/>
              </w:rPr>
              <w:t>ECL</w:t>
            </w:r>
          </w:p>
        </w:tc>
        <w:tc>
          <w:tcPr>
            <w:tcW w:w="0" w:type="auto"/>
            <w:noWrap/>
            <w:vAlign w:val="center"/>
            <w:hideMark/>
          </w:tcPr>
          <w:p w14:paraId="301DF610"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8758EB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20F1DB14" w14:textId="77777777" w:rsidR="00000000" w:rsidRDefault="00EB4933">
            <w:pPr>
              <w:pStyle w:val="NormalWeb"/>
              <w:spacing w:before="0" w:beforeAutospacing="0" w:after="0" w:afterAutospacing="0"/>
              <w:jc w:val="center"/>
              <w:rPr>
                <w:sz w:val="20"/>
                <w:szCs w:val="20"/>
              </w:rPr>
            </w:pPr>
            <w:r>
              <w:rPr>
                <w:rStyle w:val="Strong"/>
                <w:sz w:val="20"/>
                <w:szCs w:val="20"/>
              </w:rPr>
              <w:t>Total</w:t>
            </w:r>
          </w:p>
        </w:tc>
        <w:tc>
          <w:tcPr>
            <w:tcW w:w="0" w:type="auto"/>
            <w:noWrap/>
            <w:vAlign w:val="center"/>
            <w:hideMark/>
          </w:tcPr>
          <w:p w14:paraId="796E4FC0" w14:textId="77777777" w:rsidR="00000000" w:rsidRDefault="00EB4933">
            <w:pPr>
              <w:pStyle w:val="NormalWeb"/>
              <w:spacing w:before="0" w:beforeAutospacing="0" w:after="0" w:afterAutospacing="0"/>
              <w:rPr>
                <w:sz w:val="20"/>
                <w:szCs w:val="20"/>
              </w:rPr>
            </w:pPr>
            <w:r>
              <w:rPr>
                <w:sz w:val="20"/>
                <w:szCs w:val="20"/>
              </w:rPr>
              <w:t> </w:t>
            </w:r>
          </w:p>
        </w:tc>
      </w:tr>
      <w:tr w:rsidR="00000000" w14:paraId="045F73A7" w14:textId="77777777">
        <w:trPr>
          <w:divId w:val="98525094"/>
          <w:trHeight w:val="225"/>
          <w:tblCellSpacing w:w="15" w:type="dxa"/>
        </w:trPr>
        <w:tc>
          <w:tcPr>
            <w:tcW w:w="0" w:type="auto"/>
            <w:vAlign w:val="center"/>
            <w:hideMark/>
          </w:tcPr>
          <w:p w14:paraId="6420CAAE"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90C6A1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4C4F28B5"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tcMar>
              <w:top w:w="0" w:type="dxa"/>
              <w:left w:w="0" w:type="dxa"/>
              <w:bottom w:w="15" w:type="dxa"/>
              <w:right w:w="0" w:type="dxa"/>
            </w:tcMar>
            <w:vAlign w:val="center"/>
            <w:hideMark/>
          </w:tcPr>
          <w:p w14:paraId="13D9899D"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B81080E"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401EC785"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tcMar>
              <w:top w:w="0" w:type="dxa"/>
              <w:left w:w="0" w:type="dxa"/>
              <w:bottom w:w="15" w:type="dxa"/>
              <w:right w:w="0" w:type="dxa"/>
            </w:tcMar>
            <w:vAlign w:val="center"/>
            <w:hideMark/>
          </w:tcPr>
          <w:p w14:paraId="77D90943"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C45484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68F285DC"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tcMar>
              <w:top w:w="0" w:type="dxa"/>
              <w:left w:w="0" w:type="dxa"/>
              <w:bottom w:w="15" w:type="dxa"/>
              <w:right w:w="0" w:type="dxa"/>
            </w:tcMar>
            <w:vAlign w:val="center"/>
            <w:hideMark/>
          </w:tcPr>
          <w:p w14:paraId="3B06405C"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9DFD16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1A7231CB"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tcMar>
              <w:top w:w="0" w:type="dxa"/>
              <w:left w:w="0" w:type="dxa"/>
              <w:bottom w:w="15" w:type="dxa"/>
              <w:right w:w="0" w:type="dxa"/>
            </w:tcMar>
            <w:vAlign w:val="center"/>
            <w:hideMark/>
          </w:tcPr>
          <w:p w14:paraId="29ED0181" w14:textId="77777777" w:rsidR="00000000" w:rsidRDefault="00EB4933">
            <w:pPr>
              <w:pStyle w:val="NormalWeb"/>
              <w:spacing w:before="0" w:beforeAutospacing="0" w:after="0" w:afterAutospacing="0"/>
              <w:rPr>
                <w:sz w:val="20"/>
                <w:szCs w:val="20"/>
              </w:rPr>
            </w:pPr>
            <w:r>
              <w:rPr>
                <w:sz w:val="20"/>
                <w:szCs w:val="20"/>
              </w:rPr>
              <w:t> </w:t>
            </w:r>
          </w:p>
        </w:tc>
      </w:tr>
      <w:tr w:rsidR="00000000" w14:paraId="68274358" w14:textId="77777777">
        <w:trPr>
          <w:divId w:val="98525094"/>
          <w:trHeight w:val="225"/>
          <w:tblCellSpacing w:w="15" w:type="dxa"/>
        </w:trPr>
        <w:tc>
          <w:tcPr>
            <w:tcW w:w="0" w:type="auto"/>
            <w:vAlign w:val="center"/>
            <w:hideMark/>
          </w:tcPr>
          <w:p w14:paraId="5CE49393"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7FE5A4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03DB0508"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45CBB35"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48695A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A28FB3E"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13B5ADB"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D195B8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70D906F5"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0ECD8B1"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941E98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0A890BF"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DC5CBC6" w14:textId="77777777" w:rsidR="00000000" w:rsidRDefault="00EB4933">
            <w:pPr>
              <w:pStyle w:val="NormalWeb"/>
              <w:spacing w:before="0" w:beforeAutospacing="0" w:after="0" w:afterAutospacing="0"/>
              <w:rPr>
                <w:sz w:val="20"/>
                <w:szCs w:val="20"/>
              </w:rPr>
            </w:pPr>
            <w:r>
              <w:rPr>
                <w:sz w:val="20"/>
                <w:szCs w:val="20"/>
              </w:rPr>
              <w:t> </w:t>
            </w:r>
          </w:p>
        </w:tc>
      </w:tr>
      <w:tr w:rsidR="00000000" w14:paraId="697A9EC4" w14:textId="77777777">
        <w:trPr>
          <w:divId w:val="98525094"/>
          <w:trHeight w:val="225"/>
          <w:tblCellSpacing w:w="15" w:type="dxa"/>
        </w:trPr>
        <w:tc>
          <w:tcPr>
            <w:tcW w:w="0" w:type="auto"/>
            <w:shd w:val="clear" w:color="auto" w:fill="CCEEFF"/>
            <w:hideMark/>
          </w:tcPr>
          <w:p w14:paraId="454F6DB2" w14:textId="77777777" w:rsidR="00000000" w:rsidRDefault="00EB4933">
            <w:pPr>
              <w:pStyle w:val="NormalWeb"/>
              <w:spacing w:before="0" w:beforeAutospacing="0" w:after="0" w:afterAutospacing="0"/>
              <w:jc w:val="both"/>
              <w:rPr>
                <w:sz w:val="20"/>
                <w:szCs w:val="20"/>
              </w:rPr>
            </w:pPr>
            <w:r>
              <w:rPr>
                <w:sz w:val="20"/>
                <w:szCs w:val="20"/>
              </w:rPr>
              <w:t>Loan receivables</w:t>
            </w:r>
          </w:p>
        </w:tc>
        <w:tc>
          <w:tcPr>
            <w:tcW w:w="50" w:type="pct"/>
            <w:shd w:val="clear" w:color="auto" w:fill="CCEEFF"/>
            <w:noWrap/>
            <w:vAlign w:val="center"/>
            <w:hideMark/>
          </w:tcPr>
          <w:p w14:paraId="133020A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60879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A3EBA84"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386542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578C8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B7C70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55B2E2A"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606B3D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2DE38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7E49C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0E1E0D7" w14:textId="77777777" w:rsidR="00000000" w:rsidRDefault="00EB4933">
            <w:pPr>
              <w:jc w:val="right"/>
              <w:rPr>
                <w:rFonts w:eastAsia="Times New Roman"/>
                <w:sz w:val="20"/>
                <w:szCs w:val="20"/>
              </w:rPr>
            </w:pPr>
            <w:r>
              <w:rPr>
                <w:rFonts w:eastAsia="Times New Roman"/>
                <w:sz w:val="20"/>
                <w:szCs w:val="20"/>
              </w:rPr>
              <w:t>765,034</w:t>
            </w:r>
          </w:p>
        </w:tc>
        <w:tc>
          <w:tcPr>
            <w:tcW w:w="50" w:type="pct"/>
            <w:shd w:val="clear" w:color="auto" w:fill="CCEEFF"/>
            <w:noWrap/>
            <w:vAlign w:val="center"/>
            <w:hideMark/>
          </w:tcPr>
          <w:p w14:paraId="147B67C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48342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066CC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F86E9C0" w14:textId="77777777" w:rsidR="00000000" w:rsidRDefault="00EB4933">
            <w:pPr>
              <w:jc w:val="right"/>
              <w:rPr>
                <w:rFonts w:eastAsia="Times New Roman"/>
                <w:sz w:val="20"/>
                <w:szCs w:val="20"/>
              </w:rPr>
            </w:pPr>
            <w:r>
              <w:rPr>
                <w:rFonts w:eastAsia="Times New Roman"/>
                <w:sz w:val="20"/>
                <w:szCs w:val="20"/>
              </w:rPr>
              <w:t>765,034</w:t>
            </w:r>
          </w:p>
        </w:tc>
        <w:tc>
          <w:tcPr>
            <w:tcW w:w="50" w:type="pct"/>
            <w:shd w:val="clear" w:color="auto" w:fill="CCEEFF"/>
            <w:noWrap/>
            <w:vAlign w:val="center"/>
            <w:hideMark/>
          </w:tcPr>
          <w:p w14:paraId="65C24915" w14:textId="77777777" w:rsidR="00000000" w:rsidRDefault="00EB4933">
            <w:pPr>
              <w:pStyle w:val="NormalWeb"/>
              <w:spacing w:before="0" w:beforeAutospacing="0" w:after="0" w:afterAutospacing="0"/>
              <w:rPr>
                <w:sz w:val="20"/>
                <w:szCs w:val="20"/>
              </w:rPr>
            </w:pPr>
            <w:r>
              <w:rPr>
                <w:sz w:val="20"/>
                <w:szCs w:val="20"/>
              </w:rPr>
              <w:t> </w:t>
            </w:r>
          </w:p>
        </w:tc>
      </w:tr>
      <w:tr w:rsidR="00000000" w14:paraId="2CCA429A" w14:textId="77777777">
        <w:trPr>
          <w:divId w:val="98525094"/>
          <w:trHeight w:val="225"/>
          <w:tblCellSpacing w:w="15" w:type="dxa"/>
        </w:trPr>
        <w:tc>
          <w:tcPr>
            <w:tcW w:w="0" w:type="auto"/>
            <w:shd w:val="clear" w:color="auto" w:fill="FFFFFF"/>
            <w:hideMark/>
          </w:tcPr>
          <w:p w14:paraId="2029B3E0" w14:textId="77777777" w:rsidR="00000000" w:rsidRDefault="00EB4933">
            <w:pPr>
              <w:pStyle w:val="NormalWeb"/>
              <w:spacing w:before="0" w:beforeAutospacing="0" w:after="0" w:afterAutospacing="0"/>
              <w:jc w:val="both"/>
              <w:rPr>
                <w:sz w:val="20"/>
                <w:szCs w:val="20"/>
              </w:rPr>
            </w:pPr>
            <w:r>
              <w:rPr>
                <w:sz w:val="20"/>
                <w:szCs w:val="20"/>
              </w:rPr>
              <w:t>Accrued interest</w:t>
            </w:r>
          </w:p>
        </w:tc>
        <w:tc>
          <w:tcPr>
            <w:tcW w:w="50" w:type="pct"/>
            <w:shd w:val="clear" w:color="auto" w:fill="FFFFFF"/>
            <w:noWrap/>
            <w:vAlign w:val="center"/>
            <w:hideMark/>
          </w:tcPr>
          <w:p w14:paraId="7AE656B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199891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A2E0743"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42D9543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8037F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FEEE55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AE18E81"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2A24B86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C3944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31C0C2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60A51DC" w14:textId="77777777" w:rsidR="00000000" w:rsidRDefault="00EB4933">
            <w:pPr>
              <w:jc w:val="right"/>
              <w:rPr>
                <w:rFonts w:eastAsia="Times New Roman"/>
                <w:sz w:val="20"/>
                <w:szCs w:val="20"/>
              </w:rPr>
            </w:pPr>
            <w:r>
              <w:rPr>
                <w:rFonts w:eastAsia="Times New Roman"/>
                <w:sz w:val="20"/>
                <w:szCs w:val="20"/>
              </w:rPr>
              <w:t>273,923</w:t>
            </w:r>
          </w:p>
        </w:tc>
        <w:tc>
          <w:tcPr>
            <w:tcW w:w="50" w:type="pct"/>
            <w:shd w:val="clear" w:color="auto" w:fill="FFFFFF"/>
            <w:noWrap/>
            <w:tcMar>
              <w:top w:w="0" w:type="dxa"/>
              <w:left w:w="0" w:type="dxa"/>
              <w:bottom w:w="15" w:type="dxa"/>
              <w:right w:w="0" w:type="dxa"/>
            </w:tcMar>
            <w:vAlign w:val="center"/>
            <w:hideMark/>
          </w:tcPr>
          <w:p w14:paraId="64F3592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AF62F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175647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F9D14C8" w14:textId="77777777" w:rsidR="00000000" w:rsidRDefault="00EB4933">
            <w:pPr>
              <w:jc w:val="right"/>
              <w:rPr>
                <w:rFonts w:eastAsia="Times New Roman"/>
                <w:sz w:val="20"/>
                <w:szCs w:val="20"/>
              </w:rPr>
            </w:pPr>
            <w:r>
              <w:rPr>
                <w:rFonts w:eastAsia="Times New Roman"/>
                <w:sz w:val="20"/>
                <w:szCs w:val="20"/>
              </w:rPr>
              <w:t>273,923</w:t>
            </w:r>
          </w:p>
        </w:tc>
        <w:tc>
          <w:tcPr>
            <w:tcW w:w="50" w:type="pct"/>
            <w:shd w:val="clear" w:color="auto" w:fill="FFFFFF"/>
            <w:noWrap/>
            <w:tcMar>
              <w:top w:w="0" w:type="dxa"/>
              <w:left w:w="0" w:type="dxa"/>
              <w:bottom w:w="15" w:type="dxa"/>
              <w:right w:w="0" w:type="dxa"/>
            </w:tcMar>
            <w:vAlign w:val="center"/>
            <w:hideMark/>
          </w:tcPr>
          <w:p w14:paraId="083322CA" w14:textId="77777777" w:rsidR="00000000" w:rsidRDefault="00EB4933">
            <w:pPr>
              <w:pStyle w:val="NormalWeb"/>
              <w:spacing w:before="0" w:beforeAutospacing="0" w:after="0" w:afterAutospacing="0"/>
              <w:rPr>
                <w:sz w:val="20"/>
                <w:szCs w:val="20"/>
              </w:rPr>
            </w:pPr>
            <w:r>
              <w:rPr>
                <w:sz w:val="20"/>
                <w:szCs w:val="20"/>
              </w:rPr>
              <w:t> </w:t>
            </w:r>
          </w:p>
        </w:tc>
      </w:tr>
      <w:tr w:rsidR="00000000" w14:paraId="123D6C9F" w14:textId="77777777">
        <w:trPr>
          <w:divId w:val="98525094"/>
          <w:trHeight w:val="225"/>
          <w:tblCellSpacing w:w="15" w:type="dxa"/>
        </w:trPr>
        <w:tc>
          <w:tcPr>
            <w:tcW w:w="0" w:type="auto"/>
            <w:shd w:val="clear" w:color="auto" w:fill="CCEEFF"/>
            <w:hideMark/>
          </w:tcPr>
          <w:p w14:paraId="6669CFA8" w14:textId="77777777" w:rsidR="00000000" w:rsidRDefault="00EB4933">
            <w:pPr>
              <w:pStyle w:val="NormalWeb"/>
              <w:spacing w:before="0" w:beforeAutospacing="0" w:after="0" w:afterAutospacing="0"/>
              <w:jc w:val="both"/>
              <w:rPr>
                <w:sz w:val="20"/>
                <w:szCs w:val="20"/>
              </w:rPr>
            </w:pPr>
            <w:r>
              <w:rPr>
                <w:sz w:val="20"/>
                <w:szCs w:val="20"/>
              </w:rPr>
              <w:t>Gross loan receivables</w:t>
            </w:r>
          </w:p>
        </w:tc>
        <w:tc>
          <w:tcPr>
            <w:tcW w:w="50" w:type="pct"/>
            <w:shd w:val="clear" w:color="auto" w:fill="CCEEFF"/>
            <w:noWrap/>
            <w:vAlign w:val="center"/>
            <w:hideMark/>
          </w:tcPr>
          <w:p w14:paraId="0450455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80BDE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401E93C"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85D83F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9CFE3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D1492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AEFB6BB"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941F6E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A8F27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6BED8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584CDA2" w14:textId="77777777" w:rsidR="00000000" w:rsidRDefault="00EB4933">
            <w:pPr>
              <w:jc w:val="right"/>
              <w:rPr>
                <w:rFonts w:eastAsia="Times New Roman"/>
                <w:sz w:val="20"/>
                <w:szCs w:val="20"/>
              </w:rPr>
            </w:pPr>
            <w:r>
              <w:rPr>
                <w:rFonts w:eastAsia="Times New Roman"/>
                <w:sz w:val="20"/>
                <w:szCs w:val="20"/>
              </w:rPr>
              <w:t>1,038,957</w:t>
            </w:r>
          </w:p>
        </w:tc>
        <w:tc>
          <w:tcPr>
            <w:tcW w:w="50" w:type="pct"/>
            <w:shd w:val="clear" w:color="auto" w:fill="CCEEFF"/>
            <w:noWrap/>
            <w:vAlign w:val="center"/>
            <w:hideMark/>
          </w:tcPr>
          <w:p w14:paraId="52D1750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844C3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6CA15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07550E7" w14:textId="77777777" w:rsidR="00000000" w:rsidRDefault="00EB4933">
            <w:pPr>
              <w:jc w:val="right"/>
              <w:rPr>
                <w:rFonts w:eastAsia="Times New Roman"/>
                <w:sz w:val="20"/>
                <w:szCs w:val="20"/>
              </w:rPr>
            </w:pPr>
            <w:r>
              <w:rPr>
                <w:rFonts w:eastAsia="Times New Roman"/>
                <w:sz w:val="20"/>
                <w:szCs w:val="20"/>
              </w:rPr>
              <w:t>1,038,957</w:t>
            </w:r>
          </w:p>
        </w:tc>
        <w:tc>
          <w:tcPr>
            <w:tcW w:w="50" w:type="pct"/>
            <w:shd w:val="clear" w:color="auto" w:fill="CCEEFF"/>
            <w:noWrap/>
            <w:vAlign w:val="center"/>
            <w:hideMark/>
          </w:tcPr>
          <w:p w14:paraId="0FAD9BC4" w14:textId="77777777" w:rsidR="00000000" w:rsidRDefault="00EB4933">
            <w:pPr>
              <w:pStyle w:val="NormalWeb"/>
              <w:spacing w:before="0" w:beforeAutospacing="0" w:after="0" w:afterAutospacing="0"/>
              <w:rPr>
                <w:sz w:val="20"/>
                <w:szCs w:val="20"/>
              </w:rPr>
            </w:pPr>
            <w:r>
              <w:rPr>
                <w:sz w:val="20"/>
                <w:szCs w:val="20"/>
              </w:rPr>
              <w:t> </w:t>
            </w:r>
          </w:p>
        </w:tc>
      </w:tr>
      <w:tr w:rsidR="00000000" w14:paraId="1BD294C8" w14:textId="77777777">
        <w:trPr>
          <w:divId w:val="98525094"/>
          <w:trHeight w:val="225"/>
          <w:tblCellSpacing w:w="15" w:type="dxa"/>
        </w:trPr>
        <w:tc>
          <w:tcPr>
            <w:tcW w:w="0" w:type="auto"/>
            <w:shd w:val="clear" w:color="auto" w:fill="FFFFFF"/>
            <w:hideMark/>
          </w:tcPr>
          <w:p w14:paraId="597CCF00" w14:textId="77777777" w:rsidR="00000000" w:rsidRDefault="00EB4933">
            <w:pPr>
              <w:pStyle w:val="NormalWeb"/>
              <w:spacing w:before="0" w:beforeAutospacing="0" w:after="0" w:afterAutospacing="0"/>
              <w:jc w:val="both"/>
              <w:rPr>
                <w:sz w:val="20"/>
                <w:szCs w:val="20"/>
              </w:rPr>
            </w:pPr>
            <w:r>
              <w:rPr>
                <w:sz w:val="20"/>
                <w:szCs w:val="20"/>
              </w:rPr>
              <w:t>Loss allowance</w:t>
            </w:r>
          </w:p>
        </w:tc>
        <w:tc>
          <w:tcPr>
            <w:tcW w:w="50" w:type="pct"/>
            <w:shd w:val="clear" w:color="auto" w:fill="FFFFFF"/>
            <w:noWrap/>
            <w:vAlign w:val="center"/>
            <w:hideMark/>
          </w:tcPr>
          <w:p w14:paraId="241E188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19FD19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B38E3A0"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3081536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6A88C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E0E817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D89117D"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2E70B3C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AE1BE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6707C3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45A8FB7" w14:textId="77777777" w:rsidR="00000000" w:rsidRDefault="00EB4933">
            <w:pPr>
              <w:jc w:val="right"/>
              <w:rPr>
                <w:rFonts w:eastAsia="Times New Roman"/>
                <w:sz w:val="20"/>
                <w:szCs w:val="20"/>
              </w:rPr>
            </w:pPr>
            <w:r>
              <w:rPr>
                <w:rFonts w:eastAsia="Times New Roman"/>
                <w:sz w:val="20"/>
                <w:szCs w:val="20"/>
              </w:rPr>
              <w:t>(423,773</w:t>
            </w:r>
          </w:p>
        </w:tc>
        <w:tc>
          <w:tcPr>
            <w:tcW w:w="50" w:type="pct"/>
            <w:shd w:val="clear" w:color="auto" w:fill="FFFFFF"/>
            <w:noWrap/>
            <w:tcMar>
              <w:top w:w="0" w:type="dxa"/>
              <w:left w:w="0" w:type="dxa"/>
              <w:bottom w:w="15" w:type="dxa"/>
              <w:right w:w="0" w:type="dxa"/>
            </w:tcMar>
            <w:vAlign w:val="bottom"/>
            <w:hideMark/>
          </w:tcPr>
          <w:p w14:paraId="514846BB"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CCE597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34AE26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ADD5248" w14:textId="77777777" w:rsidR="00000000" w:rsidRDefault="00EB4933">
            <w:pPr>
              <w:jc w:val="right"/>
              <w:rPr>
                <w:rFonts w:eastAsia="Times New Roman"/>
                <w:sz w:val="20"/>
                <w:szCs w:val="20"/>
              </w:rPr>
            </w:pPr>
            <w:r>
              <w:rPr>
                <w:rFonts w:eastAsia="Times New Roman"/>
                <w:sz w:val="20"/>
                <w:szCs w:val="20"/>
              </w:rPr>
              <w:t>(423,773</w:t>
            </w:r>
          </w:p>
        </w:tc>
        <w:tc>
          <w:tcPr>
            <w:tcW w:w="50" w:type="pct"/>
            <w:shd w:val="clear" w:color="auto" w:fill="FFFFFF"/>
            <w:noWrap/>
            <w:tcMar>
              <w:top w:w="0" w:type="dxa"/>
              <w:left w:w="0" w:type="dxa"/>
              <w:bottom w:w="15" w:type="dxa"/>
              <w:right w:w="0" w:type="dxa"/>
            </w:tcMar>
            <w:vAlign w:val="bottom"/>
            <w:hideMark/>
          </w:tcPr>
          <w:p w14:paraId="37AA502D" w14:textId="77777777" w:rsidR="00000000" w:rsidRDefault="00EB4933">
            <w:pPr>
              <w:rPr>
                <w:rFonts w:eastAsia="Times New Roman"/>
                <w:sz w:val="20"/>
                <w:szCs w:val="20"/>
              </w:rPr>
            </w:pPr>
            <w:r>
              <w:rPr>
                <w:rFonts w:eastAsia="Times New Roman"/>
                <w:sz w:val="20"/>
                <w:szCs w:val="20"/>
              </w:rPr>
              <w:t>)</w:t>
            </w:r>
          </w:p>
        </w:tc>
      </w:tr>
      <w:tr w:rsidR="00000000" w14:paraId="06259ABD" w14:textId="77777777">
        <w:trPr>
          <w:divId w:val="98525094"/>
          <w:trHeight w:val="225"/>
          <w:tblCellSpacing w:w="15" w:type="dxa"/>
        </w:trPr>
        <w:tc>
          <w:tcPr>
            <w:tcW w:w="0" w:type="auto"/>
            <w:shd w:val="clear" w:color="auto" w:fill="CCEEFF"/>
            <w:hideMark/>
          </w:tcPr>
          <w:p w14:paraId="78A28C9A" w14:textId="77777777" w:rsidR="00000000" w:rsidRDefault="00EB4933">
            <w:pPr>
              <w:pStyle w:val="NormalWeb"/>
              <w:spacing w:before="0" w:beforeAutospacing="0" w:after="0" w:afterAutospacing="0"/>
              <w:jc w:val="both"/>
              <w:rPr>
                <w:sz w:val="20"/>
                <w:szCs w:val="20"/>
              </w:rPr>
            </w:pPr>
            <w:r>
              <w:rPr>
                <w:sz w:val="20"/>
                <w:szCs w:val="20"/>
              </w:rPr>
              <w:t>Carrying amount</w:t>
            </w:r>
          </w:p>
        </w:tc>
        <w:tc>
          <w:tcPr>
            <w:tcW w:w="50" w:type="pct"/>
            <w:shd w:val="clear" w:color="auto" w:fill="CCEEFF"/>
            <w:noWrap/>
            <w:vAlign w:val="center"/>
            <w:hideMark/>
          </w:tcPr>
          <w:p w14:paraId="0EF8E8E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E0AE02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0246C910"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45" w:type="dxa"/>
              <w:right w:w="0" w:type="dxa"/>
            </w:tcMar>
            <w:vAlign w:val="center"/>
            <w:hideMark/>
          </w:tcPr>
          <w:p w14:paraId="709C0C9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9C6D1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5116FD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68FD0B5C"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45" w:type="dxa"/>
              <w:right w:w="0" w:type="dxa"/>
            </w:tcMar>
            <w:vAlign w:val="center"/>
            <w:hideMark/>
          </w:tcPr>
          <w:p w14:paraId="4EA9AA5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F9280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A8216A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2BAC94CF" w14:textId="77777777" w:rsidR="00000000" w:rsidRDefault="00EB4933">
            <w:pPr>
              <w:jc w:val="right"/>
              <w:rPr>
                <w:rFonts w:eastAsia="Times New Roman"/>
                <w:sz w:val="20"/>
                <w:szCs w:val="20"/>
              </w:rPr>
            </w:pPr>
            <w:r>
              <w:rPr>
                <w:rFonts w:eastAsia="Times New Roman"/>
                <w:sz w:val="20"/>
                <w:szCs w:val="20"/>
              </w:rPr>
              <w:t>615,184</w:t>
            </w:r>
          </w:p>
        </w:tc>
        <w:tc>
          <w:tcPr>
            <w:tcW w:w="50" w:type="pct"/>
            <w:shd w:val="clear" w:color="auto" w:fill="CCEEFF"/>
            <w:noWrap/>
            <w:tcMar>
              <w:top w:w="0" w:type="dxa"/>
              <w:left w:w="0" w:type="dxa"/>
              <w:bottom w:w="45" w:type="dxa"/>
              <w:right w:w="0" w:type="dxa"/>
            </w:tcMar>
            <w:vAlign w:val="center"/>
            <w:hideMark/>
          </w:tcPr>
          <w:p w14:paraId="16D5984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3E9AE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BCA617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2E0A1D99" w14:textId="77777777" w:rsidR="00000000" w:rsidRDefault="00EB4933">
            <w:pPr>
              <w:jc w:val="right"/>
              <w:rPr>
                <w:rFonts w:eastAsia="Times New Roman"/>
                <w:sz w:val="20"/>
                <w:szCs w:val="20"/>
              </w:rPr>
            </w:pPr>
            <w:r>
              <w:rPr>
                <w:rFonts w:eastAsia="Times New Roman"/>
                <w:sz w:val="20"/>
                <w:szCs w:val="20"/>
              </w:rPr>
              <w:t>615,184</w:t>
            </w:r>
          </w:p>
        </w:tc>
        <w:tc>
          <w:tcPr>
            <w:tcW w:w="50" w:type="pct"/>
            <w:shd w:val="clear" w:color="auto" w:fill="CCEEFF"/>
            <w:noWrap/>
            <w:tcMar>
              <w:top w:w="0" w:type="dxa"/>
              <w:left w:w="0" w:type="dxa"/>
              <w:bottom w:w="45" w:type="dxa"/>
              <w:right w:w="0" w:type="dxa"/>
            </w:tcMar>
            <w:vAlign w:val="center"/>
            <w:hideMark/>
          </w:tcPr>
          <w:p w14:paraId="551E4ABA" w14:textId="77777777" w:rsidR="00000000" w:rsidRDefault="00EB4933">
            <w:pPr>
              <w:pStyle w:val="NormalWeb"/>
              <w:spacing w:before="0" w:beforeAutospacing="0" w:after="0" w:afterAutospacing="0"/>
              <w:rPr>
                <w:sz w:val="20"/>
                <w:szCs w:val="20"/>
              </w:rPr>
            </w:pPr>
            <w:r>
              <w:rPr>
                <w:sz w:val="20"/>
                <w:szCs w:val="20"/>
              </w:rPr>
              <w:t> </w:t>
            </w:r>
          </w:p>
        </w:tc>
      </w:tr>
    </w:tbl>
    <w:p w14:paraId="6BADFDFA"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4600" w:type="pct"/>
        <w:tblCellSpacing w:w="15" w:type="dxa"/>
        <w:tblCellMar>
          <w:left w:w="0" w:type="dxa"/>
          <w:right w:w="0" w:type="dxa"/>
        </w:tblCellMar>
        <w:tblLook w:val="04A0" w:firstRow="1" w:lastRow="0" w:firstColumn="1" w:lastColumn="0" w:noHBand="0" w:noVBand="1"/>
      </w:tblPr>
      <w:tblGrid>
        <w:gridCol w:w="4241"/>
        <w:gridCol w:w="110"/>
        <w:gridCol w:w="111"/>
        <w:gridCol w:w="756"/>
        <w:gridCol w:w="111"/>
        <w:gridCol w:w="111"/>
        <w:gridCol w:w="111"/>
        <w:gridCol w:w="756"/>
        <w:gridCol w:w="111"/>
        <w:gridCol w:w="111"/>
        <w:gridCol w:w="111"/>
        <w:gridCol w:w="756"/>
        <w:gridCol w:w="111"/>
        <w:gridCol w:w="111"/>
        <w:gridCol w:w="111"/>
        <w:gridCol w:w="756"/>
        <w:gridCol w:w="126"/>
      </w:tblGrid>
      <w:tr w:rsidR="00000000" w14:paraId="6996C41B" w14:textId="77777777">
        <w:trPr>
          <w:divId w:val="98525094"/>
          <w:trHeight w:val="225"/>
          <w:tblCellSpacing w:w="15" w:type="dxa"/>
        </w:trPr>
        <w:tc>
          <w:tcPr>
            <w:tcW w:w="0" w:type="auto"/>
            <w:vAlign w:val="center"/>
            <w:hideMark/>
          </w:tcPr>
          <w:p w14:paraId="0CF55E4D"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C2F7AD4"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14"/>
            <w:vAlign w:val="bottom"/>
            <w:hideMark/>
          </w:tcPr>
          <w:p w14:paraId="0487DC1A"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vAlign w:val="center"/>
            <w:hideMark/>
          </w:tcPr>
          <w:p w14:paraId="6B13970D" w14:textId="77777777" w:rsidR="00000000" w:rsidRDefault="00EB4933">
            <w:pPr>
              <w:pStyle w:val="NormalWeb"/>
              <w:spacing w:before="0" w:beforeAutospacing="0" w:after="0" w:afterAutospacing="0"/>
              <w:rPr>
                <w:sz w:val="20"/>
                <w:szCs w:val="20"/>
              </w:rPr>
            </w:pPr>
            <w:r>
              <w:rPr>
                <w:sz w:val="20"/>
                <w:szCs w:val="20"/>
              </w:rPr>
              <w:t> </w:t>
            </w:r>
          </w:p>
        </w:tc>
      </w:tr>
      <w:tr w:rsidR="00000000" w14:paraId="74F468AB" w14:textId="77777777">
        <w:trPr>
          <w:divId w:val="98525094"/>
          <w:trHeight w:val="225"/>
          <w:tblCellSpacing w:w="15" w:type="dxa"/>
        </w:trPr>
        <w:tc>
          <w:tcPr>
            <w:tcW w:w="0" w:type="auto"/>
            <w:vAlign w:val="center"/>
            <w:hideMark/>
          </w:tcPr>
          <w:p w14:paraId="57EE3FB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A0F054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14"/>
            <w:tcBorders>
              <w:bottom w:val="single" w:sz="6" w:space="0" w:color="000000"/>
            </w:tcBorders>
            <w:vAlign w:val="bottom"/>
            <w:hideMark/>
          </w:tcPr>
          <w:p w14:paraId="5D4A5EAA" w14:textId="77777777" w:rsidR="00000000" w:rsidRDefault="00EB4933">
            <w:pPr>
              <w:pStyle w:val="NormalWeb"/>
              <w:spacing w:before="0" w:beforeAutospacing="0" w:after="0" w:afterAutospacing="0"/>
              <w:jc w:val="center"/>
              <w:rPr>
                <w:sz w:val="20"/>
                <w:szCs w:val="20"/>
              </w:rPr>
            </w:pPr>
            <w:r>
              <w:rPr>
                <w:rStyle w:val="Strong"/>
                <w:sz w:val="20"/>
                <w:szCs w:val="20"/>
              </w:rPr>
              <w:t>ECL staging</w:t>
            </w:r>
          </w:p>
        </w:tc>
        <w:tc>
          <w:tcPr>
            <w:tcW w:w="0" w:type="auto"/>
            <w:noWrap/>
            <w:vAlign w:val="center"/>
            <w:hideMark/>
          </w:tcPr>
          <w:p w14:paraId="091E92DA" w14:textId="77777777" w:rsidR="00000000" w:rsidRDefault="00EB4933">
            <w:pPr>
              <w:pStyle w:val="NormalWeb"/>
              <w:spacing w:before="0" w:beforeAutospacing="0" w:after="0" w:afterAutospacing="0"/>
              <w:rPr>
                <w:sz w:val="20"/>
                <w:szCs w:val="20"/>
              </w:rPr>
            </w:pPr>
            <w:r>
              <w:rPr>
                <w:sz w:val="20"/>
                <w:szCs w:val="20"/>
              </w:rPr>
              <w:t> </w:t>
            </w:r>
          </w:p>
        </w:tc>
      </w:tr>
      <w:tr w:rsidR="00000000" w14:paraId="55FBBE21" w14:textId="77777777">
        <w:trPr>
          <w:divId w:val="98525094"/>
          <w:trHeight w:val="225"/>
          <w:tblCellSpacing w:w="15" w:type="dxa"/>
        </w:trPr>
        <w:tc>
          <w:tcPr>
            <w:tcW w:w="0" w:type="auto"/>
            <w:vAlign w:val="center"/>
            <w:hideMark/>
          </w:tcPr>
          <w:p w14:paraId="5F606028"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F55B81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668366B3" w14:textId="77777777" w:rsidR="00000000" w:rsidRDefault="00EB4933">
            <w:pPr>
              <w:pStyle w:val="NormalWeb"/>
              <w:spacing w:before="0" w:beforeAutospacing="0" w:after="0" w:afterAutospacing="0"/>
              <w:jc w:val="center"/>
              <w:rPr>
                <w:sz w:val="20"/>
                <w:szCs w:val="20"/>
              </w:rPr>
            </w:pPr>
            <w:r>
              <w:rPr>
                <w:rStyle w:val="Strong"/>
                <w:sz w:val="20"/>
                <w:szCs w:val="20"/>
              </w:rPr>
              <w:t>Stage 1</w:t>
            </w:r>
          </w:p>
        </w:tc>
        <w:tc>
          <w:tcPr>
            <w:tcW w:w="0" w:type="auto"/>
            <w:noWrap/>
            <w:vAlign w:val="center"/>
            <w:hideMark/>
          </w:tcPr>
          <w:p w14:paraId="5A07CAE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7FFCCA4"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2B5AAFC8" w14:textId="77777777" w:rsidR="00000000" w:rsidRDefault="00EB4933">
            <w:pPr>
              <w:pStyle w:val="NormalWeb"/>
              <w:spacing w:before="0" w:beforeAutospacing="0" w:after="0" w:afterAutospacing="0"/>
              <w:jc w:val="center"/>
              <w:rPr>
                <w:sz w:val="20"/>
                <w:szCs w:val="20"/>
              </w:rPr>
            </w:pPr>
            <w:r>
              <w:rPr>
                <w:rStyle w:val="Strong"/>
                <w:sz w:val="20"/>
                <w:szCs w:val="20"/>
              </w:rPr>
              <w:t>Stage 2</w:t>
            </w:r>
          </w:p>
        </w:tc>
        <w:tc>
          <w:tcPr>
            <w:tcW w:w="0" w:type="auto"/>
            <w:noWrap/>
            <w:vAlign w:val="center"/>
            <w:hideMark/>
          </w:tcPr>
          <w:p w14:paraId="51165D67"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20A18C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38655466" w14:textId="77777777" w:rsidR="00000000" w:rsidRDefault="00EB4933">
            <w:pPr>
              <w:pStyle w:val="NormalWeb"/>
              <w:spacing w:before="0" w:beforeAutospacing="0" w:after="0" w:afterAutospacing="0"/>
              <w:jc w:val="center"/>
              <w:rPr>
                <w:sz w:val="20"/>
                <w:szCs w:val="20"/>
              </w:rPr>
            </w:pPr>
            <w:r>
              <w:rPr>
                <w:rStyle w:val="Strong"/>
                <w:sz w:val="20"/>
                <w:szCs w:val="20"/>
              </w:rPr>
              <w:t>Stage 3</w:t>
            </w:r>
          </w:p>
        </w:tc>
        <w:tc>
          <w:tcPr>
            <w:tcW w:w="0" w:type="auto"/>
            <w:noWrap/>
            <w:vAlign w:val="center"/>
            <w:hideMark/>
          </w:tcPr>
          <w:p w14:paraId="2263992F"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1F8688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1CEF5B0" w14:textId="77777777" w:rsidR="00000000" w:rsidRDefault="00EB4933">
            <w:pPr>
              <w:pStyle w:val="NormalWeb"/>
              <w:spacing w:before="0" w:beforeAutospacing="0" w:after="0" w:afterAutospacing="0"/>
              <w:jc w:val="center"/>
              <w:rPr>
                <w:sz w:val="20"/>
                <w:szCs w:val="20"/>
              </w:rPr>
            </w:pPr>
            <w:r>
              <w:rPr>
                <w:sz w:val="20"/>
                <w:szCs w:val="20"/>
              </w:rPr>
              <w:t> </w:t>
            </w:r>
          </w:p>
        </w:tc>
        <w:tc>
          <w:tcPr>
            <w:tcW w:w="0" w:type="auto"/>
            <w:noWrap/>
            <w:vAlign w:val="center"/>
            <w:hideMark/>
          </w:tcPr>
          <w:p w14:paraId="4BB410F7" w14:textId="77777777" w:rsidR="00000000" w:rsidRDefault="00EB4933">
            <w:pPr>
              <w:pStyle w:val="NormalWeb"/>
              <w:spacing w:before="0" w:beforeAutospacing="0" w:after="0" w:afterAutospacing="0"/>
              <w:rPr>
                <w:sz w:val="20"/>
                <w:szCs w:val="20"/>
              </w:rPr>
            </w:pPr>
            <w:r>
              <w:rPr>
                <w:sz w:val="20"/>
                <w:szCs w:val="20"/>
              </w:rPr>
              <w:t> </w:t>
            </w:r>
          </w:p>
        </w:tc>
      </w:tr>
      <w:tr w:rsidR="00000000" w14:paraId="6A2B9120" w14:textId="77777777">
        <w:trPr>
          <w:divId w:val="98525094"/>
          <w:trHeight w:val="225"/>
          <w:tblCellSpacing w:w="15" w:type="dxa"/>
        </w:trPr>
        <w:tc>
          <w:tcPr>
            <w:tcW w:w="0" w:type="auto"/>
            <w:vAlign w:val="center"/>
            <w:hideMark/>
          </w:tcPr>
          <w:p w14:paraId="35B9CF21"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44C0858"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63E8EC43" w14:textId="77777777" w:rsidR="00000000" w:rsidRDefault="00EB4933">
            <w:pPr>
              <w:pStyle w:val="NormalWeb"/>
              <w:spacing w:before="0" w:beforeAutospacing="0" w:after="0" w:afterAutospacing="0"/>
              <w:jc w:val="center"/>
              <w:rPr>
                <w:sz w:val="20"/>
                <w:szCs w:val="20"/>
              </w:rPr>
            </w:pPr>
            <w:r>
              <w:rPr>
                <w:rStyle w:val="Strong"/>
                <w:sz w:val="20"/>
                <w:szCs w:val="20"/>
              </w:rPr>
              <w:t>Lifetime</w:t>
            </w:r>
          </w:p>
          <w:p w14:paraId="79BCAD70" w14:textId="77777777" w:rsidR="00000000" w:rsidRDefault="00EB4933">
            <w:pPr>
              <w:pStyle w:val="NormalWeb"/>
              <w:spacing w:before="0" w:beforeAutospacing="0" w:after="0" w:afterAutospacing="0"/>
              <w:jc w:val="center"/>
              <w:rPr>
                <w:sz w:val="20"/>
                <w:szCs w:val="20"/>
              </w:rPr>
            </w:pPr>
            <w:r>
              <w:rPr>
                <w:rStyle w:val="Strong"/>
                <w:sz w:val="20"/>
                <w:szCs w:val="20"/>
              </w:rPr>
              <w:t>ECL</w:t>
            </w:r>
          </w:p>
        </w:tc>
        <w:tc>
          <w:tcPr>
            <w:tcW w:w="0" w:type="auto"/>
            <w:noWrap/>
            <w:vAlign w:val="center"/>
            <w:hideMark/>
          </w:tcPr>
          <w:p w14:paraId="56569F7E" w14:textId="77777777" w:rsidR="00000000" w:rsidRDefault="00EB4933">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54317DB6" w14:textId="77777777" w:rsidR="00000000" w:rsidRDefault="00EB4933">
            <w:pPr>
              <w:pStyle w:val="NormalWeb"/>
              <w:spacing w:before="0" w:beforeAutospacing="0" w:after="0" w:afterAutospacing="0"/>
              <w:rPr>
                <w:sz w:val="20"/>
                <w:szCs w:val="20"/>
              </w:rPr>
            </w:pPr>
            <w:r>
              <w:rPr>
                <w:rStyle w:val="Strong"/>
                <w:sz w:val="20"/>
                <w:szCs w:val="20"/>
              </w:rPr>
              <w:t> </w:t>
            </w:r>
          </w:p>
        </w:tc>
        <w:tc>
          <w:tcPr>
            <w:tcW w:w="450" w:type="pct"/>
            <w:gridSpan w:val="2"/>
            <w:tcBorders>
              <w:bottom w:val="single" w:sz="6" w:space="0" w:color="000000"/>
            </w:tcBorders>
            <w:vAlign w:val="bottom"/>
            <w:hideMark/>
          </w:tcPr>
          <w:p w14:paraId="09B0A043" w14:textId="77777777" w:rsidR="00000000" w:rsidRDefault="00EB4933">
            <w:pPr>
              <w:pStyle w:val="NormalWeb"/>
              <w:spacing w:before="0" w:beforeAutospacing="0" w:after="0" w:afterAutospacing="0"/>
              <w:jc w:val="center"/>
              <w:rPr>
                <w:sz w:val="20"/>
                <w:szCs w:val="20"/>
              </w:rPr>
            </w:pPr>
            <w:r>
              <w:rPr>
                <w:rStyle w:val="Strong"/>
                <w:sz w:val="20"/>
                <w:szCs w:val="20"/>
              </w:rPr>
              <w:t>Lifetime</w:t>
            </w:r>
          </w:p>
          <w:p w14:paraId="5800E874" w14:textId="77777777" w:rsidR="00000000" w:rsidRDefault="00EB4933">
            <w:pPr>
              <w:pStyle w:val="NormalWeb"/>
              <w:spacing w:before="0" w:beforeAutospacing="0" w:after="0" w:afterAutospacing="0"/>
              <w:jc w:val="center"/>
              <w:rPr>
                <w:sz w:val="20"/>
                <w:szCs w:val="20"/>
              </w:rPr>
            </w:pPr>
            <w:r>
              <w:rPr>
                <w:rStyle w:val="Strong"/>
                <w:sz w:val="20"/>
                <w:szCs w:val="20"/>
              </w:rPr>
              <w:t>ECL</w:t>
            </w:r>
          </w:p>
        </w:tc>
        <w:tc>
          <w:tcPr>
            <w:tcW w:w="0" w:type="auto"/>
            <w:noWrap/>
            <w:vAlign w:val="center"/>
            <w:hideMark/>
          </w:tcPr>
          <w:p w14:paraId="35E29A3C" w14:textId="77777777" w:rsidR="00000000" w:rsidRDefault="00EB4933">
            <w:pPr>
              <w:pStyle w:val="NormalWeb"/>
              <w:spacing w:before="0" w:beforeAutospacing="0" w:after="0" w:afterAutospacing="0"/>
              <w:rPr>
                <w:sz w:val="20"/>
                <w:szCs w:val="20"/>
              </w:rPr>
            </w:pPr>
            <w:r>
              <w:rPr>
                <w:rStyle w:val="Strong"/>
                <w:sz w:val="20"/>
                <w:szCs w:val="20"/>
              </w:rPr>
              <w:t> </w:t>
            </w:r>
          </w:p>
        </w:tc>
        <w:tc>
          <w:tcPr>
            <w:tcW w:w="0" w:type="auto"/>
            <w:noWrap/>
            <w:vAlign w:val="center"/>
            <w:hideMark/>
          </w:tcPr>
          <w:p w14:paraId="5143BF72" w14:textId="77777777" w:rsidR="00000000" w:rsidRDefault="00EB4933">
            <w:pPr>
              <w:pStyle w:val="NormalWeb"/>
              <w:spacing w:before="0" w:beforeAutospacing="0" w:after="0" w:afterAutospacing="0"/>
              <w:rPr>
                <w:sz w:val="20"/>
                <w:szCs w:val="20"/>
              </w:rPr>
            </w:pPr>
            <w:r>
              <w:rPr>
                <w:rStyle w:val="Strong"/>
                <w:sz w:val="20"/>
                <w:szCs w:val="20"/>
              </w:rPr>
              <w:t> </w:t>
            </w:r>
          </w:p>
        </w:tc>
        <w:tc>
          <w:tcPr>
            <w:tcW w:w="450" w:type="pct"/>
            <w:gridSpan w:val="2"/>
            <w:tcBorders>
              <w:bottom w:val="single" w:sz="6" w:space="0" w:color="000000"/>
            </w:tcBorders>
            <w:vAlign w:val="bottom"/>
            <w:hideMark/>
          </w:tcPr>
          <w:p w14:paraId="2F14557A" w14:textId="77777777" w:rsidR="00000000" w:rsidRDefault="00EB4933">
            <w:pPr>
              <w:pStyle w:val="NormalWeb"/>
              <w:spacing w:before="0" w:beforeAutospacing="0" w:after="0" w:afterAutospacing="0"/>
              <w:jc w:val="center"/>
              <w:rPr>
                <w:sz w:val="20"/>
                <w:szCs w:val="20"/>
              </w:rPr>
            </w:pPr>
            <w:r>
              <w:rPr>
                <w:rStyle w:val="Strong"/>
                <w:sz w:val="20"/>
                <w:szCs w:val="20"/>
              </w:rPr>
              <w:t>Lifetime</w:t>
            </w:r>
          </w:p>
          <w:p w14:paraId="3A1FF3BA" w14:textId="77777777" w:rsidR="00000000" w:rsidRDefault="00EB4933">
            <w:pPr>
              <w:pStyle w:val="NormalWeb"/>
              <w:spacing w:before="0" w:beforeAutospacing="0" w:after="0" w:afterAutospacing="0"/>
              <w:jc w:val="center"/>
              <w:rPr>
                <w:sz w:val="20"/>
                <w:szCs w:val="20"/>
              </w:rPr>
            </w:pPr>
            <w:r>
              <w:rPr>
                <w:rStyle w:val="Strong"/>
                <w:sz w:val="20"/>
                <w:szCs w:val="20"/>
              </w:rPr>
              <w:t>ECL</w:t>
            </w:r>
          </w:p>
        </w:tc>
        <w:tc>
          <w:tcPr>
            <w:tcW w:w="0" w:type="auto"/>
            <w:noWrap/>
            <w:vAlign w:val="center"/>
            <w:hideMark/>
          </w:tcPr>
          <w:p w14:paraId="76D5E834"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73A1798"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5AA7C9B4" w14:textId="77777777" w:rsidR="00000000" w:rsidRDefault="00EB4933">
            <w:pPr>
              <w:pStyle w:val="NormalWeb"/>
              <w:spacing w:before="0" w:beforeAutospacing="0" w:after="0" w:afterAutospacing="0"/>
              <w:jc w:val="center"/>
              <w:rPr>
                <w:sz w:val="20"/>
                <w:szCs w:val="20"/>
              </w:rPr>
            </w:pPr>
            <w:r>
              <w:rPr>
                <w:rStyle w:val="Strong"/>
                <w:sz w:val="20"/>
                <w:szCs w:val="20"/>
              </w:rPr>
              <w:t>Total</w:t>
            </w:r>
          </w:p>
        </w:tc>
        <w:tc>
          <w:tcPr>
            <w:tcW w:w="0" w:type="auto"/>
            <w:noWrap/>
            <w:vAlign w:val="center"/>
            <w:hideMark/>
          </w:tcPr>
          <w:p w14:paraId="71F1F406" w14:textId="77777777" w:rsidR="00000000" w:rsidRDefault="00EB4933">
            <w:pPr>
              <w:pStyle w:val="NormalWeb"/>
              <w:spacing w:before="0" w:beforeAutospacing="0" w:after="0" w:afterAutospacing="0"/>
              <w:rPr>
                <w:sz w:val="20"/>
                <w:szCs w:val="20"/>
              </w:rPr>
            </w:pPr>
            <w:r>
              <w:rPr>
                <w:sz w:val="20"/>
                <w:szCs w:val="20"/>
              </w:rPr>
              <w:t> </w:t>
            </w:r>
          </w:p>
        </w:tc>
      </w:tr>
      <w:tr w:rsidR="00000000" w14:paraId="0F951962" w14:textId="77777777">
        <w:trPr>
          <w:divId w:val="98525094"/>
          <w:trHeight w:val="225"/>
          <w:tblCellSpacing w:w="15" w:type="dxa"/>
        </w:trPr>
        <w:tc>
          <w:tcPr>
            <w:tcW w:w="0" w:type="auto"/>
            <w:vAlign w:val="center"/>
            <w:hideMark/>
          </w:tcPr>
          <w:p w14:paraId="246B57B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510A7D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2B041BA8"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57A5BE1E"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C7B66A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751EFC9F"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40CE50AE"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5F9F2DC"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20E6BEFC"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4F3993F3"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EEDB94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30E9B721"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11233AD8" w14:textId="77777777" w:rsidR="00000000" w:rsidRDefault="00EB4933">
            <w:pPr>
              <w:pStyle w:val="NormalWeb"/>
              <w:spacing w:before="0" w:beforeAutospacing="0" w:after="0" w:afterAutospacing="0"/>
              <w:rPr>
                <w:sz w:val="20"/>
                <w:szCs w:val="20"/>
              </w:rPr>
            </w:pPr>
            <w:r>
              <w:rPr>
                <w:sz w:val="20"/>
                <w:szCs w:val="20"/>
              </w:rPr>
              <w:t> </w:t>
            </w:r>
          </w:p>
        </w:tc>
      </w:tr>
      <w:tr w:rsidR="00000000" w14:paraId="4E63FABF" w14:textId="77777777">
        <w:trPr>
          <w:divId w:val="98525094"/>
          <w:trHeight w:val="225"/>
          <w:tblCellSpacing w:w="15" w:type="dxa"/>
        </w:trPr>
        <w:tc>
          <w:tcPr>
            <w:tcW w:w="0" w:type="auto"/>
            <w:vAlign w:val="center"/>
            <w:hideMark/>
          </w:tcPr>
          <w:p w14:paraId="65FB7ED2"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C3D1D4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4F99D2BC"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B366650"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0FFFA1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072ABEFF"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DEDE04E"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9C2D57E"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428535B7"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B6A7989"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EC53E4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FF23A60"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AB64AE4" w14:textId="77777777" w:rsidR="00000000" w:rsidRDefault="00EB4933">
            <w:pPr>
              <w:pStyle w:val="NormalWeb"/>
              <w:spacing w:before="0" w:beforeAutospacing="0" w:after="0" w:afterAutospacing="0"/>
              <w:rPr>
                <w:sz w:val="20"/>
                <w:szCs w:val="20"/>
              </w:rPr>
            </w:pPr>
            <w:r>
              <w:rPr>
                <w:sz w:val="20"/>
                <w:szCs w:val="20"/>
              </w:rPr>
              <w:t> </w:t>
            </w:r>
          </w:p>
        </w:tc>
      </w:tr>
      <w:tr w:rsidR="00000000" w14:paraId="4A7243B6" w14:textId="77777777">
        <w:trPr>
          <w:divId w:val="98525094"/>
          <w:trHeight w:val="225"/>
          <w:tblCellSpacing w:w="15" w:type="dxa"/>
        </w:trPr>
        <w:tc>
          <w:tcPr>
            <w:tcW w:w="0" w:type="auto"/>
            <w:shd w:val="clear" w:color="auto" w:fill="CCEEFF"/>
            <w:hideMark/>
          </w:tcPr>
          <w:p w14:paraId="6C975D22" w14:textId="77777777" w:rsidR="00000000" w:rsidRDefault="00EB4933">
            <w:pPr>
              <w:pStyle w:val="NormalWeb"/>
              <w:spacing w:before="0" w:beforeAutospacing="0" w:after="0" w:afterAutospacing="0"/>
              <w:jc w:val="both"/>
              <w:rPr>
                <w:sz w:val="20"/>
                <w:szCs w:val="20"/>
              </w:rPr>
            </w:pPr>
            <w:r>
              <w:rPr>
                <w:sz w:val="20"/>
                <w:szCs w:val="20"/>
              </w:rPr>
              <w:t>Loan receivables</w:t>
            </w:r>
          </w:p>
        </w:tc>
        <w:tc>
          <w:tcPr>
            <w:tcW w:w="50" w:type="pct"/>
            <w:shd w:val="clear" w:color="auto" w:fill="CCEEFF"/>
            <w:noWrap/>
            <w:vAlign w:val="center"/>
            <w:hideMark/>
          </w:tcPr>
          <w:p w14:paraId="05DCC2D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2B4B5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4F6C410" w14:textId="77777777" w:rsidR="00000000" w:rsidRDefault="00EB4933">
            <w:pPr>
              <w:jc w:val="right"/>
              <w:rPr>
                <w:rFonts w:eastAsia="Times New Roman"/>
                <w:sz w:val="20"/>
                <w:szCs w:val="20"/>
              </w:rPr>
            </w:pPr>
            <w:r>
              <w:rPr>
                <w:rFonts w:eastAsia="Times New Roman"/>
                <w:sz w:val="20"/>
                <w:szCs w:val="20"/>
              </w:rPr>
              <w:t>24,100</w:t>
            </w:r>
          </w:p>
        </w:tc>
        <w:tc>
          <w:tcPr>
            <w:tcW w:w="50" w:type="pct"/>
            <w:shd w:val="clear" w:color="auto" w:fill="CCEEFF"/>
            <w:noWrap/>
            <w:vAlign w:val="center"/>
            <w:hideMark/>
          </w:tcPr>
          <w:p w14:paraId="39CC8A2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DC042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98492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A3B0FBE" w14:textId="77777777" w:rsidR="00000000" w:rsidRDefault="00EB4933">
            <w:pPr>
              <w:jc w:val="right"/>
              <w:rPr>
                <w:rFonts w:eastAsia="Times New Roman"/>
                <w:sz w:val="20"/>
                <w:szCs w:val="20"/>
              </w:rPr>
            </w:pPr>
            <w:r>
              <w:rPr>
                <w:rFonts w:eastAsia="Times New Roman"/>
                <w:sz w:val="20"/>
                <w:szCs w:val="20"/>
              </w:rPr>
              <w:t>101,150</w:t>
            </w:r>
          </w:p>
        </w:tc>
        <w:tc>
          <w:tcPr>
            <w:tcW w:w="50" w:type="pct"/>
            <w:shd w:val="clear" w:color="auto" w:fill="CCEEFF"/>
            <w:noWrap/>
            <w:vAlign w:val="center"/>
            <w:hideMark/>
          </w:tcPr>
          <w:p w14:paraId="46D7DD3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4F58A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09FE2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F67EA12" w14:textId="77777777" w:rsidR="00000000" w:rsidRDefault="00EB4933">
            <w:pPr>
              <w:jc w:val="right"/>
              <w:rPr>
                <w:rFonts w:eastAsia="Times New Roman"/>
                <w:sz w:val="20"/>
                <w:szCs w:val="20"/>
              </w:rPr>
            </w:pPr>
            <w:r>
              <w:rPr>
                <w:rFonts w:eastAsia="Times New Roman"/>
                <w:sz w:val="20"/>
                <w:szCs w:val="20"/>
              </w:rPr>
              <w:t>698,520</w:t>
            </w:r>
          </w:p>
        </w:tc>
        <w:tc>
          <w:tcPr>
            <w:tcW w:w="50" w:type="pct"/>
            <w:shd w:val="clear" w:color="auto" w:fill="CCEEFF"/>
            <w:noWrap/>
            <w:vAlign w:val="center"/>
            <w:hideMark/>
          </w:tcPr>
          <w:p w14:paraId="408B8E7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E4D0C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2A5DE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9621BB3" w14:textId="77777777" w:rsidR="00000000" w:rsidRDefault="00EB4933">
            <w:pPr>
              <w:jc w:val="right"/>
              <w:rPr>
                <w:rFonts w:eastAsia="Times New Roman"/>
                <w:sz w:val="20"/>
                <w:szCs w:val="20"/>
              </w:rPr>
            </w:pPr>
            <w:r>
              <w:rPr>
                <w:rFonts w:eastAsia="Times New Roman"/>
                <w:sz w:val="20"/>
                <w:szCs w:val="20"/>
              </w:rPr>
              <w:t>823,770</w:t>
            </w:r>
          </w:p>
        </w:tc>
        <w:tc>
          <w:tcPr>
            <w:tcW w:w="50" w:type="pct"/>
            <w:shd w:val="clear" w:color="auto" w:fill="CCEEFF"/>
            <w:noWrap/>
            <w:vAlign w:val="center"/>
            <w:hideMark/>
          </w:tcPr>
          <w:p w14:paraId="13CD6A43" w14:textId="77777777" w:rsidR="00000000" w:rsidRDefault="00EB4933">
            <w:pPr>
              <w:pStyle w:val="NormalWeb"/>
              <w:spacing w:before="0" w:beforeAutospacing="0" w:after="0" w:afterAutospacing="0"/>
              <w:rPr>
                <w:sz w:val="20"/>
                <w:szCs w:val="20"/>
              </w:rPr>
            </w:pPr>
            <w:r>
              <w:rPr>
                <w:sz w:val="20"/>
                <w:szCs w:val="20"/>
              </w:rPr>
              <w:t> </w:t>
            </w:r>
          </w:p>
        </w:tc>
      </w:tr>
      <w:tr w:rsidR="00000000" w14:paraId="1A5F77D8" w14:textId="77777777">
        <w:trPr>
          <w:divId w:val="98525094"/>
          <w:trHeight w:val="225"/>
          <w:tblCellSpacing w:w="15" w:type="dxa"/>
        </w:trPr>
        <w:tc>
          <w:tcPr>
            <w:tcW w:w="0" w:type="auto"/>
            <w:shd w:val="clear" w:color="auto" w:fill="FFFFFF"/>
            <w:hideMark/>
          </w:tcPr>
          <w:p w14:paraId="1C9C7FE0" w14:textId="77777777" w:rsidR="00000000" w:rsidRDefault="00EB4933">
            <w:pPr>
              <w:pStyle w:val="NormalWeb"/>
              <w:spacing w:before="0" w:beforeAutospacing="0" w:after="0" w:afterAutospacing="0"/>
              <w:jc w:val="both"/>
              <w:rPr>
                <w:sz w:val="20"/>
                <w:szCs w:val="20"/>
              </w:rPr>
            </w:pPr>
            <w:r>
              <w:rPr>
                <w:sz w:val="20"/>
                <w:szCs w:val="20"/>
              </w:rPr>
              <w:t>Accrued interest</w:t>
            </w:r>
          </w:p>
        </w:tc>
        <w:tc>
          <w:tcPr>
            <w:tcW w:w="50" w:type="pct"/>
            <w:shd w:val="clear" w:color="auto" w:fill="FFFFFF"/>
            <w:noWrap/>
            <w:vAlign w:val="center"/>
            <w:hideMark/>
          </w:tcPr>
          <w:p w14:paraId="3AE2774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D070D3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2933E84"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55D21CA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A11BA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7B0088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744EC5B"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4A2C1E7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98EEE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B11040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6D57083" w14:textId="77777777" w:rsidR="00000000" w:rsidRDefault="00EB4933">
            <w:pPr>
              <w:jc w:val="right"/>
              <w:rPr>
                <w:rFonts w:eastAsia="Times New Roman"/>
                <w:sz w:val="20"/>
                <w:szCs w:val="20"/>
              </w:rPr>
            </w:pPr>
            <w:r>
              <w:rPr>
                <w:rFonts w:eastAsia="Times New Roman"/>
                <w:sz w:val="20"/>
                <w:szCs w:val="20"/>
              </w:rPr>
              <w:t>153,181</w:t>
            </w:r>
          </w:p>
        </w:tc>
        <w:tc>
          <w:tcPr>
            <w:tcW w:w="50" w:type="pct"/>
            <w:shd w:val="clear" w:color="auto" w:fill="FFFFFF"/>
            <w:noWrap/>
            <w:tcMar>
              <w:top w:w="0" w:type="dxa"/>
              <w:left w:w="0" w:type="dxa"/>
              <w:bottom w:w="15" w:type="dxa"/>
              <w:right w:w="0" w:type="dxa"/>
            </w:tcMar>
            <w:vAlign w:val="center"/>
            <w:hideMark/>
          </w:tcPr>
          <w:p w14:paraId="754A533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67481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8463FF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A121412" w14:textId="77777777" w:rsidR="00000000" w:rsidRDefault="00EB4933">
            <w:pPr>
              <w:jc w:val="right"/>
              <w:rPr>
                <w:rFonts w:eastAsia="Times New Roman"/>
                <w:sz w:val="20"/>
                <w:szCs w:val="20"/>
              </w:rPr>
            </w:pPr>
            <w:r>
              <w:rPr>
                <w:rFonts w:eastAsia="Times New Roman"/>
                <w:sz w:val="20"/>
                <w:szCs w:val="20"/>
              </w:rPr>
              <w:t>153,181</w:t>
            </w:r>
          </w:p>
        </w:tc>
        <w:tc>
          <w:tcPr>
            <w:tcW w:w="50" w:type="pct"/>
            <w:shd w:val="clear" w:color="auto" w:fill="FFFFFF"/>
            <w:noWrap/>
            <w:tcMar>
              <w:top w:w="0" w:type="dxa"/>
              <w:left w:w="0" w:type="dxa"/>
              <w:bottom w:w="15" w:type="dxa"/>
              <w:right w:w="0" w:type="dxa"/>
            </w:tcMar>
            <w:vAlign w:val="center"/>
            <w:hideMark/>
          </w:tcPr>
          <w:p w14:paraId="6298C8E2" w14:textId="77777777" w:rsidR="00000000" w:rsidRDefault="00EB4933">
            <w:pPr>
              <w:pStyle w:val="NormalWeb"/>
              <w:spacing w:before="0" w:beforeAutospacing="0" w:after="0" w:afterAutospacing="0"/>
              <w:rPr>
                <w:sz w:val="20"/>
                <w:szCs w:val="20"/>
              </w:rPr>
            </w:pPr>
            <w:r>
              <w:rPr>
                <w:sz w:val="20"/>
                <w:szCs w:val="20"/>
              </w:rPr>
              <w:t> </w:t>
            </w:r>
          </w:p>
        </w:tc>
      </w:tr>
      <w:tr w:rsidR="00000000" w14:paraId="6785B40B" w14:textId="77777777">
        <w:trPr>
          <w:divId w:val="98525094"/>
          <w:trHeight w:val="225"/>
          <w:tblCellSpacing w:w="15" w:type="dxa"/>
        </w:trPr>
        <w:tc>
          <w:tcPr>
            <w:tcW w:w="0" w:type="auto"/>
            <w:shd w:val="clear" w:color="auto" w:fill="CCEEFF"/>
            <w:hideMark/>
          </w:tcPr>
          <w:p w14:paraId="5B8568F7" w14:textId="77777777" w:rsidR="00000000" w:rsidRDefault="00EB4933">
            <w:pPr>
              <w:pStyle w:val="NormalWeb"/>
              <w:spacing w:before="0" w:beforeAutospacing="0" w:after="0" w:afterAutospacing="0"/>
              <w:jc w:val="both"/>
              <w:rPr>
                <w:sz w:val="20"/>
                <w:szCs w:val="20"/>
              </w:rPr>
            </w:pPr>
            <w:r>
              <w:rPr>
                <w:sz w:val="20"/>
                <w:szCs w:val="20"/>
              </w:rPr>
              <w:t>Gross loan receivables</w:t>
            </w:r>
          </w:p>
        </w:tc>
        <w:tc>
          <w:tcPr>
            <w:tcW w:w="50" w:type="pct"/>
            <w:shd w:val="clear" w:color="auto" w:fill="CCEEFF"/>
            <w:noWrap/>
            <w:vAlign w:val="center"/>
            <w:hideMark/>
          </w:tcPr>
          <w:p w14:paraId="2818C13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B953F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8D7F829" w14:textId="77777777" w:rsidR="00000000" w:rsidRDefault="00EB4933">
            <w:pPr>
              <w:jc w:val="right"/>
              <w:rPr>
                <w:rFonts w:eastAsia="Times New Roman"/>
                <w:sz w:val="20"/>
                <w:szCs w:val="20"/>
              </w:rPr>
            </w:pPr>
            <w:r>
              <w:rPr>
                <w:rFonts w:eastAsia="Times New Roman"/>
                <w:sz w:val="20"/>
                <w:szCs w:val="20"/>
              </w:rPr>
              <w:t>24,100</w:t>
            </w:r>
          </w:p>
        </w:tc>
        <w:tc>
          <w:tcPr>
            <w:tcW w:w="50" w:type="pct"/>
            <w:shd w:val="clear" w:color="auto" w:fill="CCEEFF"/>
            <w:noWrap/>
            <w:vAlign w:val="center"/>
            <w:hideMark/>
          </w:tcPr>
          <w:p w14:paraId="7058224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27A80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66E5A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284CC7F" w14:textId="77777777" w:rsidR="00000000" w:rsidRDefault="00EB4933">
            <w:pPr>
              <w:jc w:val="right"/>
              <w:rPr>
                <w:rFonts w:eastAsia="Times New Roman"/>
                <w:sz w:val="20"/>
                <w:szCs w:val="20"/>
              </w:rPr>
            </w:pPr>
            <w:r>
              <w:rPr>
                <w:rFonts w:eastAsia="Times New Roman"/>
                <w:sz w:val="20"/>
                <w:szCs w:val="20"/>
              </w:rPr>
              <w:t>101,150</w:t>
            </w:r>
          </w:p>
        </w:tc>
        <w:tc>
          <w:tcPr>
            <w:tcW w:w="50" w:type="pct"/>
            <w:shd w:val="clear" w:color="auto" w:fill="CCEEFF"/>
            <w:noWrap/>
            <w:vAlign w:val="center"/>
            <w:hideMark/>
          </w:tcPr>
          <w:p w14:paraId="1BA61F6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0EDBC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13223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1144A2E" w14:textId="77777777" w:rsidR="00000000" w:rsidRDefault="00EB4933">
            <w:pPr>
              <w:jc w:val="right"/>
              <w:rPr>
                <w:rFonts w:eastAsia="Times New Roman"/>
                <w:sz w:val="20"/>
                <w:szCs w:val="20"/>
              </w:rPr>
            </w:pPr>
            <w:r>
              <w:rPr>
                <w:rFonts w:eastAsia="Times New Roman"/>
                <w:sz w:val="20"/>
                <w:szCs w:val="20"/>
              </w:rPr>
              <w:t>851,701</w:t>
            </w:r>
          </w:p>
        </w:tc>
        <w:tc>
          <w:tcPr>
            <w:tcW w:w="50" w:type="pct"/>
            <w:shd w:val="clear" w:color="auto" w:fill="CCEEFF"/>
            <w:noWrap/>
            <w:vAlign w:val="center"/>
            <w:hideMark/>
          </w:tcPr>
          <w:p w14:paraId="626EBB5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17249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E3C97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CB3AEF2" w14:textId="77777777" w:rsidR="00000000" w:rsidRDefault="00EB4933">
            <w:pPr>
              <w:jc w:val="right"/>
              <w:rPr>
                <w:rFonts w:eastAsia="Times New Roman"/>
                <w:sz w:val="20"/>
                <w:szCs w:val="20"/>
              </w:rPr>
            </w:pPr>
            <w:r>
              <w:rPr>
                <w:rFonts w:eastAsia="Times New Roman"/>
                <w:sz w:val="20"/>
                <w:szCs w:val="20"/>
              </w:rPr>
              <w:t>976,951</w:t>
            </w:r>
          </w:p>
        </w:tc>
        <w:tc>
          <w:tcPr>
            <w:tcW w:w="50" w:type="pct"/>
            <w:shd w:val="clear" w:color="auto" w:fill="CCEEFF"/>
            <w:noWrap/>
            <w:vAlign w:val="center"/>
            <w:hideMark/>
          </w:tcPr>
          <w:p w14:paraId="544B4AE9" w14:textId="77777777" w:rsidR="00000000" w:rsidRDefault="00EB4933">
            <w:pPr>
              <w:pStyle w:val="NormalWeb"/>
              <w:spacing w:before="0" w:beforeAutospacing="0" w:after="0" w:afterAutospacing="0"/>
              <w:rPr>
                <w:sz w:val="20"/>
                <w:szCs w:val="20"/>
              </w:rPr>
            </w:pPr>
            <w:r>
              <w:rPr>
                <w:sz w:val="20"/>
                <w:szCs w:val="20"/>
              </w:rPr>
              <w:t> </w:t>
            </w:r>
          </w:p>
        </w:tc>
      </w:tr>
      <w:tr w:rsidR="00000000" w14:paraId="0FCD7296" w14:textId="77777777">
        <w:trPr>
          <w:divId w:val="98525094"/>
          <w:trHeight w:val="225"/>
          <w:tblCellSpacing w:w="15" w:type="dxa"/>
        </w:trPr>
        <w:tc>
          <w:tcPr>
            <w:tcW w:w="0" w:type="auto"/>
            <w:shd w:val="clear" w:color="auto" w:fill="FFFFFF"/>
            <w:hideMark/>
          </w:tcPr>
          <w:p w14:paraId="0F58FD50" w14:textId="77777777" w:rsidR="00000000" w:rsidRDefault="00EB4933">
            <w:pPr>
              <w:pStyle w:val="NormalWeb"/>
              <w:spacing w:before="0" w:beforeAutospacing="0" w:after="0" w:afterAutospacing="0"/>
              <w:jc w:val="both"/>
              <w:rPr>
                <w:sz w:val="20"/>
                <w:szCs w:val="20"/>
              </w:rPr>
            </w:pPr>
            <w:r>
              <w:rPr>
                <w:sz w:val="20"/>
                <w:szCs w:val="20"/>
              </w:rPr>
              <w:t>Loss allowance</w:t>
            </w:r>
          </w:p>
        </w:tc>
        <w:tc>
          <w:tcPr>
            <w:tcW w:w="50" w:type="pct"/>
            <w:shd w:val="clear" w:color="auto" w:fill="FFFFFF"/>
            <w:noWrap/>
            <w:vAlign w:val="center"/>
            <w:hideMark/>
          </w:tcPr>
          <w:p w14:paraId="63FAAE7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30310B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7A563B8" w14:textId="77777777" w:rsidR="00000000" w:rsidRDefault="00EB4933">
            <w:pPr>
              <w:jc w:val="right"/>
              <w:rPr>
                <w:rFonts w:eastAsia="Times New Roman"/>
                <w:sz w:val="20"/>
                <w:szCs w:val="20"/>
              </w:rPr>
            </w:pPr>
            <w:r>
              <w:rPr>
                <w:rFonts w:eastAsia="Times New Roman"/>
                <w:sz w:val="20"/>
                <w:szCs w:val="20"/>
              </w:rPr>
              <w:t>(3,919</w:t>
            </w:r>
          </w:p>
        </w:tc>
        <w:tc>
          <w:tcPr>
            <w:tcW w:w="50" w:type="pct"/>
            <w:shd w:val="clear" w:color="auto" w:fill="FFFFFF"/>
            <w:noWrap/>
            <w:tcMar>
              <w:top w:w="0" w:type="dxa"/>
              <w:left w:w="0" w:type="dxa"/>
              <w:bottom w:w="15" w:type="dxa"/>
              <w:right w:w="0" w:type="dxa"/>
            </w:tcMar>
            <w:vAlign w:val="bottom"/>
            <w:hideMark/>
          </w:tcPr>
          <w:p w14:paraId="2EEF73DE"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33CE65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25C5CA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C5B91D0" w14:textId="77777777" w:rsidR="00000000" w:rsidRDefault="00EB4933">
            <w:pPr>
              <w:jc w:val="right"/>
              <w:rPr>
                <w:rFonts w:eastAsia="Times New Roman"/>
                <w:sz w:val="20"/>
                <w:szCs w:val="20"/>
              </w:rPr>
            </w:pPr>
            <w:r>
              <w:rPr>
                <w:rFonts w:eastAsia="Times New Roman"/>
                <w:sz w:val="20"/>
                <w:szCs w:val="20"/>
              </w:rPr>
              <w:t>(20,498</w:t>
            </w:r>
          </w:p>
        </w:tc>
        <w:tc>
          <w:tcPr>
            <w:tcW w:w="50" w:type="pct"/>
            <w:shd w:val="clear" w:color="auto" w:fill="FFFFFF"/>
            <w:noWrap/>
            <w:tcMar>
              <w:top w:w="0" w:type="dxa"/>
              <w:left w:w="0" w:type="dxa"/>
              <w:bottom w:w="15" w:type="dxa"/>
              <w:right w:w="0" w:type="dxa"/>
            </w:tcMar>
            <w:vAlign w:val="bottom"/>
            <w:hideMark/>
          </w:tcPr>
          <w:p w14:paraId="0FF5D146"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46A35E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9A1F59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556AD0B" w14:textId="77777777" w:rsidR="00000000" w:rsidRDefault="00EB4933">
            <w:pPr>
              <w:jc w:val="right"/>
              <w:rPr>
                <w:rFonts w:eastAsia="Times New Roman"/>
                <w:sz w:val="20"/>
                <w:szCs w:val="20"/>
              </w:rPr>
            </w:pPr>
            <w:r>
              <w:rPr>
                <w:rFonts w:eastAsia="Times New Roman"/>
                <w:sz w:val="20"/>
                <w:szCs w:val="20"/>
              </w:rPr>
              <w:t>(372,880</w:t>
            </w:r>
          </w:p>
        </w:tc>
        <w:tc>
          <w:tcPr>
            <w:tcW w:w="50" w:type="pct"/>
            <w:shd w:val="clear" w:color="auto" w:fill="FFFFFF"/>
            <w:noWrap/>
            <w:tcMar>
              <w:top w:w="0" w:type="dxa"/>
              <w:left w:w="0" w:type="dxa"/>
              <w:bottom w:w="15" w:type="dxa"/>
              <w:right w:w="0" w:type="dxa"/>
            </w:tcMar>
            <w:vAlign w:val="bottom"/>
            <w:hideMark/>
          </w:tcPr>
          <w:p w14:paraId="59395204"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70C473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D13A6D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5F4A553" w14:textId="77777777" w:rsidR="00000000" w:rsidRDefault="00EB4933">
            <w:pPr>
              <w:jc w:val="right"/>
              <w:rPr>
                <w:rFonts w:eastAsia="Times New Roman"/>
                <w:sz w:val="20"/>
                <w:szCs w:val="20"/>
              </w:rPr>
            </w:pPr>
            <w:r>
              <w:rPr>
                <w:rFonts w:eastAsia="Times New Roman"/>
                <w:sz w:val="20"/>
                <w:szCs w:val="20"/>
              </w:rPr>
              <w:t>(397,297</w:t>
            </w:r>
          </w:p>
        </w:tc>
        <w:tc>
          <w:tcPr>
            <w:tcW w:w="50" w:type="pct"/>
            <w:shd w:val="clear" w:color="auto" w:fill="FFFFFF"/>
            <w:noWrap/>
            <w:tcMar>
              <w:top w:w="0" w:type="dxa"/>
              <w:left w:w="0" w:type="dxa"/>
              <w:bottom w:w="15" w:type="dxa"/>
              <w:right w:w="0" w:type="dxa"/>
            </w:tcMar>
            <w:vAlign w:val="bottom"/>
            <w:hideMark/>
          </w:tcPr>
          <w:p w14:paraId="457760E8" w14:textId="77777777" w:rsidR="00000000" w:rsidRDefault="00EB4933">
            <w:pPr>
              <w:rPr>
                <w:rFonts w:eastAsia="Times New Roman"/>
                <w:sz w:val="20"/>
                <w:szCs w:val="20"/>
              </w:rPr>
            </w:pPr>
            <w:r>
              <w:rPr>
                <w:rFonts w:eastAsia="Times New Roman"/>
                <w:sz w:val="20"/>
                <w:szCs w:val="20"/>
              </w:rPr>
              <w:t>)</w:t>
            </w:r>
          </w:p>
        </w:tc>
      </w:tr>
      <w:tr w:rsidR="00000000" w14:paraId="3BA5D7D6" w14:textId="77777777">
        <w:trPr>
          <w:divId w:val="98525094"/>
          <w:trHeight w:val="225"/>
          <w:tblCellSpacing w:w="15" w:type="dxa"/>
        </w:trPr>
        <w:tc>
          <w:tcPr>
            <w:tcW w:w="0" w:type="auto"/>
            <w:shd w:val="clear" w:color="auto" w:fill="CCEEFF"/>
            <w:hideMark/>
          </w:tcPr>
          <w:p w14:paraId="57B190D9" w14:textId="77777777" w:rsidR="00000000" w:rsidRDefault="00EB4933">
            <w:pPr>
              <w:pStyle w:val="NormalWeb"/>
              <w:spacing w:before="0" w:beforeAutospacing="0" w:after="0" w:afterAutospacing="0"/>
              <w:jc w:val="both"/>
              <w:rPr>
                <w:sz w:val="20"/>
                <w:szCs w:val="20"/>
              </w:rPr>
            </w:pPr>
            <w:r>
              <w:rPr>
                <w:sz w:val="20"/>
                <w:szCs w:val="20"/>
              </w:rPr>
              <w:t>Carrying amount</w:t>
            </w:r>
          </w:p>
        </w:tc>
        <w:tc>
          <w:tcPr>
            <w:tcW w:w="50" w:type="pct"/>
            <w:shd w:val="clear" w:color="auto" w:fill="CCEEFF"/>
            <w:noWrap/>
            <w:vAlign w:val="center"/>
            <w:hideMark/>
          </w:tcPr>
          <w:p w14:paraId="520EC30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B5DAAF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7375302E" w14:textId="77777777" w:rsidR="00000000" w:rsidRDefault="00EB4933">
            <w:pPr>
              <w:jc w:val="right"/>
              <w:rPr>
                <w:rFonts w:eastAsia="Times New Roman"/>
                <w:sz w:val="20"/>
                <w:szCs w:val="20"/>
              </w:rPr>
            </w:pPr>
            <w:r>
              <w:rPr>
                <w:rFonts w:eastAsia="Times New Roman"/>
                <w:sz w:val="20"/>
                <w:szCs w:val="20"/>
              </w:rPr>
              <w:t>20,181</w:t>
            </w:r>
          </w:p>
        </w:tc>
        <w:tc>
          <w:tcPr>
            <w:tcW w:w="50" w:type="pct"/>
            <w:shd w:val="clear" w:color="auto" w:fill="CCEEFF"/>
            <w:noWrap/>
            <w:tcMar>
              <w:top w:w="0" w:type="dxa"/>
              <w:left w:w="0" w:type="dxa"/>
              <w:bottom w:w="45" w:type="dxa"/>
              <w:right w:w="0" w:type="dxa"/>
            </w:tcMar>
            <w:vAlign w:val="center"/>
            <w:hideMark/>
          </w:tcPr>
          <w:p w14:paraId="71C63C1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FCF17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EC910D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3298E0ED" w14:textId="77777777" w:rsidR="00000000" w:rsidRDefault="00EB4933">
            <w:pPr>
              <w:jc w:val="right"/>
              <w:rPr>
                <w:rFonts w:eastAsia="Times New Roman"/>
                <w:sz w:val="20"/>
                <w:szCs w:val="20"/>
              </w:rPr>
            </w:pPr>
            <w:r>
              <w:rPr>
                <w:rFonts w:eastAsia="Times New Roman"/>
                <w:sz w:val="20"/>
                <w:szCs w:val="20"/>
              </w:rPr>
              <w:t>80,652</w:t>
            </w:r>
          </w:p>
        </w:tc>
        <w:tc>
          <w:tcPr>
            <w:tcW w:w="50" w:type="pct"/>
            <w:shd w:val="clear" w:color="auto" w:fill="CCEEFF"/>
            <w:noWrap/>
            <w:tcMar>
              <w:top w:w="0" w:type="dxa"/>
              <w:left w:w="0" w:type="dxa"/>
              <w:bottom w:w="45" w:type="dxa"/>
              <w:right w:w="0" w:type="dxa"/>
            </w:tcMar>
            <w:vAlign w:val="center"/>
            <w:hideMark/>
          </w:tcPr>
          <w:p w14:paraId="2DF9BAA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79F78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21AAB1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1423A85E" w14:textId="77777777" w:rsidR="00000000" w:rsidRDefault="00EB4933">
            <w:pPr>
              <w:jc w:val="right"/>
              <w:rPr>
                <w:rFonts w:eastAsia="Times New Roman"/>
                <w:sz w:val="20"/>
                <w:szCs w:val="20"/>
              </w:rPr>
            </w:pPr>
            <w:r>
              <w:rPr>
                <w:rFonts w:eastAsia="Times New Roman"/>
                <w:sz w:val="20"/>
                <w:szCs w:val="20"/>
              </w:rPr>
              <w:t>478,821</w:t>
            </w:r>
          </w:p>
        </w:tc>
        <w:tc>
          <w:tcPr>
            <w:tcW w:w="50" w:type="pct"/>
            <w:shd w:val="clear" w:color="auto" w:fill="CCEEFF"/>
            <w:noWrap/>
            <w:tcMar>
              <w:top w:w="0" w:type="dxa"/>
              <w:left w:w="0" w:type="dxa"/>
              <w:bottom w:w="45" w:type="dxa"/>
              <w:right w:w="0" w:type="dxa"/>
            </w:tcMar>
            <w:vAlign w:val="center"/>
            <w:hideMark/>
          </w:tcPr>
          <w:p w14:paraId="36FEEB6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998C4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9A88DE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3258198E" w14:textId="77777777" w:rsidR="00000000" w:rsidRDefault="00EB4933">
            <w:pPr>
              <w:jc w:val="right"/>
              <w:rPr>
                <w:rFonts w:eastAsia="Times New Roman"/>
                <w:sz w:val="20"/>
                <w:szCs w:val="20"/>
              </w:rPr>
            </w:pPr>
            <w:r>
              <w:rPr>
                <w:rFonts w:eastAsia="Times New Roman"/>
                <w:sz w:val="20"/>
                <w:szCs w:val="20"/>
              </w:rPr>
              <w:t>579,654</w:t>
            </w:r>
          </w:p>
        </w:tc>
        <w:tc>
          <w:tcPr>
            <w:tcW w:w="50" w:type="pct"/>
            <w:shd w:val="clear" w:color="auto" w:fill="CCEEFF"/>
            <w:noWrap/>
            <w:tcMar>
              <w:top w:w="0" w:type="dxa"/>
              <w:left w:w="0" w:type="dxa"/>
              <w:bottom w:w="45" w:type="dxa"/>
              <w:right w:w="0" w:type="dxa"/>
            </w:tcMar>
            <w:vAlign w:val="center"/>
            <w:hideMark/>
          </w:tcPr>
          <w:p w14:paraId="78D91920" w14:textId="77777777" w:rsidR="00000000" w:rsidRDefault="00EB4933">
            <w:pPr>
              <w:pStyle w:val="NormalWeb"/>
              <w:spacing w:before="0" w:beforeAutospacing="0" w:after="0" w:afterAutospacing="0"/>
              <w:rPr>
                <w:sz w:val="20"/>
                <w:szCs w:val="20"/>
              </w:rPr>
            </w:pPr>
            <w:r>
              <w:rPr>
                <w:sz w:val="20"/>
                <w:szCs w:val="20"/>
              </w:rPr>
              <w:t> </w:t>
            </w:r>
          </w:p>
        </w:tc>
      </w:tr>
    </w:tbl>
    <w:p w14:paraId="64560648"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94D114D" w14:textId="77777777">
        <w:trPr>
          <w:divId w:val="98525094"/>
          <w:trHeight w:val="225"/>
          <w:tblCellSpacing w:w="15" w:type="dxa"/>
        </w:trPr>
        <w:tc>
          <w:tcPr>
            <w:tcW w:w="0" w:type="auto"/>
            <w:vAlign w:val="center"/>
            <w:hideMark/>
          </w:tcPr>
          <w:p w14:paraId="533BD451" w14:textId="77777777" w:rsidR="00000000" w:rsidRDefault="00EB4933">
            <w:pPr>
              <w:rPr>
                <w:rFonts w:eastAsia="Times New Roman"/>
                <w:sz w:val="20"/>
                <w:szCs w:val="20"/>
              </w:rPr>
            </w:pPr>
            <w:r>
              <w:rPr>
                <w:rFonts w:eastAsia="Times New Roman"/>
                <w:sz w:val="20"/>
                <w:szCs w:val="20"/>
              </w:rPr>
              <w:t> </w:t>
            </w:r>
          </w:p>
        </w:tc>
      </w:tr>
      <w:tr w:rsidR="00000000" w14:paraId="21D243DE" w14:textId="77777777">
        <w:trPr>
          <w:divId w:val="98525094"/>
          <w:trHeight w:val="225"/>
          <w:tblCellSpacing w:w="15" w:type="dxa"/>
        </w:trPr>
        <w:tc>
          <w:tcPr>
            <w:tcW w:w="0" w:type="auto"/>
            <w:tcBorders>
              <w:bottom w:val="single" w:sz="6" w:space="0" w:color="000000"/>
            </w:tcBorders>
            <w:vAlign w:val="center"/>
            <w:hideMark/>
          </w:tcPr>
          <w:p w14:paraId="5C9D83B3" w14:textId="77777777" w:rsidR="00000000" w:rsidRDefault="00EB4933">
            <w:pPr>
              <w:jc w:val="center"/>
              <w:rPr>
                <w:rFonts w:eastAsia="Times New Roman"/>
                <w:sz w:val="20"/>
                <w:szCs w:val="20"/>
              </w:rPr>
            </w:pPr>
            <w:r>
              <w:rPr>
                <w:rFonts w:eastAsia="Times New Roman"/>
                <w:sz w:val="20"/>
                <w:szCs w:val="20"/>
              </w:rPr>
              <w:t>F-44</w:t>
            </w:r>
          </w:p>
        </w:tc>
      </w:tr>
      <w:tr w:rsidR="00000000" w14:paraId="18A8BC2E" w14:textId="77777777">
        <w:trPr>
          <w:divId w:val="98525094"/>
          <w:trHeight w:val="225"/>
          <w:tblCellSpacing w:w="15" w:type="dxa"/>
        </w:trPr>
        <w:tc>
          <w:tcPr>
            <w:tcW w:w="0" w:type="auto"/>
            <w:vAlign w:val="center"/>
            <w:hideMark/>
          </w:tcPr>
          <w:p w14:paraId="1A826D53" w14:textId="77777777" w:rsidR="00000000" w:rsidRDefault="00EB4933">
            <w:pPr>
              <w:rPr>
                <w:rFonts w:eastAsia="Times New Roman"/>
                <w:sz w:val="20"/>
                <w:szCs w:val="20"/>
              </w:rPr>
            </w:pPr>
          </w:p>
        </w:tc>
      </w:tr>
      <w:tr w:rsidR="00000000" w14:paraId="110C08F1" w14:textId="77777777">
        <w:trPr>
          <w:divId w:val="98525094"/>
          <w:trHeight w:val="225"/>
          <w:tblCellSpacing w:w="15" w:type="dxa"/>
        </w:trPr>
        <w:tc>
          <w:tcPr>
            <w:tcW w:w="0" w:type="auto"/>
            <w:vAlign w:val="center"/>
            <w:hideMark/>
          </w:tcPr>
          <w:p w14:paraId="1C47FEF0" w14:textId="77777777" w:rsidR="00000000" w:rsidRDefault="00EB4933">
            <w:pPr>
              <w:rPr>
                <w:rFonts w:eastAsia="Times New Roman"/>
                <w:sz w:val="20"/>
                <w:szCs w:val="20"/>
              </w:rPr>
            </w:pPr>
            <w:hyperlink r:id="rId261" w:anchor="finindex" w:history="1">
              <w:r>
                <w:rPr>
                  <w:rStyle w:val="Hyperlink"/>
                  <w:rFonts w:eastAsia="Times New Roman"/>
                  <w:i/>
                  <w:iCs/>
                  <w:sz w:val="20"/>
                  <w:szCs w:val="20"/>
                </w:rPr>
                <w:t>Table of Contents</w:t>
              </w:r>
            </w:hyperlink>
          </w:p>
        </w:tc>
      </w:tr>
    </w:tbl>
    <w:p w14:paraId="15BFD18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AD608EC"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0021409F"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16B8C30B"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491F481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01CE942" w14:textId="77777777" w:rsidR="00000000" w:rsidRDefault="00EB4933">
      <w:pPr>
        <w:pStyle w:val="NormalWeb"/>
        <w:spacing w:before="0" w:beforeAutospacing="0" w:after="0" w:afterAutospacing="0"/>
        <w:jc w:val="both"/>
        <w:divId w:val="98525094"/>
        <w:rPr>
          <w:sz w:val="20"/>
          <w:szCs w:val="20"/>
        </w:rPr>
      </w:pPr>
      <w:r>
        <w:rPr>
          <w:rStyle w:val="Strong"/>
          <w:sz w:val="20"/>
          <w:szCs w:val="20"/>
        </w:rPr>
        <w:t>6.</w:t>
      </w:r>
      <w:r>
        <w:rPr>
          <w:rStyle w:val="Strong"/>
          <w:sz w:val="14"/>
          <w:szCs w:val="14"/>
        </w:rPr>
        <w:t> </w:t>
      </w:r>
      <w:r>
        <w:rPr>
          <w:rStyle w:val="Strong"/>
          <w:sz w:val="20"/>
          <w:szCs w:val="20"/>
        </w:rPr>
        <w:t>Liquidity risk</w:t>
      </w:r>
    </w:p>
    <w:p w14:paraId="002D6BA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987EE56" w14:textId="77777777" w:rsidR="00000000" w:rsidRDefault="00EB4933">
      <w:pPr>
        <w:pStyle w:val="NormalWeb"/>
        <w:spacing w:before="0" w:beforeAutospacing="0" w:after="0" w:afterAutospacing="0"/>
        <w:ind w:left="675"/>
        <w:jc w:val="both"/>
        <w:divId w:val="98525094"/>
        <w:rPr>
          <w:sz w:val="20"/>
          <w:szCs w:val="20"/>
        </w:rPr>
      </w:pPr>
      <w:r>
        <w:rPr>
          <w:sz w:val="20"/>
          <w:szCs w:val="20"/>
        </w:rPr>
        <w:t>Liquidity risk is the risk that the Group does not have sufficient financial resources to meet its oblig</w:t>
      </w:r>
      <w:r>
        <w:rPr>
          <w:sz w:val="20"/>
          <w:szCs w:val="20"/>
        </w:rPr>
        <w:t>ations as they fall due, or will have to do so at an excessive cost. This risk arises from mismatches in the timing of cash flows which is inherent in lending operations and can be affected by a range of Group-specific and market-wide events.</w:t>
      </w:r>
    </w:p>
    <w:p w14:paraId="1ECF3F13" w14:textId="77777777" w:rsidR="00000000" w:rsidRDefault="00EB4933">
      <w:pPr>
        <w:pStyle w:val="NormalWeb"/>
        <w:spacing w:before="0" w:beforeAutospacing="0" w:after="0" w:afterAutospacing="0"/>
        <w:ind w:left="675"/>
        <w:jc w:val="both"/>
        <w:divId w:val="98525094"/>
        <w:rPr>
          <w:sz w:val="20"/>
          <w:szCs w:val="20"/>
        </w:rPr>
      </w:pPr>
      <w:r>
        <w:rPr>
          <w:sz w:val="20"/>
          <w:szCs w:val="20"/>
        </w:rPr>
        <w:lastRenderedPageBreak/>
        <w:t> </w:t>
      </w:r>
    </w:p>
    <w:p w14:paraId="0FB37800" w14:textId="77777777" w:rsidR="00000000" w:rsidRDefault="00EB4933">
      <w:pPr>
        <w:pStyle w:val="NormalWeb"/>
        <w:spacing w:before="0" w:beforeAutospacing="0" w:after="0" w:afterAutospacing="0"/>
        <w:ind w:left="675"/>
        <w:jc w:val="both"/>
        <w:divId w:val="98525094"/>
        <w:rPr>
          <w:sz w:val="20"/>
          <w:szCs w:val="20"/>
        </w:rPr>
      </w:pPr>
      <w:r>
        <w:rPr>
          <w:rStyle w:val="Strong"/>
          <w:sz w:val="20"/>
          <w:szCs w:val="20"/>
        </w:rPr>
        <w:t>Liquidity r</w:t>
      </w:r>
      <w:r>
        <w:rPr>
          <w:rStyle w:val="Strong"/>
          <w:sz w:val="20"/>
          <w:szCs w:val="20"/>
        </w:rPr>
        <w:t>isk management</w:t>
      </w:r>
    </w:p>
    <w:p w14:paraId="730F3F09"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2AF22E76" w14:textId="77777777" w:rsidR="00000000" w:rsidRDefault="00EB4933">
      <w:pPr>
        <w:pStyle w:val="NormalWeb"/>
        <w:spacing w:before="0" w:beforeAutospacing="0" w:after="0" w:afterAutospacing="0"/>
        <w:ind w:left="675"/>
        <w:jc w:val="both"/>
        <w:divId w:val="98525094"/>
        <w:rPr>
          <w:sz w:val="20"/>
          <w:szCs w:val="20"/>
        </w:rPr>
      </w:pPr>
      <w:r>
        <w:rPr>
          <w:sz w:val="20"/>
          <w:szCs w:val="20"/>
        </w:rPr>
        <w:t>According to relevant laws and regulations, the funds obtained by a microfinance company from banking financial institutions may not exceed 50% of its net capital. As of December 31, 2019, the Group does not have funds obtained from bankin</w:t>
      </w:r>
      <w:r>
        <w:rPr>
          <w:sz w:val="20"/>
          <w:szCs w:val="20"/>
        </w:rPr>
        <w:t>g financial institutions.</w:t>
      </w:r>
    </w:p>
    <w:p w14:paraId="27ED37D1"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52830353" w14:textId="77777777" w:rsidR="00000000" w:rsidRDefault="00EB4933">
      <w:pPr>
        <w:pStyle w:val="NormalWeb"/>
        <w:spacing w:before="0" w:beforeAutospacing="0" w:after="0" w:afterAutospacing="0"/>
        <w:ind w:left="675"/>
        <w:jc w:val="both"/>
        <w:divId w:val="98525094"/>
        <w:rPr>
          <w:sz w:val="20"/>
          <w:szCs w:val="20"/>
        </w:rPr>
      </w:pPr>
      <w:r>
        <w:rPr>
          <w:sz w:val="20"/>
          <w:szCs w:val="20"/>
        </w:rPr>
        <w:t>As all loans receivable of the Group are credit impaired, the Group is facing significant liquidity issue. Obligations to loans payable, State Taxation Administration, employees and service providers are all over due.</w:t>
      </w:r>
    </w:p>
    <w:p w14:paraId="07235C0D"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491ED84" w14:textId="77777777">
        <w:trPr>
          <w:divId w:val="98525094"/>
          <w:trHeight w:val="225"/>
          <w:tblCellSpacing w:w="15" w:type="dxa"/>
        </w:trPr>
        <w:tc>
          <w:tcPr>
            <w:tcW w:w="0" w:type="auto"/>
            <w:vAlign w:val="center"/>
            <w:hideMark/>
          </w:tcPr>
          <w:p w14:paraId="728F0A7A" w14:textId="77777777" w:rsidR="00000000" w:rsidRDefault="00EB4933">
            <w:pPr>
              <w:rPr>
                <w:rFonts w:eastAsia="Times New Roman"/>
                <w:sz w:val="20"/>
                <w:szCs w:val="20"/>
              </w:rPr>
            </w:pPr>
            <w:r>
              <w:rPr>
                <w:rFonts w:eastAsia="Times New Roman"/>
                <w:sz w:val="20"/>
                <w:szCs w:val="20"/>
              </w:rPr>
              <w:t> </w:t>
            </w:r>
          </w:p>
        </w:tc>
      </w:tr>
      <w:tr w:rsidR="00000000" w14:paraId="698809A8" w14:textId="77777777">
        <w:trPr>
          <w:divId w:val="98525094"/>
          <w:trHeight w:val="225"/>
          <w:tblCellSpacing w:w="15" w:type="dxa"/>
        </w:trPr>
        <w:tc>
          <w:tcPr>
            <w:tcW w:w="0" w:type="auto"/>
            <w:tcBorders>
              <w:bottom w:val="single" w:sz="6" w:space="0" w:color="000000"/>
            </w:tcBorders>
            <w:vAlign w:val="center"/>
            <w:hideMark/>
          </w:tcPr>
          <w:p w14:paraId="1D51E342" w14:textId="77777777" w:rsidR="00000000" w:rsidRDefault="00EB4933">
            <w:pPr>
              <w:jc w:val="center"/>
              <w:rPr>
                <w:rFonts w:eastAsia="Times New Roman"/>
                <w:sz w:val="20"/>
                <w:szCs w:val="20"/>
              </w:rPr>
            </w:pPr>
            <w:r>
              <w:rPr>
                <w:rFonts w:eastAsia="Times New Roman"/>
                <w:sz w:val="20"/>
                <w:szCs w:val="20"/>
              </w:rPr>
              <w:t>F-45</w:t>
            </w:r>
          </w:p>
        </w:tc>
      </w:tr>
      <w:tr w:rsidR="00000000" w14:paraId="1F4510F4" w14:textId="77777777">
        <w:trPr>
          <w:divId w:val="98525094"/>
          <w:trHeight w:val="225"/>
          <w:tblCellSpacing w:w="15" w:type="dxa"/>
        </w:trPr>
        <w:tc>
          <w:tcPr>
            <w:tcW w:w="0" w:type="auto"/>
            <w:vAlign w:val="center"/>
            <w:hideMark/>
          </w:tcPr>
          <w:p w14:paraId="22E75217" w14:textId="77777777" w:rsidR="00000000" w:rsidRDefault="00EB4933">
            <w:pPr>
              <w:rPr>
                <w:rFonts w:eastAsia="Times New Roman"/>
                <w:sz w:val="20"/>
                <w:szCs w:val="20"/>
              </w:rPr>
            </w:pPr>
          </w:p>
        </w:tc>
      </w:tr>
      <w:tr w:rsidR="00000000" w14:paraId="4682EFC9" w14:textId="77777777">
        <w:trPr>
          <w:divId w:val="98525094"/>
          <w:trHeight w:val="225"/>
          <w:tblCellSpacing w:w="15" w:type="dxa"/>
        </w:trPr>
        <w:tc>
          <w:tcPr>
            <w:tcW w:w="0" w:type="auto"/>
            <w:vAlign w:val="center"/>
            <w:hideMark/>
          </w:tcPr>
          <w:p w14:paraId="37A816E4" w14:textId="77777777" w:rsidR="00000000" w:rsidRDefault="00EB4933">
            <w:pPr>
              <w:rPr>
                <w:rFonts w:eastAsia="Times New Roman"/>
                <w:sz w:val="20"/>
                <w:szCs w:val="20"/>
              </w:rPr>
            </w:pPr>
            <w:hyperlink r:id="rId262" w:anchor="finindex" w:history="1">
              <w:r>
                <w:rPr>
                  <w:rStyle w:val="Hyperlink"/>
                  <w:rFonts w:eastAsia="Times New Roman"/>
                  <w:i/>
                  <w:iCs/>
                  <w:sz w:val="20"/>
                  <w:szCs w:val="20"/>
                </w:rPr>
                <w:t>Table of Contents</w:t>
              </w:r>
            </w:hyperlink>
          </w:p>
        </w:tc>
      </w:tr>
    </w:tbl>
    <w:p w14:paraId="2835CC6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2EEA7B1"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08A3EDD9"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13E84852"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512B24E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F331405" w14:textId="77777777" w:rsidR="00000000" w:rsidRDefault="00EB4933">
      <w:pPr>
        <w:pStyle w:val="NormalWeb"/>
        <w:spacing w:before="0" w:beforeAutospacing="0" w:after="0" w:afterAutospacing="0"/>
        <w:jc w:val="both"/>
        <w:divId w:val="98525094"/>
        <w:rPr>
          <w:sz w:val="20"/>
          <w:szCs w:val="20"/>
        </w:rPr>
      </w:pPr>
      <w:r>
        <w:rPr>
          <w:rStyle w:val="Strong"/>
          <w:sz w:val="20"/>
          <w:szCs w:val="20"/>
        </w:rPr>
        <w:t>7.</w:t>
      </w:r>
      <w:r>
        <w:rPr>
          <w:rStyle w:val="Strong"/>
          <w:sz w:val="14"/>
          <w:szCs w:val="14"/>
        </w:rPr>
        <w:t>  </w:t>
      </w:r>
      <w:r>
        <w:rPr>
          <w:rStyle w:val="Strong"/>
          <w:sz w:val="20"/>
          <w:szCs w:val="20"/>
        </w:rPr>
        <w:t>Market risk</w:t>
      </w:r>
    </w:p>
    <w:p w14:paraId="6593F1C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7B084E9" w14:textId="77777777" w:rsidR="00000000" w:rsidRDefault="00EB4933">
      <w:pPr>
        <w:pStyle w:val="NormalWeb"/>
        <w:spacing w:before="0" w:beforeAutospacing="0" w:after="0" w:afterAutospacing="0"/>
        <w:ind w:left="675"/>
        <w:jc w:val="both"/>
        <w:divId w:val="98525094"/>
        <w:rPr>
          <w:sz w:val="20"/>
          <w:szCs w:val="20"/>
        </w:rPr>
      </w:pPr>
      <w:r>
        <w:rPr>
          <w:sz w:val="20"/>
          <w:szCs w:val="20"/>
        </w:rPr>
        <w:t>The main non-trading risk types are</w:t>
      </w:r>
      <w:r>
        <w:rPr>
          <w:sz w:val="20"/>
          <w:szCs w:val="20"/>
        </w:rPr>
        <w:t xml:space="preserve"> interest rates and credit spreads.</w:t>
      </w:r>
    </w:p>
    <w:p w14:paraId="49E7E25E"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5FE41693" w14:textId="77777777" w:rsidR="00000000" w:rsidRDefault="00EB4933">
      <w:pPr>
        <w:pStyle w:val="NormalWeb"/>
        <w:spacing w:before="0" w:beforeAutospacing="0" w:after="0" w:afterAutospacing="0"/>
        <w:ind w:left="675"/>
        <w:jc w:val="both"/>
        <w:divId w:val="98525094"/>
        <w:rPr>
          <w:sz w:val="20"/>
          <w:szCs w:val="20"/>
        </w:rPr>
      </w:pPr>
      <w:r>
        <w:rPr>
          <w:sz w:val="20"/>
          <w:szCs w:val="20"/>
        </w:rPr>
        <w:t>Interest rate risk may result in of loss from fluctuations in the future cash flows. Interest rate risk is managed principally through monitoring interest rate gaps and basis risk.</w:t>
      </w:r>
    </w:p>
    <w:p w14:paraId="4C42EADB"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3E38AB26" w14:textId="77777777" w:rsidR="00000000" w:rsidRDefault="00EB4933">
      <w:pPr>
        <w:pStyle w:val="NormalWeb"/>
        <w:spacing w:before="0" w:beforeAutospacing="0" w:after="0" w:afterAutospacing="0"/>
        <w:ind w:left="675"/>
        <w:jc w:val="both"/>
        <w:divId w:val="98525094"/>
        <w:rPr>
          <w:sz w:val="20"/>
          <w:szCs w:val="20"/>
        </w:rPr>
      </w:pPr>
      <w:r>
        <w:rPr>
          <w:sz w:val="20"/>
          <w:szCs w:val="20"/>
        </w:rPr>
        <w:t>Credit spreads reflect the credit risk of the loans to customers, i.e. risk that a customer or counterparty will default on its contractual obligations resulting in financial loss to the Group. The Group’s credit risk exposure and the related management pr</w:t>
      </w:r>
      <w:r>
        <w:rPr>
          <w:sz w:val="20"/>
          <w:szCs w:val="20"/>
        </w:rPr>
        <w:t>ocess are described in note 5.</w:t>
      </w:r>
    </w:p>
    <w:p w14:paraId="1F0AB79C"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7932973D" w14:textId="77777777" w:rsidR="00000000" w:rsidRDefault="00EB4933">
      <w:pPr>
        <w:pStyle w:val="NormalWeb"/>
        <w:spacing w:before="0" w:beforeAutospacing="0" w:after="0" w:afterAutospacing="0"/>
        <w:ind w:left="675"/>
        <w:jc w:val="both"/>
        <w:divId w:val="98525094"/>
        <w:rPr>
          <w:sz w:val="20"/>
          <w:szCs w:val="20"/>
        </w:rPr>
      </w:pPr>
      <w:r>
        <w:rPr>
          <w:sz w:val="20"/>
          <w:szCs w:val="20"/>
        </w:rPr>
        <w:t>The following table set out the carrying amount of assets and liabilities subject to market risk:</w:t>
      </w:r>
    </w:p>
    <w:p w14:paraId="24E0E883"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6362"/>
        <w:gridCol w:w="113"/>
        <w:gridCol w:w="113"/>
        <w:gridCol w:w="778"/>
        <w:gridCol w:w="113"/>
        <w:gridCol w:w="113"/>
        <w:gridCol w:w="113"/>
        <w:gridCol w:w="778"/>
        <w:gridCol w:w="128"/>
      </w:tblGrid>
      <w:tr w:rsidR="00000000" w14:paraId="36D2A260" w14:textId="77777777">
        <w:trPr>
          <w:divId w:val="98525094"/>
          <w:trHeight w:val="225"/>
          <w:tblCellSpacing w:w="15" w:type="dxa"/>
        </w:trPr>
        <w:tc>
          <w:tcPr>
            <w:tcW w:w="0" w:type="auto"/>
            <w:vAlign w:val="center"/>
            <w:hideMark/>
          </w:tcPr>
          <w:p w14:paraId="6344AC0D"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C894CF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000000"/>
            </w:tcBorders>
            <w:vAlign w:val="bottom"/>
            <w:hideMark/>
          </w:tcPr>
          <w:p w14:paraId="1A5B265B" w14:textId="77777777" w:rsidR="00000000" w:rsidRDefault="00EB4933">
            <w:pPr>
              <w:pStyle w:val="NormalWeb"/>
              <w:spacing w:before="0" w:beforeAutospacing="0" w:after="0" w:afterAutospacing="0"/>
              <w:jc w:val="center"/>
              <w:rPr>
                <w:sz w:val="20"/>
                <w:szCs w:val="20"/>
              </w:rPr>
            </w:pPr>
            <w:r>
              <w:rPr>
                <w:rStyle w:val="Strong"/>
                <w:sz w:val="20"/>
                <w:szCs w:val="20"/>
              </w:rPr>
              <w:t>As of December 31,</w:t>
            </w:r>
          </w:p>
        </w:tc>
        <w:tc>
          <w:tcPr>
            <w:tcW w:w="0" w:type="auto"/>
            <w:noWrap/>
            <w:vAlign w:val="center"/>
            <w:hideMark/>
          </w:tcPr>
          <w:p w14:paraId="35DB3D7D" w14:textId="77777777" w:rsidR="00000000" w:rsidRDefault="00EB4933">
            <w:pPr>
              <w:pStyle w:val="NormalWeb"/>
              <w:spacing w:before="0" w:beforeAutospacing="0" w:after="0" w:afterAutospacing="0"/>
              <w:rPr>
                <w:sz w:val="20"/>
                <w:szCs w:val="20"/>
              </w:rPr>
            </w:pPr>
            <w:r>
              <w:rPr>
                <w:sz w:val="20"/>
                <w:szCs w:val="20"/>
              </w:rPr>
              <w:t> </w:t>
            </w:r>
          </w:p>
        </w:tc>
      </w:tr>
      <w:tr w:rsidR="00000000" w14:paraId="12E951AB" w14:textId="77777777">
        <w:trPr>
          <w:divId w:val="98525094"/>
          <w:trHeight w:val="225"/>
          <w:tblCellSpacing w:w="15" w:type="dxa"/>
        </w:trPr>
        <w:tc>
          <w:tcPr>
            <w:tcW w:w="0" w:type="auto"/>
            <w:vAlign w:val="center"/>
            <w:hideMark/>
          </w:tcPr>
          <w:p w14:paraId="49AC1F08"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B2F4DC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10C8676D"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vAlign w:val="center"/>
            <w:hideMark/>
          </w:tcPr>
          <w:p w14:paraId="73346BAE"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D13DD0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3E146330"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2F2E0101" w14:textId="77777777" w:rsidR="00000000" w:rsidRDefault="00EB4933">
            <w:pPr>
              <w:pStyle w:val="NormalWeb"/>
              <w:spacing w:before="0" w:beforeAutospacing="0" w:after="0" w:afterAutospacing="0"/>
              <w:rPr>
                <w:sz w:val="20"/>
                <w:szCs w:val="20"/>
              </w:rPr>
            </w:pPr>
            <w:r>
              <w:rPr>
                <w:sz w:val="20"/>
                <w:szCs w:val="20"/>
              </w:rPr>
              <w:t> </w:t>
            </w:r>
          </w:p>
        </w:tc>
      </w:tr>
      <w:tr w:rsidR="00000000" w14:paraId="44A40569" w14:textId="77777777">
        <w:trPr>
          <w:divId w:val="98525094"/>
          <w:trHeight w:val="225"/>
          <w:tblCellSpacing w:w="15" w:type="dxa"/>
        </w:trPr>
        <w:tc>
          <w:tcPr>
            <w:tcW w:w="0" w:type="auto"/>
            <w:vAlign w:val="center"/>
            <w:hideMark/>
          </w:tcPr>
          <w:p w14:paraId="1BEEB97B"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04E6B8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4B806E64"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tcMar>
              <w:top w:w="0" w:type="dxa"/>
              <w:left w:w="0" w:type="dxa"/>
              <w:bottom w:w="15" w:type="dxa"/>
              <w:right w:w="0" w:type="dxa"/>
            </w:tcMar>
            <w:vAlign w:val="center"/>
            <w:hideMark/>
          </w:tcPr>
          <w:p w14:paraId="1917C354"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FAD2E8E"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71DFCA89"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tcMar>
              <w:top w:w="0" w:type="dxa"/>
              <w:left w:w="0" w:type="dxa"/>
              <w:bottom w:w="15" w:type="dxa"/>
              <w:right w:w="0" w:type="dxa"/>
            </w:tcMar>
            <w:vAlign w:val="center"/>
            <w:hideMark/>
          </w:tcPr>
          <w:p w14:paraId="3169D884" w14:textId="77777777" w:rsidR="00000000" w:rsidRDefault="00EB4933">
            <w:pPr>
              <w:pStyle w:val="NormalWeb"/>
              <w:spacing w:before="0" w:beforeAutospacing="0" w:after="0" w:afterAutospacing="0"/>
              <w:rPr>
                <w:sz w:val="20"/>
                <w:szCs w:val="20"/>
              </w:rPr>
            </w:pPr>
            <w:r>
              <w:rPr>
                <w:sz w:val="20"/>
                <w:szCs w:val="20"/>
              </w:rPr>
              <w:t> </w:t>
            </w:r>
          </w:p>
        </w:tc>
      </w:tr>
      <w:tr w:rsidR="00000000" w14:paraId="38E11C15" w14:textId="77777777">
        <w:trPr>
          <w:divId w:val="98525094"/>
          <w:trHeight w:val="225"/>
          <w:tblCellSpacing w:w="15" w:type="dxa"/>
        </w:trPr>
        <w:tc>
          <w:tcPr>
            <w:tcW w:w="0" w:type="auto"/>
            <w:hideMark/>
          </w:tcPr>
          <w:p w14:paraId="63707598" w14:textId="77777777" w:rsidR="00000000" w:rsidRDefault="00EB4933">
            <w:pPr>
              <w:pStyle w:val="NormalWeb"/>
              <w:spacing w:before="0" w:beforeAutospacing="0" w:after="0" w:afterAutospacing="0"/>
              <w:jc w:val="both"/>
              <w:rPr>
                <w:sz w:val="20"/>
                <w:szCs w:val="20"/>
              </w:rPr>
            </w:pPr>
            <w:r>
              <w:rPr>
                <w:rStyle w:val="Strong"/>
                <w:sz w:val="20"/>
                <w:szCs w:val="20"/>
              </w:rPr>
              <w:t>Assets subject to market risk</w:t>
            </w:r>
          </w:p>
        </w:tc>
        <w:tc>
          <w:tcPr>
            <w:tcW w:w="50" w:type="pct"/>
            <w:noWrap/>
            <w:vAlign w:val="center"/>
            <w:hideMark/>
          </w:tcPr>
          <w:p w14:paraId="6C5C29F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26C41D6A"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CA93610"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28BD364"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939530F"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73434F9" w14:textId="77777777" w:rsidR="00000000" w:rsidRDefault="00EB4933">
            <w:pPr>
              <w:pStyle w:val="NormalWeb"/>
              <w:spacing w:before="0" w:beforeAutospacing="0" w:after="0" w:afterAutospacing="0"/>
              <w:rPr>
                <w:sz w:val="20"/>
                <w:szCs w:val="20"/>
              </w:rPr>
            </w:pPr>
            <w:r>
              <w:rPr>
                <w:sz w:val="20"/>
                <w:szCs w:val="20"/>
              </w:rPr>
              <w:t> </w:t>
            </w:r>
          </w:p>
        </w:tc>
      </w:tr>
      <w:tr w:rsidR="00000000" w14:paraId="1E935F6B" w14:textId="77777777">
        <w:trPr>
          <w:divId w:val="98525094"/>
          <w:trHeight w:val="225"/>
          <w:tblCellSpacing w:w="15" w:type="dxa"/>
        </w:trPr>
        <w:tc>
          <w:tcPr>
            <w:tcW w:w="0" w:type="auto"/>
            <w:shd w:val="clear" w:color="auto" w:fill="CCEEFF"/>
            <w:hideMark/>
          </w:tcPr>
          <w:p w14:paraId="2EFF337D" w14:textId="77777777" w:rsidR="00000000" w:rsidRDefault="00EB4933">
            <w:pPr>
              <w:pStyle w:val="NormalWeb"/>
              <w:spacing w:before="0" w:beforeAutospacing="0" w:after="0" w:afterAutospacing="0"/>
              <w:jc w:val="both"/>
              <w:rPr>
                <w:sz w:val="20"/>
                <w:szCs w:val="20"/>
              </w:rPr>
            </w:pPr>
            <w:r>
              <w:rPr>
                <w:sz w:val="20"/>
                <w:szCs w:val="20"/>
              </w:rPr>
              <w:t>Loans receivable</w:t>
            </w:r>
          </w:p>
        </w:tc>
        <w:tc>
          <w:tcPr>
            <w:tcW w:w="50" w:type="pct"/>
            <w:shd w:val="clear" w:color="auto" w:fill="CCEEFF"/>
            <w:noWrap/>
            <w:vAlign w:val="center"/>
            <w:hideMark/>
          </w:tcPr>
          <w:p w14:paraId="0F66FE6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D3B886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FEC5AA3" w14:textId="77777777" w:rsidR="00000000" w:rsidRDefault="00EB4933">
            <w:pPr>
              <w:jc w:val="right"/>
              <w:rPr>
                <w:rFonts w:eastAsia="Times New Roman"/>
                <w:sz w:val="20"/>
                <w:szCs w:val="20"/>
              </w:rPr>
            </w:pPr>
            <w:r>
              <w:rPr>
                <w:rFonts w:eastAsia="Times New Roman"/>
                <w:sz w:val="20"/>
                <w:szCs w:val="20"/>
              </w:rPr>
              <w:t>579,654</w:t>
            </w:r>
          </w:p>
        </w:tc>
        <w:tc>
          <w:tcPr>
            <w:tcW w:w="50" w:type="pct"/>
            <w:shd w:val="clear" w:color="auto" w:fill="CCEEFF"/>
            <w:noWrap/>
            <w:tcMar>
              <w:top w:w="0" w:type="dxa"/>
              <w:left w:w="0" w:type="dxa"/>
              <w:bottom w:w="15" w:type="dxa"/>
              <w:right w:w="0" w:type="dxa"/>
            </w:tcMar>
            <w:vAlign w:val="center"/>
            <w:hideMark/>
          </w:tcPr>
          <w:p w14:paraId="595E183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D42A0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B5D614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868C71E" w14:textId="77777777" w:rsidR="00000000" w:rsidRDefault="00EB4933">
            <w:pPr>
              <w:jc w:val="right"/>
              <w:rPr>
                <w:rFonts w:eastAsia="Times New Roman"/>
                <w:sz w:val="20"/>
                <w:szCs w:val="20"/>
              </w:rPr>
            </w:pPr>
            <w:r>
              <w:rPr>
                <w:rFonts w:eastAsia="Times New Roman"/>
                <w:sz w:val="20"/>
                <w:szCs w:val="20"/>
              </w:rPr>
              <w:t>615,184</w:t>
            </w:r>
          </w:p>
        </w:tc>
        <w:tc>
          <w:tcPr>
            <w:tcW w:w="50" w:type="pct"/>
            <w:shd w:val="clear" w:color="auto" w:fill="CCEEFF"/>
            <w:noWrap/>
            <w:tcMar>
              <w:top w:w="0" w:type="dxa"/>
              <w:left w:w="0" w:type="dxa"/>
              <w:bottom w:w="15" w:type="dxa"/>
              <w:right w:w="0" w:type="dxa"/>
            </w:tcMar>
            <w:vAlign w:val="center"/>
            <w:hideMark/>
          </w:tcPr>
          <w:p w14:paraId="26AB8ED6" w14:textId="77777777" w:rsidR="00000000" w:rsidRDefault="00EB4933">
            <w:pPr>
              <w:pStyle w:val="NormalWeb"/>
              <w:spacing w:before="0" w:beforeAutospacing="0" w:after="0" w:afterAutospacing="0"/>
              <w:rPr>
                <w:sz w:val="20"/>
                <w:szCs w:val="20"/>
              </w:rPr>
            </w:pPr>
            <w:r>
              <w:rPr>
                <w:sz w:val="20"/>
                <w:szCs w:val="20"/>
              </w:rPr>
              <w:t> </w:t>
            </w:r>
          </w:p>
        </w:tc>
      </w:tr>
      <w:tr w:rsidR="00000000" w14:paraId="0E71A55B" w14:textId="77777777">
        <w:trPr>
          <w:divId w:val="98525094"/>
          <w:trHeight w:val="225"/>
          <w:tblCellSpacing w:w="15" w:type="dxa"/>
        </w:trPr>
        <w:tc>
          <w:tcPr>
            <w:tcW w:w="0" w:type="auto"/>
            <w:shd w:val="clear" w:color="auto" w:fill="FFFFFF"/>
            <w:vAlign w:val="center"/>
            <w:hideMark/>
          </w:tcPr>
          <w:p w14:paraId="16C03DC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0EADB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2B4F0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6846C1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332A9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F6795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9AC4C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07B873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FE4389" w14:textId="77777777" w:rsidR="00000000" w:rsidRDefault="00EB4933">
            <w:pPr>
              <w:pStyle w:val="NormalWeb"/>
              <w:spacing w:before="0" w:beforeAutospacing="0" w:after="0" w:afterAutospacing="0"/>
              <w:rPr>
                <w:sz w:val="20"/>
                <w:szCs w:val="20"/>
              </w:rPr>
            </w:pPr>
            <w:r>
              <w:rPr>
                <w:sz w:val="20"/>
                <w:szCs w:val="20"/>
              </w:rPr>
              <w:t> </w:t>
            </w:r>
          </w:p>
        </w:tc>
      </w:tr>
      <w:tr w:rsidR="00000000" w14:paraId="0197BC3F" w14:textId="77777777">
        <w:trPr>
          <w:divId w:val="98525094"/>
          <w:trHeight w:val="225"/>
          <w:tblCellSpacing w:w="15" w:type="dxa"/>
        </w:trPr>
        <w:tc>
          <w:tcPr>
            <w:tcW w:w="0" w:type="auto"/>
            <w:shd w:val="clear" w:color="auto" w:fill="FFFFFF"/>
            <w:hideMark/>
          </w:tcPr>
          <w:p w14:paraId="38E14B95" w14:textId="77777777" w:rsidR="00000000" w:rsidRDefault="00EB4933">
            <w:pPr>
              <w:pStyle w:val="NormalWeb"/>
              <w:spacing w:before="0" w:beforeAutospacing="0" w:after="0" w:afterAutospacing="0"/>
              <w:jc w:val="both"/>
              <w:rPr>
                <w:sz w:val="20"/>
                <w:szCs w:val="20"/>
              </w:rPr>
            </w:pPr>
            <w:r>
              <w:rPr>
                <w:rStyle w:val="Strong"/>
                <w:sz w:val="20"/>
                <w:szCs w:val="20"/>
              </w:rPr>
              <w:t>Liabilities subject to market risk</w:t>
            </w:r>
          </w:p>
        </w:tc>
        <w:tc>
          <w:tcPr>
            <w:tcW w:w="50" w:type="pct"/>
            <w:shd w:val="clear" w:color="auto" w:fill="FFFFFF"/>
            <w:noWrap/>
            <w:vAlign w:val="center"/>
            <w:hideMark/>
          </w:tcPr>
          <w:p w14:paraId="361D5D7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97328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67A943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95427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23E7C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7FDCF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44CCC7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4DD2AA" w14:textId="77777777" w:rsidR="00000000" w:rsidRDefault="00EB4933">
            <w:pPr>
              <w:pStyle w:val="NormalWeb"/>
              <w:spacing w:before="0" w:beforeAutospacing="0" w:after="0" w:afterAutospacing="0"/>
              <w:rPr>
                <w:sz w:val="20"/>
                <w:szCs w:val="20"/>
              </w:rPr>
            </w:pPr>
            <w:r>
              <w:rPr>
                <w:sz w:val="20"/>
                <w:szCs w:val="20"/>
              </w:rPr>
              <w:t> </w:t>
            </w:r>
          </w:p>
        </w:tc>
      </w:tr>
      <w:tr w:rsidR="00000000" w14:paraId="07558D49" w14:textId="77777777">
        <w:trPr>
          <w:divId w:val="98525094"/>
          <w:trHeight w:val="225"/>
          <w:tblCellSpacing w:w="15" w:type="dxa"/>
        </w:trPr>
        <w:tc>
          <w:tcPr>
            <w:tcW w:w="0" w:type="auto"/>
            <w:shd w:val="clear" w:color="auto" w:fill="CCEEFF"/>
            <w:hideMark/>
          </w:tcPr>
          <w:p w14:paraId="351D735C" w14:textId="77777777" w:rsidR="00000000" w:rsidRDefault="00EB4933">
            <w:pPr>
              <w:pStyle w:val="NormalWeb"/>
              <w:spacing w:before="0" w:beforeAutospacing="0" w:after="0" w:afterAutospacing="0"/>
              <w:jc w:val="both"/>
              <w:rPr>
                <w:sz w:val="20"/>
                <w:szCs w:val="20"/>
              </w:rPr>
            </w:pPr>
            <w:r>
              <w:rPr>
                <w:sz w:val="20"/>
                <w:szCs w:val="20"/>
              </w:rPr>
              <w:t>Loans payable</w:t>
            </w:r>
          </w:p>
        </w:tc>
        <w:tc>
          <w:tcPr>
            <w:tcW w:w="50" w:type="pct"/>
            <w:shd w:val="clear" w:color="auto" w:fill="CCEEFF"/>
            <w:noWrap/>
            <w:vAlign w:val="center"/>
            <w:hideMark/>
          </w:tcPr>
          <w:p w14:paraId="45DF6C4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74A060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DD5D9B6" w14:textId="77777777" w:rsidR="00000000" w:rsidRDefault="00EB4933">
            <w:pPr>
              <w:jc w:val="right"/>
              <w:rPr>
                <w:rFonts w:eastAsia="Times New Roman"/>
                <w:sz w:val="20"/>
                <w:szCs w:val="20"/>
              </w:rPr>
            </w:pPr>
            <w:r>
              <w:rPr>
                <w:rFonts w:eastAsia="Times New Roman"/>
                <w:sz w:val="20"/>
                <w:szCs w:val="20"/>
              </w:rPr>
              <w:t>200,417</w:t>
            </w:r>
          </w:p>
        </w:tc>
        <w:tc>
          <w:tcPr>
            <w:tcW w:w="50" w:type="pct"/>
            <w:shd w:val="clear" w:color="auto" w:fill="CCEEFF"/>
            <w:noWrap/>
            <w:tcMar>
              <w:top w:w="0" w:type="dxa"/>
              <w:left w:w="0" w:type="dxa"/>
              <w:bottom w:w="15" w:type="dxa"/>
              <w:right w:w="0" w:type="dxa"/>
            </w:tcMar>
            <w:vAlign w:val="center"/>
            <w:hideMark/>
          </w:tcPr>
          <w:p w14:paraId="700E0A8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B7076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9A4E2E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5A16687" w14:textId="77777777" w:rsidR="00000000" w:rsidRDefault="00EB4933">
            <w:pPr>
              <w:jc w:val="right"/>
              <w:rPr>
                <w:rFonts w:eastAsia="Times New Roman"/>
                <w:sz w:val="20"/>
                <w:szCs w:val="20"/>
              </w:rPr>
            </w:pPr>
            <w:r>
              <w:rPr>
                <w:rFonts w:eastAsia="Times New Roman"/>
                <w:sz w:val="20"/>
                <w:szCs w:val="20"/>
              </w:rPr>
              <w:t>172,891</w:t>
            </w:r>
          </w:p>
        </w:tc>
        <w:tc>
          <w:tcPr>
            <w:tcW w:w="50" w:type="pct"/>
            <w:shd w:val="clear" w:color="auto" w:fill="CCEEFF"/>
            <w:noWrap/>
            <w:tcMar>
              <w:top w:w="0" w:type="dxa"/>
              <w:left w:w="0" w:type="dxa"/>
              <w:bottom w:w="15" w:type="dxa"/>
              <w:right w:w="0" w:type="dxa"/>
            </w:tcMar>
            <w:vAlign w:val="center"/>
            <w:hideMark/>
          </w:tcPr>
          <w:p w14:paraId="1BE6FBC6" w14:textId="77777777" w:rsidR="00000000" w:rsidRDefault="00EB4933">
            <w:pPr>
              <w:pStyle w:val="NormalWeb"/>
              <w:spacing w:before="0" w:beforeAutospacing="0" w:after="0" w:afterAutospacing="0"/>
              <w:rPr>
                <w:sz w:val="20"/>
                <w:szCs w:val="20"/>
              </w:rPr>
            </w:pPr>
            <w:r>
              <w:rPr>
                <w:sz w:val="20"/>
                <w:szCs w:val="20"/>
              </w:rPr>
              <w:t> </w:t>
            </w:r>
          </w:p>
        </w:tc>
      </w:tr>
    </w:tbl>
    <w:p w14:paraId="7819DF6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39BF02C" w14:textId="77777777" w:rsidR="00000000" w:rsidRDefault="00EB4933">
      <w:pPr>
        <w:pStyle w:val="NormalWeb"/>
        <w:spacing w:before="0" w:beforeAutospacing="0" w:after="0" w:afterAutospacing="0"/>
        <w:ind w:left="675"/>
        <w:jc w:val="both"/>
        <w:divId w:val="98525094"/>
        <w:rPr>
          <w:sz w:val="20"/>
          <w:szCs w:val="20"/>
        </w:rPr>
      </w:pPr>
      <w:r>
        <w:rPr>
          <w:sz w:val="20"/>
          <w:szCs w:val="20"/>
        </w:rPr>
        <w:t>There has been no change to the manner in which the Group manages and measures it’s market exposure in the current year.</w:t>
      </w:r>
    </w:p>
    <w:p w14:paraId="605990BD"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D641378" w14:textId="77777777">
        <w:trPr>
          <w:divId w:val="98525094"/>
          <w:trHeight w:val="225"/>
          <w:tblCellSpacing w:w="15" w:type="dxa"/>
        </w:trPr>
        <w:tc>
          <w:tcPr>
            <w:tcW w:w="0" w:type="auto"/>
            <w:vAlign w:val="center"/>
            <w:hideMark/>
          </w:tcPr>
          <w:p w14:paraId="67128ACF" w14:textId="77777777" w:rsidR="00000000" w:rsidRDefault="00EB4933">
            <w:pPr>
              <w:rPr>
                <w:rFonts w:eastAsia="Times New Roman"/>
                <w:sz w:val="20"/>
                <w:szCs w:val="20"/>
              </w:rPr>
            </w:pPr>
            <w:r>
              <w:rPr>
                <w:rFonts w:eastAsia="Times New Roman"/>
                <w:sz w:val="20"/>
                <w:szCs w:val="20"/>
              </w:rPr>
              <w:t> </w:t>
            </w:r>
          </w:p>
        </w:tc>
      </w:tr>
      <w:tr w:rsidR="00000000" w14:paraId="5E3D80D4" w14:textId="77777777">
        <w:trPr>
          <w:divId w:val="98525094"/>
          <w:trHeight w:val="225"/>
          <w:tblCellSpacing w:w="15" w:type="dxa"/>
        </w:trPr>
        <w:tc>
          <w:tcPr>
            <w:tcW w:w="0" w:type="auto"/>
            <w:tcBorders>
              <w:bottom w:val="single" w:sz="6" w:space="0" w:color="000000"/>
            </w:tcBorders>
            <w:vAlign w:val="center"/>
            <w:hideMark/>
          </w:tcPr>
          <w:p w14:paraId="134BCE7E" w14:textId="77777777" w:rsidR="00000000" w:rsidRDefault="00EB4933">
            <w:pPr>
              <w:jc w:val="center"/>
              <w:rPr>
                <w:rFonts w:eastAsia="Times New Roman"/>
                <w:sz w:val="20"/>
                <w:szCs w:val="20"/>
              </w:rPr>
            </w:pPr>
            <w:r>
              <w:rPr>
                <w:rFonts w:eastAsia="Times New Roman"/>
                <w:sz w:val="20"/>
                <w:szCs w:val="20"/>
              </w:rPr>
              <w:t>F-46</w:t>
            </w:r>
          </w:p>
        </w:tc>
      </w:tr>
      <w:tr w:rsidR="00000000" w14:paraId="003322A4" w14:textId="77777777">
        <w:trPr>
          <w:divId w:val="98525094"/>
          <w:trHeight w:val="225"/>
          <w:tblCellSpacing w:w="15" w:type="dxa"/>
        </w:trPr>
        <w:tc>
          <w:tcPr>
            <w:tcW w:w="0" w:type="auto"/>
            <w:vAlign w:val="center"/>
            <w:hideMark/>
          </w:tcPr>
          <w:p w14:paraId="788422AC" w14:textId="77777777" w:rsidR="00000000" w:rsidRDefault="00EB4933">
            <w:pPr>
              <w:rPr>
                <w:rFonts w:eastAsia="Times New Roman"/>
                <w:sz w:val="20"/>
                <w:szCs w:val="20"/>
              </w:rPr>
            </w:pPr>
          </w:p>
        </w:tc>
      </w:tr>
      <w:tr w:rsidR="00000000" w14:paraId="4394C817" w14:textId="77777777">
        <w:trPr>
          <w:divId w:val="98525094"/>
          <w:trHeight w:val="225"/>
          <w:tblCellSpacing w:w="15" w:type="dxa"/>
        </w:trPr>
        <w:tc>
          <w:tcPr>
            <w:tcW w:w="0" w:type="auto"/>
            <w:vAlign w:val="center"/>
            <w:hideMark/>
          </w:tcPr>
          <w:p w14:paraId="44C48E52" w14:textId="77777777" w:rsidR="00000000" w:rsidRDefault="00EB4933">
            <w:pPr>
              <w:rPr>
                <w:rFonts w:eastAsia="Times New Roman"/>
                <w:sz w:val="20"/>
                <w:szCs w:val="20"/>
              </w:rPr>
            </w:pPr>
            <w:hyperlink r:id="rId263" w:anchor="finindex" w:history="1">
              <w:r>
                <w:rPr>
                  <w:rStyle w:val="Hyperlink"/>
                  <w:rFonts w:eastAsia="Times New Roman"/>
                  <w:i/>
                  <w:iCs/>
                  <w:sz w:val="20"/>
                  <w:szCs w:val="20"/>
                </w:rPr>
                <w:t>Table of Contents</w:t>
              </w:r>
            </w:hyperlink>
          </w:p>
        </w:tc>
      </w:tr>
    </w:tbl>
    <w:p w14:paraId="3DCCFC9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C02E559"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162585E4"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388E275D"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4088E2B7"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p w14:paraId="5E6E6EB4" w14:textId="77777777" w:rsidR="00000000" w:rsidRDefault="00EB4933">
      <w:pPr>
        <w:pStyle w:val="NormalWeb"/>
        <w:spacing w:before="0" w:beforeAutospacing="0" w:after="0" w:afterAutospacing="0"/>
        <w:jc w:val="both"/>
        <w:divId w:val="98525094"/>
        <w:rPr>
          <w:sz w:val="20"/>
          <w:szCs w:val="20"/>
        </w:rPr>
      </w:pPr>
      <w:r>
        <w:rPr>
          <w:rStyle w:val="Strong"/>
          <w:sz w:val="20"/>
          <w:szCs w:val="20"/>
        </w:rPr>
        <w:t>8.</w:t>
      </w:r>
      <w:r>
        <w:rPr>
          <w:rStyle w:val="Strong"/>
          <w:sz w:val="14"/>
          <w:szCs w:val="14"/>
        </w:rPr>
        <w:t>  </w:t>
      </w:r>
      <w:r>
        <w:rPr>
          <w:rStyle w:val="Strong"/>
          <w:sz w:val="20"/>
          <w:szCs w:val="20"/>
        </w:rPr>
        <w:t>Capital risk</w:t>
      </w:r>
    </w:p>
    <w:p w14:paraId="4D99E2A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3982244" w14:textId="77777777" w:rsidR="00000000" w:rsidRDefault="00EB4933">
      <w:pPr>
        <w:pStyle w:val="NormalWeb"/>
        <w:spacing w:before="0" w:beforeAutospacing="0" w:after="0" w:afterAutospacing="0"/>
        <w:ind w:left="675"/>
        <w:jc w:val="both"/>
        <w:divId w:val="98525094"/>
        <w:rPr>
          <w:sz w:val="20"/>
          <w:szCs w:val="20"/>
        </w:rPr>
      </w:pPr>
      <w:r>
        <w:rPr>
          <w:sz w:val="20"/>
          <w:szCs w:val="20"/>
        </w:rPr>
        <w:t>As of December 31, 2019, there is no administrative regulatory authority for the microfinance industry at</w:t>
      </w:r>
      <w:r>
        <w:rPr>
          <w:sz w:val="20"/>
          <w:szCs w:val="20"/>
        </w:rPr>
        <w:t xml:space="preserve"> the national level. According to the Guiding Opinions on the Pilot Operation of Microfinance Companies, jointly issued by the CBRC and the PBOC on May 4, 2008, any provincial government that is able to assign a department, financial office or other simila</w:t>
      </w:r>
      <w:r>
        <w:rPr>
          <w:sz w:val="20"/>
          <w:szCs w:val="20"/>
        </w:rPr>
        <w:t>r authority to take charge of the supervision and administration of microfinance companies and is willing to assume the responsibility of risk management of microfinance companies may formulate pilot rules and measures in relation to the incorporation of s</w:t>
      </w:r>
      <w:r>
        <w:rPr>
          <w:sz w:val="20"/>
          <w:szCs w:val="20"/>
        </w:rPr>
        <w:t>uch companies within the province, autonomous region or municipalities directly under the PRC government. Therefore, the microfinance industry in the PRC is primarily regulated by the financial offices and other similar authorities of the provincial govern</w:t>
      </w:r>
      <w:r>
        <w:rPr>
          <w:sz w:val="20"/>
          <w:szCs w:val="20"/>
        </w:rPr>
        <w:t>ments of the relevant provinces.</w:t>
      </w:r>
    </w:p>
    <w:p w14:paraId="1E675423"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7D13767D" w14:textId="77777777" w:rsidR="00000000" w:rsidRDefault="00EB4933">
      <w:pPr>
        <w:pStyle w:val="NormalWeb"/>
        <w:spacing w:before="0" w:beforeAutospacing="0" w:after="0" w:afterAutospacing="0"/>
        <w:ind w:left="675"/>
        <w:jc w:val="both"/>
        <w:divId w:val="98525094"/>
        <w:rPr>
          <w:sz w:val="20"/>
          <w:szCs w:val="20"/>
        </w:rPr>
      </w:pPr>
      <w:r>
        <w:rPr>
          <w:sz w:val="20"/>
          <w:szCs w:val="20"/>
        </w:rPr>
        <w:t xml:space="preserve">In Hubei Province, the Microfinance Work Joint Session and its office are the regulatory authorities for microfinance companies in Hubei Province. Pursuant to the </w:t>
      </w:r>
      <w:r>
        <w:rPr>
          <w:rStyle w:val="Emphasis"/>
          <w:sz w:val="20"/>
          <w:szCs w:val="20"/>
        </w:rPr>
        <w:t>Measures for Administration of Pilot Scheme on Microfinance Companies in Hubei Province</w:t>
      </w:r>
      <w:r>
        <w:rPr>
          <w:sz w:val="20"/>
          <w:szCs w:val="20"/>
        </w:rPr>
        <w:t xml:space="preserve"> issue</w:t>
      </w:r>
      <w:r>
        <w:rPr>
          <w:sz w:val="20"/>
          <w:szCs w:val="20"/>
        </w:rPr>
        <w:t>d on May 13, 2009, the Microfinance Work Joint Session is responsible for the organization, coordination, administration, supervision, regulation, and the promotion of the pilot work of microfinance companies. The Microfinance Work Joint Session consists o</w:t>
      </w:r>
      <w:r>
        <w:rPr>
          <w:sz w:val="20"/>
          <w:szCs w:val="20"/>
        </w:rPr>
        <w:t>f the Financial Office of the Hubei Province People’s Government, Hubei Province Administration for Industry and Commerce, Hubei Bureaus of the CBRC, Hubei Branch of the PBOC and the Public Security of Hubei Province.</w:t>
      </w:r>
    </w:p>
    <w:p w14:paraId="6EB586F4"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45072E0F" w14:textId="77777777" w:rsidR="00000000" w:rsidRDefault="00EB4933">
      <w:pPr>
        <w:pStyle w:val="NormalWeb"/>
        <w:spacing w:before="0" w:beforeAutospacing="0" w:after="0" w:afterAutospacing="0"/>
        <w:ind w:left="675"/>
        <w:jc w:val="both"/>
        <w:divId w:val="98525094"/>
        <w:rPr>
          <w:sz w:val="20"/>
          <w:szCs w:val="20"/>
        </w:rPr>
      </w:pPr>
      <w:r>
        <w:rPr>
          <w:sz w:val="20"/>
          <w:szCs w:val="20"/>
        </w:rPr>
        <w:t>On February 6, 2013, the Group’s var</w:t>
      </w:r>
      <w:r>
        <w:rPr>
          <w:sz w:val="20"/>
          <w:szCs w:val="20"/>
        </w:rPr>
        <w:t>iable interest entity, Hubei Chutian Microfinance Co., Ltd (“VIE”), was issued an Official Reply (E Jin Ban Fa No. [2013]14) by the Financial Office of People’s Government of Hubei, which approved VIE under the pilot program as a microfinance company, as p</w:t>
      </w:r>
      <w:r>
        <w:rPr>
          <w:sz w:val="20"/>
          <w:szCs w:val="20"/>
        </w:rPr>
        <w:t>roposed by the Wuchang People’s Government.</w:t>
      </w:r>
    </w:p>
    <w:p w14:paraId="3F7ED32F"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7F7894D3" w14:textId="77777777" w:rsidR="00000000" w:rsidRDefault="00EB4933">
      <w:pPr>
        <w:pStyle w:val="NormalWeb"/>
        <w:spacing w:before="0" w:beforeAutospacing="0" w:after="0" w:afterAutospacing="0"/>
        <w:ind w:left="675"/>
        <w:jc w:val="both"/>
        <w:divId w:val="98525094"/>
        <w:rPr>
          <w:sz w:val="20"/>
          <w:szCs w:val="20"/>
        </w:rPr>
      </w:pPr>
      <w:r>
        <w:rPr>
          <w:sz w:val="20"/>
          <w:szCs w:val="20"/>
        </w:rPr>
        <w:t xml:space="preserve">According to the relevant laws and regulations applicable in the Hubei Province, the capital requirement for the microfinance industry is that the registered capital shall not be less than RMB50 million. As of </w:t>
      </w:r>
      <w:r>
        <w:rPr>
          <w:sz w:val="20"/>
          <w:szCs w:val="20"/>
        </w:rPr>
        <w:t>December 31, 2019, the registered capital of the VIE was RMB450 million. There is no other capital requirement from the regulatory authority.</w:t>
      </w:r>
    </w:p>
    <w:p w14:paraId="4FF2724A"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330EF2B" w14:textId="77777777">
        <w:trPr>
          <w:divId w:val="98525094"/>
          <w:trHeight w:val="225"/>
          <w:tblCellSpacing w:w="15" w:type="dxa"/>
        </w:trPr>
        <w:tc>
          <w:tcPr>
            <w:tcW w:w="0" w:type="auto"/>
            <w:vAlign w:val="center"/>
            <w:hideMark/>
          </w:tcPr>
          <w:p w14:paraId="231762AB" w14:textId="77777777" w:rsidR="00000000" w:rsidRDefault="00EB4933">
            <w:pPr>
              <w:rPr>
                <w:rFonts w:eastAsia="Times New Roman"/>
                <w:sz w:val="20"/>
                <w:szCs w:val="20"/>
              </w:rPr>
            </w:pPr>
            <w:r>
              <w:rPr>
                <w:rFonts w:eastAsia="Times New Roman"/>
                <w:sz w:val="20"/>
                <w:szCs w:val="20"/>
              </w:rPr>
              <w:t> </w:t>
            </w:r>
          </w:p>
        </w:tc>
      </w:tr>
      <w:tr w:rsidR="00000000" w14:paraId="1496BEB6" w14:textId="77777777">
        <w:trPr>
          <w:divId w:val="98525094"/>
          <w:trHeight w:val="225"/>
          <w:tblCellSpacing w:w="15" w:type="dxa"/>
        </w:trPr>
        <w:tc>
          <w:tcPr>
            <w:tcW w:w="0" w:type="auto"/>
            <w:tcBorders>
              <w:bottom w:val="single" w:sz="6" w:space="0" w:color="000000"/>
            </w:tcBorders>
            <w:vAlign w:val="center"/>
            <w:hideMark/>
          </w:tcPr>
          <w:p w14:paraId="1754358A" w14:textId="77777777" w:rsidR="00000000" w:rsidRDefault="00EB4933">
            <w:pPr>
              <w:jc w:val="center"/>
              <w:rPr>
                <w:rFonts w:eastAsia="Times New Roman"/>
                <w:sz w:val="20"/>
                <w:szCs w:val="20"/>
              </w:rPr>
            </w:pPr>
            <w:r>
              <w:rPr>
                <w:rFonts w:eastAsia="Times New Roman"/>
                <w:sz w:val="20"/>
                <w:szCs w:val="20"/>
              </w:rPr>
              <w:t>F-47</w:t>
            </w:r>
          </w:p>
        </w:tc>
      </w:tr>
      <w:tr w:rsidR="00000000" w14:paraId="1DB0825C" w14:textId="77777777">
        <w:trPr>
          <w:divId w:val="98525094"/>
          <w:trHeight w:val="225"/>
          <w:tblCellSpacing w:w="15" w:type="dxa"/>
        </w:trPr>
        <w:tc>
          <w:tcPr>
            <w:tcW w:w="0" w:type="auto"/>
            <w:vAlign w:val="center"/>
            <w:hideMark/>
          </w:tcPr>
          <w:p w14:paraId="761EFBD8" w14:textId="77777777" w:rsidR="00000000" w:rsidRDefault="00EB4933">
            <w:pPr>
              <w:rPr>
                <w:rFonts w:eastAsia="Times New Roman"/>
                <w:sz w:val="20"/>
                <w:szCs w:val="20"/>
              </w:rPr>
            </w:pPr>
          </w:p>
        </w:tc>
      </w:tr>
      <w:tr w:rsidR="00000000" w14:paraId="01D74F6F" w14:textId="77777777">
        <w:trPr>
          <w:divId w:val="98525094"/>
          <w:trHeight w:val="225"/>
          <w:tblCellSpacing w:w="15" w:type="dxa"/>
        </w:trPr>
        <w:tc>
          <w:tcPr>
            <w:tcW w:w="0" w:type="auto"/>
            <w:vAlign w:val="center"/>
            <w:hideMark/>
          </w:tcPr>
          <w:p w14:paraId="1785C4B0" w14:textId="77777777" w:rsidR="00000000" w:rsidRDefault="00EB4933">
            <w:pPr>
              <w:rPr>
                <w:rFonts w:eastAsia="Times New Roman"/>
                <w:sz w:val="20"/>
                <w:szCs w:val="20"/>
              </w:rPr>
            </w:pPr>
            <w:hyperlink r:id="rId264" w:anchor="finindex" w:history="1">
              <w:r>
                <w:rPr>
                  <w:rStyle w:val="Hyperlink"/>
                  <w:rFonts w:eastAsia="Times New Roman"/>
                  <w:i/>
                  <w:iCs/>
                  <w:sz w:val="20"/>
                  <w:szCs w:val="20"/>
                </w:rPr>
                <w:t>Table of Contents</w:t>
              </w:r>
            </w:hyperlink>
          </w:p>
        </w:tc>
      </w:tr>
    </w:tbl>
    <w:p w14:paraId="3C0F115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9192368"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44700D5F"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19BDBF05"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1F55DD9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C21A060" w14:textId="77777777" w:rsidR="00000000" w:rsidRDefault="00EB4933">
      <w:pPr>
        <w:pStyle w:val="NormalWeb"/>
        <w:spacing w:before="0" w:beforeAutospacing="0" w:after="0" w:afterAutospacing="0"/>
        <w:jc w:val="both"/>
        <w:divId w:val="98525094"/>
        <w:rPr>
          <w:sz w:val="20"/>
          <w:szCs w:val="20"/>
        </w:rPr>
      </w:pPr>
      <w:r>
        <w:rPr>
          <w:rStyle w:val="Strong"/>
          <w:sz w:val="20"/>
          <w:szCs w:val="20"/>
        </w:rPr>
        <w:t>9.</w:t>
      </w:r>
      <w:r>
        <w:rPr>
          <w:rStyle w:val="Strong"/>
          <w:sz w:val="14"/>
          <w:szCs w:val="14"/>
        </w:rPr>
        <w:t> </w:t>
      </w:r>
      <w:r>
        <w:rPr>
          <w:rStyle w:val="Strong"/>
          <w:sz w:val="20"/>
          <w:szCs w:val="20"/>
        </w:rPr>
        <w:t>Fair value of financial assets and liabilities</w:t>
      </w:r>
    </w:p>
    <w:p w14:paraId="71124C2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60066BB" w14:textId="77777777" w:rsidR="00000000" w:rsidRDefault="00EB4933">
      <w:pPr>
        <w:pStyle w:val="NormalWeb"/>
        <w:spacing w:before="0" w:beforeAutospacing="0" w:after="0" w:afterAutospacing="0"/>
        <w:ind w:left="675"/>
        <w:jc w:val="both"/>
        <w:divId w:val="98525094"/>
        <w:rPr>
          <w:sz w:val="20"/>
          <w:szCs w:val="20"/>
        </w:rPr>
      </w:pPr>
      <w:r>
        <w:rPr>
          <w:sz w:val="20"/>
          <w:szCs w:val="20"/>
        </w:rPr>
        <w:t>The Group’s financial instruments consist of non-derivative financial assets and liabilities. The fair val</w:t>
      </w:r>
      <w:r>
        <w:rPr>
          <w:sz w:val="20"/>
          <w:szCs w:val="20"/>
        </w:rPr>
        <w:t>ue of these non-derivative financial instruments is determined using internally generated valuation models, which are usually developed from generally accepted valuation models. The majority of the significant inputs into these models may not be observable</w:t>
      </w:r>
      <w:r>
        <w:rPr>
          <w:sz w:val="20"/>
          <w:szCs w:val="20"/>
        </w:rPr>
        <w:t xml:space="preserve"> in the market, and may be derived from interest rates based on assumptions. The selection of the appropriate valuation model, as well as the determination of key inputs used such as the expected future cash flows on the financial instrument, the probabili</w:t>
      </w:r>
      <w:r>
        <w:rPr>
          <w:sz w:val="20"/>
          <w:szCs w:val="20"/>
        </w:rPr>
        <w:t>ty of counterparty default and the appropriate discount rate to be used, require management judgment and estimation.</w:t>
      </w:r>
    </w:p>
    <w:p w14:paraId="387209CC"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6362"/>
        <w:gridCol w:w="113"/>
        <w:gridCol w:w="113"/>
        <w:gridCol w:w="778"/>
        <w:gridCol w:w="113"/>
        <w:gridCol w:w="113"/>
        <w:gridCol w:w="113"/>
        <w:gridCol w:w="778"/>
        <w:gridCol w:w="128"/>
      </w:tblGrid>
      <w:tr w:rsidR="00000000" w14:paraId="716C3C51" w14:textId="77777777">
        <w:trPr>
          <w:divId w:val="98525094"/>
          <w:trHeight w:val="225"/>
          <w:tblCellSpacing w:w="15" w:type="dxa"/>
        </w:trPr>
        <w:tc>
          <w:tcPr>
            <w:tcW w:w="0" w:type="auto"/>
            <w:vAlign w:val="center"/>
            <w:hideMark/>
          </w:tcPr>
          <w:p w14:paraId="09EEA63D"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36C1E7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000000"/>
            </w:tcBorders>
            <w:vAlign w:val="bottom"/>
            <w:hideMark/>
          </w:tcPr>
          <w:p w14:paraId="05D8BC4E" w14:textId="77777777" w:rsidR="00000000" w:rsidRDefault="00EB4933">
            <w:pPr>
              <w:pStyle w:val="NormalWeb"/>
              <w:spacing w:before="0" w:beforeAutospacing="0" w:after="0" w:afterAutospacing="0"/>
              <w:jc w:val="center"/>
              <w:rPr>
                <w:sz w:val="20"/>
                <w:szCs w:val="20"/>
              </w:rPr>
            </w:pPr>
            <w:r>
              <w:rPr>
                <w:rStyle w:val="Strong"/>
                <w:sz w:val="20"/>
                <w:szCs w:val="20"/>
              </w:rPr>
              <w:t>As of December 31, 2019</w:t>
            </w:r>
          </w:p>
        </w:tc>
        <w:tc>
          <w:tcPr>
            <w:tcW w:w="0" w:type="auto"/>
            <w:noWrap/>
            <w:vAlign w:val="center"/>
            <w:hideMark/>
          </w:tcPr>
          <w:p w14:paraId="66BCBB59" w14:textId="77777777" w:rsidR="00000000" w:rsidRDefault="00EB4933">
            <w:pPr>
              <w:pStyle w:val="NormalWeb"/>
              <w:spacing w:before="0" w:beforeAutospacing="0" w:after="0" w:afterAutospacing="0"/>
              <w:rPr>
                <w:sz w:val="20"/>
                <w:szCs w:val="20"/>
              </w:rPr>
            </w:pPr>
            <w:r>
              <w:rPr>
                <w:sz w:val="20"/>
                <w:szCs w:val="20"/>
              </w:rPr>
              <w:t> </w:t>
            </w:r>
          </w:p>
        </w:tc>
      </w:tr>
      <w:tr w:rsidR="00000000" w14:paraId="2318DCF1" w14:textId="77777777">
        <w:trPr>
          <w:divId w:val="98525094"/>
          <w:trHeight w:val="225"/>
          <w:tblCellSpacing w:w="15" w:type="dxa"/>
        </w:trPr>
        <w:tc>
          <w:tcPr>
            <w:tcW w:w="0" w:type="auto"/>
            <w:vAlign w:val="center"/>
            <w:hideMark/>
          </w:tcPr>
          <w:p w14:paraId="6052DA5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58F69F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49E0F635" w14:textId="77777777" w:rsidR="00000000" w:rsidRDefault="00EB4933">
            <w:pPr>
              <w:pStyle w:val="NormalWeb"/>
              <w:spacing w:before="0" w:beforeAutospacing="0" w:after="0" w:afterAutospacing="0"/>
              <w:jc w:val="center"/>
              <w:rPr>
                <w:sz w:val="20"/>
                <w:szCs w:val="20"/>
              </w:rPr>
            </w:pPr>
            <w:r>
              <w:rPr>
                <w:rStyle w:val="Strong"/>
                <w:sz w:val="20"/>
                <w:szCs w:val="20"/>
              </w:rPr>
              <w:t xml:space="preserve">Fair </w:t>
            </w:r>
          </w:p>
          <w:p w14:paraId="5652220C" w14:textId="77777777" w:rsidR="00000000" w:rsidRDefault="00EB4933">
            <w:pPr>
              <w:pStyle w:val="NormalWeb"/>
              <w:spacing w:before="0" w:beforeAutospacing="0" w:after="0" w:afterAutospacing="0"/>
              <w:jc w:val="center"/>
              <w:rPr>
                <w:sz w:val="20"/>
                <w:szCs w:val="20"/>
              </w:rPr>
            </w:pPr>
            <w:r>
              <w:rPr>
                <w:rStyle w:val="Strong"/>
                <w:sz w:val="20"/>
                <w:szCs w:val="20"/>
              </w:rPr>
              <w:t>value</w:t>
            </w:r>
          </w:p>
        </w:tc>
        <w:tc>
          <w:tcPr>
            <w:tcW w:w="0" w:type="auto"/>
            <w:noWrap/>
            <w:vAlign w:val="center"/>
            <w:hideMark/>
          </w:tcPr>
          <w:p w14:paraId="27F11B8D"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7BAA6FE"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7EA55601" w14:textId="77777777" w:rsidR="00000000" w:rsidRDefault="00EB4933">
            <w:pPr>
              <w:pStyle w:val="NormalWeb"/>
              <w:spacing w:before="0" w:beforeAutospacing="0" w:after="0" w:afterAutospacing="0"/>
              <w:jc w:val="center"/>
              <w:rPr>
                <w:sz w:val="20"/>
                <w:szCs w:val="20"/>
              </w:rPr>
            </w:pPr>
            <w:r>
              <w:rPr>
                <w:rStyle w:val="Strong"/>
                <w:sz w:val="20"/>
                <w:szCs w:val="20"/>
              </w:rPr>
              <w:t xml:space="preserve">Carrying </w:t>
            </w:r>
          </w:p>
          <w:p w14:paraId="27E16E9C" w14:textId="77777777" w:rsidR="00000000" w:rsidRDefault="00EB4933">
            <w:pPr>
              <w:pStyle w:val="NormalWeb"/>
              <w:spacing w:before="0" w:beforeAutospacing="0" w:after="0" w:afterAutospacing="0"/>
              <w:jc w:val="center"/>
              <w:rPr>
                <w:sz w:val="20"/>
                <w:szCs w:val="20"/>
              </w:rPr>
            </w:pPr>
            <w:r>
              <w:rPr>
                <w:rStyle w:val="Strong"/>
                <w:sz w:val="20"/>
                <w:szCs w:val="20"/>
              </w:rPr>
              <w:t>Amount</w:t>
            </w:r>
          </w:p>
        </w:tc>
        <w:tc>
          <w:tcPr>
            <w:tcW w:w="0" w:type="auto"/>
            <w:noWrap/>
            <w:vAlign w:val="center"/>
            <w:hideMark/>
          </w:tcPr>
          <w:p w14:paraId="0E5D0F19" w14:textId="77777777" w:rsidR="00000000" w:rsidRDefault="00EB4933">
            <w:pPr>
              <w:pStyle w:val="NormalWeb"/>
              <w:spacing w:before="0" w:beforeAutospacing="0" w:after="0" w:afterAutospacing="0"/>
              <w:rPr>
                <w:sz w:val="20"/>
                <w:szCs w:val="20"/>
              </w:rPr>
            </w:pPr>
            <w:r>
              <w:rPr>
                <w:sz w:val="20"/>
                <w:szCs w:val="20"/>
              </w:rPr>
              <w:t> </w:t>
            </w:r>
          </w:p>
        </w:tc>
      </w:tr>
      <w:tr w:rsidR="00000000" w14:paraId="3065505A" w14:textId="77777777">
        <w:trPr>
          <w:divId w:val="98525094"/>
          <w:trHeight w:val="225"/>
          <w:tblCellSpacing w:w="15" w:type="dxa"/>
        </w:trPr>
        <w:tc>
          <w:tcPr>
            <w:tcW w:w="0" w:type="auto"/>
            <w:vAlign w:val="center"/>
            <w:hideMark/>
          </w:tcPr>
          <w:p w14:paraId="0BE0DF7F" w14:textId="77777777" w:rsidR="00000000" w:rsidRDefault="00EB4933">
            <w:pPr>
              <w:pStyle w:val="NormalWeb"/>
              <w:spacing w:before="0" w:beforeAutospacing="0" w:after="0" w:afterAutospacing="0"/>
              <w:rPr>
                <w:sz w:val="20"/>
                <w:szCs w:val="20"/>
              </w:rPr>
            </w:pPr>
            <w:r>
              <w:rPr>
                <w:sz w:val="20"/>
                <w:szCs w:val="20"/>
              </w:rPr>
              <w:lastRenderedPageBreak/>
              <w:t> </w:t>
            </w:r>
          </w:p>
        </w:tc>
        <w:tc>
          <w:tcPr>
            <w:tcW w:w="0" w:type="auto"/>
            <w:noWrap/>
            <w:vAlign w:val="center"/>
            <w:hideMark/>
          </w:tcPr>
          <w:p w14:paraId="4CEACBB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66966813"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33238203"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43F702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40BE5173"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60477521" w14:textId="77777777" w:rsidR="00000000" w:rsidRDefault="00EB4933">
            <w:pPr>
              <w:pStyle w:val="NormalWeb"/>
              <w:spacing w:before="0" w:beforeAutospacing="0" w:after="0" w:afterAutospacing="0"/>
              <w:rPr>
                <w:sz w:val="20"/>
                <w:szCs w:val="20"/>
              </w:rPr>
            </w:pPr>
            <w:r>
              <w:rPr>
                <w:sz w:val="20"/>
                <w:szCs w:val="20"/>
              </w:rPr>
              <w:t> </w:t>
            </w:r>
          </w:p>
        </w:tc>
      </w:tr>
      <w:tr w:rsidR="00000000" w14:paraId="330CF277" w14:textId="77777777">
        <w:trPr>
          <w:divId w:val="98525094"/>
          <w:trHeight w:val="225"/>
          <w:tblCellSpacing w:w="15" w:type="dxa"/>
        </w:trPr>
        <w:tc>
          <w:tcPr>
            <w:tcW w:w="0" w:type="auto"/>
            <w:vAlign w:val="center"/>
            <w:hideMark/>
          </w:tcPr>
          <w:p w14:paraId="39C84C9C"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42FD430"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49EC1545"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0F8DE1F"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66E0DD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27171036"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AD5B1A6" w14:textId="77777777" w:rsidR="00000000" w:rsidRDefault="00EB4933">
            <w:pPr>
              <w:pStyle w:val="NormalWeb"/>
              <w:spacing w:before="0" w:beforeAutospacing="0" w:after="0" w:afterAutospacing="0"/>
              <w:rPr>
                <w:sz w:val="20"/>
                <w:szCs w:val="20"/>
              </w:rPr>
            </w:pPr>
            <w:r>
              <w:rPr>
                <w:sz w:val="20"/>
                <w:szCs w:val="20"/>
              </w:rPr>
              <w:t> </w:t>
            </w:r>
          </w:p>
        </w:tc>
      </w:tr>
      <w:tr w:rsidR="00000000" w14:paraId="39F8BA7E" w14:textId="77777777">
        <w:trPr>
          <w:divId w:val="98525094"/>
          <w:trHeight w:val="225"/>
          <w:tblCellSpacing w:w="15" w:type="dxa"/>
        </w:trPr>
        <w:tc>
          <w:tcPr>
            <w:tcW w:w="0" w:type="auto"/>
            <w:hideMark/>
          </w:tcPr>
          <w:p w14:paraId="12BE8BCF" w14:textId="77777777" w:rsidR="00000000" w:rsidRDefault="00EB4933">
            <w:pPr>
              <w:pStyle w:val="NormalWeb"/>
              <w:spacing w:before="0" w:beforeAutospacing="0" w:after="0" w:afterAutospacing="0"/>
              <w:jc w:val="both"/>
              <w:rPr>
                <w:sz w:val="20"/>
                <w:szCs w:val="20"/>
              </w:rPr>
            </w:pPr>
            <w:r>
              <w:rPr>
                <w:rStyle w:val="Strong"/>
                <w:sz w:val="20"/>
                <w:szCs w:val="20"/>
              </w:rPr>
              <w:t>Financial assets</w:t>
            </w:r>
          </w:p>
        </w:tc>
        <w:tc>
          <w:tcPr>
            <w:tcW w:w="50" w:type="pct"/>
            <w:noWrap/>
            <w:vAlign w:val="center"/>
            <w:hideMark/>
          </w:tcPr>
          <w:p w14:paraId="3306501A"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43BCF5D"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58ED510"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3909C14"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DC0A03B"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1CFBFAB" w14:textId="77777777" w:rsidR="00000000" w:rsidRDefault="00EB4933">
            <w:pPr>
              <w:pStyle w:val="NormalWeb"/>
              <w:spacing w:before="0" w:beforeAutospacing="0" w:after="0" w:afterAutospacing="0"/>
              <w:rPr>
                <w:sz w:val="20"/>
                <w:szCs w:val="20"/>
              </w:rPr>
            </w:pPr>
            <w:r>
              <w:rPr>
                <w:sz w:val="20"/>
                <w:szCs w:val="20"/>
              </w:rPr>
              <w:t> </w:t>
            </w:r>
          </w:p>
        </w:tc>
      </w:tr>
      <w:tr w:rsidR="00000000" w14:paraId="793F7EE8" w14:textId="77777777">
        <w:trPr>
          <w:divId w:val="98525094"/>
          <w:trHeight w:val="225"/>
          <w:tblCellSpacing w:w="15" w:type="dxa"/>
        </w:trPr>
        <w:tc>
          <w:tcPr>
            <w:tcW w:w="0" w:type="auto"/>
            <w:shd w:val="clear" w:color="auto" w:fill="CCEEFF"/>
            <w:hideMark/>
          </w:tcPr>
          <w:p w14:paraId="16175688" w14:textId="77777777" w:rsidR="00000000" w:rsidRDefault="00EB4933">
            <w:pPr>
              <w:pStyle w:val="NormalWeb"/>
              <w:spacing w:before="0" w:beforeAutospacing="0" w:after="0" w:afterAutospacing="0"/>
              <w:jc w:val="both"/>
              <w:rPr>
                <w:sz w:val="20"/>
                <w:szCs w:val="20"/>
              </w:rPr>
            </w:pPr>
            <w:r>
              <w:rPr>
                <w:sz w:val="20"/>
                <w:szCs w:val="20"/>
              </w:rPr>
              <w:t>Cash, cash equivalents and restricted cash</w:t>
            </w:r>
          </w:p>
        </w:tc>
        <w:tc>
          <w:tcPr>
            <w:tcW w:w="50" w:type="pct"/>
            <w:shd w:val="clear" w:color="auto" w:fill="CCEEFF"/>
            <w:noWrap/>
            <w:vAlign w:val="center"/>
            <w:hideMark/>
          </w:tcPr>
          <w:p w14:paraId="185F625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4B9F2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624AFCB" w14:textId="77777777" w:rsidR="00000000" w:rsidRDefault="00EB4933">
            <w:pPr>
              <w:jc w:val="right"/>
              <w:rPr>
                <w:rFonts w:eastAsia="Times New Roman"/>
                <w:sz w:val="20"/>
                <w:szCs w:val="20"/>
              </w:rPr>
            </w:pPr>
            <w:r>
              <w:rPr>
                <w:rFonts w:eastAsia="Times New Roman"/>
                <w:sz w:val="20"/>
                <w:szCs w:val="20"/>
              </w:rPr>
              <w:t>132</w:t>
            </w:r>
          </w:p>
        </w:tc>
        <w:tc>
          <w:tcPr>
            <w:tcW w:w="50" w:type="pct"/>
            <w:shd w:val="clear" w:color="auto" w:fill="CCEEFF"/>
            <w:noWrap/>
            <w:vAlign w:val="center"/>
            <w:hideMark/>
          </w:tcPr>
          <w:p w14:paraId="5878F3C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2D353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5F7EF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2966023" w14:textId="77777777" w:rsidR="00000000" w:rsidRDefault="00EB4933">
            <w:pPr>
              <w:jc w:val="right"/>
              <w:rPr>
                <w:rFonts w:eastAsia="Times New Roman"/>
                <w:sz w:val="20"/>
                <w:szCs w:val="20"/>
              </w:rPr>
            </w:pPr>
            <w:r>
              <w:rPr>
                <w:rFonts w:eastAsia="Times New Roman"/>
                <w:sz w:val="20"/>
                <w:szCs w:val="20"/>
              </w:rPr>
              <w:t>132</w:t>
            </w:r>
          </w:p>
        </w:tc>
        <w:tc>
          <w:tcPr>
            <w:tcW w:w="50" w:type="pct"/>
            <w:shd w:val="clear" w:color="auto" w:fill="CCEEFF"/>
            <w:noWrap/>
            <w:vAlign w:val="center"/>
            <w:hideMark/>
          </w:tcPr>
          <w:p w14:paraId="4DF2DE1B" w14:textId="77777777" w:rsidR="00000000" w:rsidRDefault="00EB4933">
            <w:pPr>
              <w:pStyle w:val="NormalWeb"/>
              <w:spacing w:before="0" w:beforeAutospacing="0" w:after="0" w:afterAutospacing="0"/>
              <w:rPr>
                <w:sz w:val="20"/>
                <w:szCs w:val="20"/>
              </w:rPr>
            </w:pPr>
            <w:r>
              <w:rPr>
                <w:sz w:val="20"/>
                <w:szCs w:val="20"/>
              </w:rPr>
              <w:t> </w:t>
            </w:r>
          </w:p>
        </w:tc>
      </w:tr>
      <w:tr w:rsidR="00000000" w14:paraId="75BBE8BF" w14:textId="77777777">
        <w:trPr>
          <w:divId w:val="98525094"/>
          <w:trHeight w:val="225"/>
          <w:tblCellSpacing w:w="15" w:type="dxa"/>
        </w:trPr>
        <w:tc>
          <w:tcPr>
            <w:tcW w:w="0" w:type="auto"/>
            <w:shd w:val="clear" w:color="auto" w:fill="FFFFFF"/>
            <w:hideMark/>
          </w:tcPr>
          <w:p w14:paraId="13F486F7" w14:textId="77777777" w:rsidR="00000000" w:rsidRDefault="00EB4933">
            <w:pPr>
              <w:pStyle w:val="NormalWeb"/>
              <w:spacing w:before="0" w:beforeAutospacing="0" w:after="0" w:afterAutospacing="0"/>
              <w:jc w:val="both"/>
              <w:rPr>
                <w:sz w:val="20"/>
                <w:szCs w:val="20"/>
              </w:rPr>
            </w:pPr>
            <w:r>
              <w:rPr>
                <w:sz w:val="20"/>
                <w:szCs w:val="20"/>
              </w:rPr>
              <w:t>Loan receivables</w:t>
            </w:r>
          </w:p>
        </w:tc>
        <w:tc>
          <w:tcPr>
            <w:tcW w:w="50" w:type="pct"/>
            <w:shd w:val="clear" w:color="auto" w:fill="FFFFFF"/>
            <w:noWrap/>
            <w:vAlign w:val="center"/>
            <w:hideMark/>
          </w:tcPr>
          <w:p w14:paraId="26EA6EC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AA9636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F56167F" w14:textId="77777777" w:rsidR="00000000" w:rsidRDefault="00EB4933">
            <w:pPr>
              <w:jc w:val="right"/>
              <w:rPr>
                <w:rFonts w:eastAsia="Times New Roman"/>
                <w:sz w:val="20"/>
                <w:szCs w:val="20"/>
              </w:rPr>
            </w:pPr>
            <w:r>
              <w:rPr>
                <w:rFonts w:eastAsia="Times New Roman"/>
                <w:sz w:val="20"/>
                <w:szCs w:val="20"/>
              </w:rPr>
              <w:t>615,184</w:t>
            </w:r>
          </w:p>
        </w:tc>
        <w:tc>
          <w:tcPr>
            <w:tcW w:w="50" w:type="pct"/>
            <w:shd w:val="clear" w:color="auto" w:fill="FFFFFF"/>
            <w:noWrap/>
            <w:tcMar>
              <w:top w:w="0" w:type="dxa"/>
              <w:left w:w="0" w:type="dxa"/>
              <w:bottom w:w="15" w:type="dxa"/>
              <w:right w:w="0" w:type="dxa"/>
            </w:tcMar>
            <w:vAlign w:val="center"/>
            <w:hideMark/>
          </w:tcPr>
          <w:p w14:paraId="44A9B79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F4F13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8D6071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5DB0E31" w14:textId="77777777" w:rsidR="00000000" w:rsidRDefault="00EB4933">
            <w:pPr>
              <w:jc w:val="right"/>
              <w:rPr>
                <w:rFonts w:eastAsia="Times New Roman"/>
                <w:sz w:val="20"/>
                <w:szCs w:val="20"/>
              </w:rPr>
            </w:pPr>
            <w:r>
              <w:rPr>
                <w:rFonts w:eastAsia="Times New Roman"/>
                <w:sz w:val="20"/>
                <w:szCs w:val="20"/>
              </w:rPr>
              <w:t>615,184</w:t>
            </w:r>
          </w:p>
        </w:tc>
        <w:tc>
          <w:tcPr>
            <w:tcW w:w="50" w:type="pct"/>
            <w:shd w:val="clear" w:color="auto" w:fill="FFFFFF"/>
            <w:noWrap/>
            <w:tcMar>
              <w:top w:w="0" w:type="dxa"/>
              <w:left w:w="0" w:type="dxa"/>
              <w:bottom w:w="15" w:type="dxa"/>
              <w:right w:w="0" w:type="dxa"/>
            </w:tcMar>
            <w:vAlign w:val="center"/>
            <w:hideMark/>
          </w:tcPr>
          <w:p w14:paraId="7FBC4BFB" w14:textId="77777777" w:rsidR="00000000" w:rsidRDefault="00EB4933">
            <w:pPr>
              <w:pStyle w:val="NormalWeb"/>
              <w:spacing w:before="0" w:beforeAutospacing="0" w:after="0" w:afterAutospacing="0"/>
              <w:rPr>
                <w:sz w:val="20"/>
                <w:szCs w:val="20"/>
              </w:rPr>
            </w:pPr>
            <w:r>
              <w:rPr>
                <w:sz w:val="20"/>
                <w:szCs w:val="20"/>
              </w:rPr>
              <w:t> </w:t>
            </w:r>
          </w:p>
        </w:tc>
      </w:tr>
      <w:tr w:rsidR="00000000" w14:paraId="786C3C74" w14:textId="77777777">
        <w:trPr>
          <w:divId w:val="98525094"/>
          <w:trHeight w:val="225"/>
          <w:tblCellSpacing w:w="15" w:type="dxa"/>
        </w:trPr>
        <w:tc>
          <w:tcPr>
            <w:tcW w:w="0" w:type="auto"/>
            <w:shd w:val="clear" w:color="auto" w:fill="CCEEFF"/>
            <w:vAlign w:val="center"/>
            <w:hideMark/>
          </w:tcPr>
          <w:p w14:paraId="44DCDE4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48EDA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0D172D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E304A4D" w14:textId="77777777" w:rsidR="00000000" w:rsidRDefault="00EB4933">
            <w:pPr>
              <w:jc w:val="right"/>
              <w:rPr>
                <w:rFonts w:eastAsia="Times New Roman"/>
                <w:sz w:val="20"/>
                <w:szCs w:val="20"/>
              </w:rPr>
            </w:pPr>
            <w:r>
              <w:rPr>
                <w:rFonts w:eastAsia="Times New Roman"/>
                <w:sz w:val="20"/>
                <w:szCs w:val="20"/>
              </w:rPr>
              <w:t>615,316</w:t>
            </w:r>
          </w:p>
        </w:tc>
        <w:tc>
          <w:tcPr>
            <w:tcW w:w="50" w:type="pct"/>
            <w:shd w:val="clear" w:color="auto" w:fill="CCEEFF"/>
            <w:noWrap/>
            <w:tcMar>
              <w:top w:w="0" w:type="dxa"/>
              <w:left w:w="0" w:type="dxa"/>
              <w:bottom w:w="15" w:type="dxa"/>
              <w:right w:w="0" w:type="dxa"/>
            </w:tcMar>
            <w:vAlign w:val="center"/>
            <w:hideMark/>
          </w:tcPr>
          <w:p w14:paraId="6D9F206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ABAEC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15C85D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586A35A" w14:textId="77777777" w:rsidR="00000000" w:rsidRDefault="00EB4933">
            <w:pPr>
              <w:jc w:val="right"/>
              <w:rPr>
                <w:rFonts w:eastAsia="Times New Roman"/>
                <w:sz w:val="20"/>
                <w:szCs w:val="20"/>
              </w:rPr>
            </w:pPr>
            <w:r>
              <w:rPr>
                <w:rFonts w:eastAsia="Times New Roman"/>
                <w:sz w:val="20"/>
                <w:szCs w:val="20"/>
              </w:rPr>
              <w:t>615,316</w:t>
            </w:r>
          </w:p>
        </w:tc>
        <w:tc>
          <w:tcPr>
            <w:tcW w:w="50" w:type="pct"/>
            <w:shd w:val="clear" w:color="auto" w:fill="CCEEFF"/>
            <w:noWrap/>
            <w:tcMar>
              <w:top w:w="0" w:type="dxa"/>
              <w:left w:w="0" w:type="dxa"/>
              <w:bottom w:w="15" w:type="dxa"/>
              <w:right w:w="0" w:type="dxa"/>
            </w:tcMar>
            <w:vAlign w:val="center"/>
            <w:hideMark/>
          </w:tcPr>
          <w:p w14:paraId="59359A45" w14:textId="77777777" w:rsidR="00000000" w:rsidRDefault="00EB4933">
            <w:pPr>
              <w:pStyle w:val="NormalWeb"/>
              <w:spacing w:before="0" w:beforeAutospacing="0" w:after="0" w:afterAutospacing="0"/>
              <w:rPr>
                <w:sz w:val="20"/>
                <w:szCs w:val="20"/>
              </w:rPr>
            </w:pPr>
            <w:r>
              <w:rPr>
                <w:sz w:val="20"/>
                <w:szCs w:val="20"/>
              </w:rPr>
              <w:t> </w:t>
            </w:r>
          </w:p>
        </w:tc>
      </w:tr>
      <w:tr w:rsidR="00000000" w14:paraId="12B20146" w14:textId="77777777">
        <w:trPr>
          <w:divId w:val="98525094"/>
          <w:trHeight w:val="225"/>
          <w:tblCellSpacing w:w="15" w:type="dxa"/>
        </w:trPr>
        <w:tc>
          <w:tcPr>
            <w:tcW w:w="0" w:type="auto"/>
            <w:shd w:val="clear" w:color="auto" w:fill="FFFFFF"/>
            <w:vAlign w:val="center"/>
            <w:hideMark/>
          </w:tcPr>
          <w:p w14:paraId="6B5823D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6449D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70DF3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63050B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947EF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D80D2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7D137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961947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88EB27" w14:textId="77777777" w:rsidR="00000000" w:rsidRDefault="00EB4933">
            <w:pPr>
              <w:pStyle w:val="NormalWeb"/>
              <w:spacing w:before="0" w:beforeAutospacing="0" w:after="0" w:afterAutospacing="0"/>
              <w:rPr>
                <w:sz w:val="20"/>
                <w:szCs w:val="20"/>
              </w:rPr>
            </w:pPr>
            <w:r>
              <w:rPr>
                <w:sz w:val="20"/>
                <w:szCs w:val="20"/>
              </w:rPr>
              <w:t> </w:t>
            </w:r>
          </w:p>
        </w:tc>
      </w:tr>
      <w:tr w:rsidR="00000000" w14:paraId="6CE2275D" w14:textId="77777777">
        <w:trPr>
          <w:divId w:val="98525094"/>
          <w:trHeight w:val="225"/>
          <w:tblCellSpacing w:w="15" w:type="dxa"/>
        </w:trPr>
        <w:tc>
          <w:tcPr>
            <w:tcW w:w="0" w:type="auto"/>
            <w:shd w:val="clear" w:color="auto" w:fill="FFFFFF"/>
            <w:hideMark/>
          </w:tcPr>
          <w:p w14:paraId="51E7A68E" w14:textId="77777777" w:rsidR="00000000" w:rsidRDefault="00EB4933">
            <w:pPr>
              <w:pStyle w:val="NormalWeb"/>
              <w:spacing w:before="0" w:beforeAutospacing="0" w:after="0" w:afterAutospacing="0"/>
              <w:jc w:val="both"/>
              <w:rPr>
                <w:sz w:val="20"/>
                <w:szCs w:val="20"/>
              </w:rPr>
            </w:pPr>
            <w:r>
              <w:rPr>
                <w:rStyle w:val="Strong"/>
                <w:sz w:val="20"/>
                <w:szCs w:val="20"/>
              </w:rPr>
              <w:t>Financial liabilities</w:t>
            </w:r>
          </w:p>
        </w:tc>
        <w:tc>
          <w:tcPr>
            <w:tcW w:w="50" w:type="pct"/>
            <w:shd w:val="clear" w:color="auto" w:fill="FFFFFF"/>
            <w:noWrap/>
            <w:vAlign w:val="center"/>
            <w:hideMark/>
          </w:tcPr>
          <w:p w14:paraId="3EED846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FD560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9DB53D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2C498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0CB10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EF56B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9DEA52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7216D2" w14:textId="77777777" w:rsidR="00000000" w:rsidRDefault="00EB4933">
            <w:pPr>
              <w:pStyle w:val="NormalWeb"/>
              <w:spacing w:before="0" w:beforeAutospacing="0" w:after="0" w:afterAutospacing="0"/>
              <w:rPr>
                <w:sz w:val="20"/>
                <w:szCs w:val="20"/>
              </w:rPr>
            </w:pPr>
            <w:r>
              <w:rPr>
                <w:sz w:val="20"/>
                <w:szCs w:val="20"/>
              </w:rPr>
              <w:t> </w:t>
            </w:r>
          </w:p>
        </w:tc>
      </w:tr>
      <w:tr w:rsidR="00000000" w14:paraId="2ADDE00E" w14:textId="77777777">
        <w:trPr>
          <w:divId w:val="98525094"/>
          <w:trHeight w:val="225"/>
          <w:tblCellSpacing w:w="15" w:type="dxa"/>
        </w:trPr>
        <w:tc>
          <w:tcPr>
            <w:tcW w:w="0" w:type="auto"/>
            <w:shd w:val="clear" w:color="auto" w:fill="CCEEFF"/>
            <w:hideMark/>
          </w:tcPr>
          <w:p w14:paraId="3B0D1A04" w14:textId="77777777" w:rsidR="00000000" w:rsidRDefault="00EB4933">
            <w:pPr>
              <w:pStyle w:val="NormalWeb"/>
              <w:spacing w:before="0" w:beforeAutospacing="0" w:after="0" w:afterAutospacing="0"/>
              <w:jc w:val="both"/>
              <w:rPr>
                <w:sz w:val="20"/>
                <w:szCs w:val="20"/>
              </w:rPr>
            </w:pPr>
            <w:r>
              <w:rPr>
                <w:sz w:val="20"/>
                <w:szCs w:val="20"/>
              </w:rPr>
              <w:t>Loans payable</w:t>
            </w:r>
          </w:p>
        </w:tc>
        <w:tc>
          <w:tcPr>
            <w:tcW w:w="50" w:type="pct"/>
            <w:shd w:val="clear" w:color="auto" w:fill="CCEEFF"/>
            <w:noWrap/>
            <w:vAlign w:val="center"/>
            <w:hideMark/>
          </w:tcPr>
          <w:p w14:paraId="00ABCF6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A40E5A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6B82BB1" w14:textId="77777777" w:rsidR="00000000" w:rsidRDefault="00EB4933">
            <w:pPr>
              <w:jc w:val="right"/>
              <w:rPr>
                <w:rFonts w:eastAsia="Times New Roman"/>
                <w:sz w:val="20"/>
                <w:szCs w:val="20"/>
              </w:rPr>
            </w:pPr>
            <w:r>
              <w:rPr>
                <w:rFonts w:eastAsia="Times New Roman"/>
                <w:sz w:val="20"/>
                <w:szCs w:val="20"/>
              </w:rPr>
              <w:t>172,891</w:t>
            </w:r>
          </w:p>
        </w:tc>
        <w:tc>
          <w:tcPr>
            <w:tcW w:w="50" w:type="pct"/>
            <w:shd w:val="clear" w:color="auto" w:fill="CCEEFF"/>
            <w:noWrap/>
            <w:tcMar>
              <w:top w:w="0" w:type="dxa"/>
              <w:left w:w="0" w:type="dxa"/>
              <w:bottom w:w="15" w:type="dxa"/>
              <w:right w:w="0" w:type="dxa"/>
            </w:tcMar>
            <w:vAlign w:val="center"/>
            <w:hideMark/>
          </w:tcPr>
          <w:p w14:paraId="6270DE5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0DD26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04D480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FD11E7D" w14:textId="77777777" w:rsidR="00000000" w:rsidRDefault="00EB4933">
            <w:pPr>
              <w:jc w:val="right"/>
              <w:rPr>
                <w:rFonts w:eastAsia="Times New Roman"/>
                <w:sz w:val="20"/>
                <w:szCs w:val="20"/>
              </w:rPr>
            </w:pPr>
            <w:r>
              <w:rPr>
                <w:rFonts w:eastAsia="Times New Roman"/>
                <w:sz w:val="20"/>
                <w:szCs w:val="20"/>
              </w:rPr>
              <w:t>172,891</w:t>
            </w:r>
          </w:p>
        </w:tc>
        <w:tc>
          <w:tcPr>
            <w:tcW w:w="50" w:type="pct"/>
            <w:shd w:val="clear" w:color="auto" w:fill="CCEEFF"/>
            <w:noWrap/>
            <w:tcMar>
              <w:top w:w="0" w:type="dxa"/>
              <w:left w:w="0" w:type="dxa"/>
              <w:bottom w:w="15" w:type="dxa"/>
              <w:right w:w="0" w:type="dxa"/>
            </w:tcMar>
            <w:vAlign w:val="center"/>
            <w:hideMark/>
          </w:tcPr>
          <w:p w14:paraId="748B9B9E" w14:textId="77777777" w:rsidR="00000000" w:rsidRDefault="00EB4933">
            <w:pPr>
              <w:pStyle w:val="NormalWeb"/>
              <w:spacing w:before="0" w:beforeAutospacing="0" w:after="0" w:afterAutospacing="0"/>
              <w:rPr>
                <w:sz w:val="20"/>
                <w:szCs w:val="20"/>
              </w:rPr>
            </w:pPr>
            <w:r>
              <w:rPr>
                <w:sz w:val="20"/>
                <w:szCs w:val="20"/>
              </w:rPr>
              <w:t> </w:t>
            </w:r>
          </w:p>
        </w:tc>
      </w:tr>
    </w:tbl>
    <w:p w14:paraId="1CE9430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BBDBB30" w14:textId="77777777" w:rsidR="00000000" w:rsidRDefault="00EB4933">
      <w:pPr>
        <w:pStyle w:val="NormalWeb"/>
        <w:spacing w:before="0" w:beforeAutospacing="0" w:after="0" w:afterAutospacing="0"/>
        <w:ind w:left="675"/>
        <w:jc w:val="both"/>
        <w:divId w:val="98525094"/>
        <w:rPr>
          <w:sz w:val="20"/>
          <w:szCs w:val="20"/>
        </w:rPr>
      </w:pPr>
      <w:r>
        <w:rPr>
          <w:sz w:val="20"/>
          <w:szCs w:val="20"/>
        </w:rPr>
        <w:t>The fair values of loans payable are approximately the carrying amount of loans payable as all loans payable are overdue as of December 31, 2019.</w:t>
      </w:r>
    </w:p>
    <w:p w14:paraId="78C2F122"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6362"/>
        <w:gridCol w:w="113"/>
        <w:gridCol w:w="113"/>
        <w:gridCol w:w="778"/>
        <w:gridCol w:w="113"/>
        <w:gridCol w:w="113"/>
        <w:gridCol w:w="113"/>
        <w:gridCol w:w="778"/>
        <w:gridCol w:w="128"/>
      </w:tblGrid>
      <w:tr w:rsidR="00000000" w14:paraId="7C2FEA25" w14:textId="77777777">
        <w:trPr>
          <w:divId w:val="98525094"/>
          <w:trHeight w:val="225"/>
          <w:tblCellSpacing w:w="15" w:type="dxa"/>
        </w:trPr>
        <w:tc>
          <w:tcPr>
            <w:tcW w:w="0" w:type="auto"/>
            <w:vAlign w:val="center"/>
            <w:hideMark/>
          </w:tcPr>
          <w:p w14:paraId="69A9973E"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A1C02F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000000"/>
            </w:tcBorders>
            <w:vAlign w:val="bottom"/>
            <w:hideMark/>
          </w:tcPr>
          <w:p w14:paraId="0FAA5E41" w14:textId="77777777" w:rsidR="00000000" w:rsidRDefault="00EB4933">
            <w:pPr>
              <w:pStyle w:val="NormalWeb"/>
              <w:spacing w:before="0" w:beforeAutospacing="0" w:after="0" w:afterAutospacing="0"/>
              <w:jc w:val="center"/>
              <w:rPr>
                <w:sz w:val="20"/>
                <w:szCs w:val="20"/>
              </w:rPr>
            </w:pPr>
            <w:r>
              <w:rPr>
                <w:rStyle w:val="Strong"/>
                <w:sz w:val="20"/>
                <w:szCs w:val="20"/>
              </w:rPr>
              <w:t>As of December 31, 2018</w:t>
            </w:r>
          </w:p>
        </w:tc>
        <w:tc>
          <w:tcPr>
            <w:tcW w:w="0" w:type="auto"/>
            <w:noWrap/>
            <w:vAlign w:val="center"/>
            <w:hideMark/>
          </w:tcPr>
          <w:p w14:paraId="15EE90A6" w14:textId="77777777" w:rsidR="00000000" w:rsidRDefault="00EB4933">
            <w:pPr>
              <w:pStyle w:val="NormalWeb"/>
              <w:spacing w:before="0" w:beforeAutospacing="0" w:after="0" w:afterAutospacing="0"/>
              <w:rPr>
                <w:sz w:val="20"/>
                <w:szCs w:val="20"/>
              </w:rPr>
            </w:pPr>
            <w:r>
              <w:rPr>
                <w:sz w:val="20"/>
                <w:szCs w:val="20"/>
              </w:rPr>
              <w:t> </w:t>
            </w:r>
          </w:p>
        </w:tc>
      </w:tr>
      <w:tr w:rsidR="00000000" w14:paraId="14AAE323" w14:textId="77777777">
        <w:trPr>
          <w:divId w:val="98525094"/>
          <w:trHeight w:val="225"/>
          <w:tblCellSpacing w:w="15" w:type="dxa"/>
        </w:trPr>
        <w:tc>
          <w:tcPr>
            <w:tcW w:w="0" w:type="auto"/>
            <w:vAlign w:val="center"/>
            <w:hideMark/>
          </w:tcPr>
          <w:p w14:paraId="5536965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A3235B0"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63426F9C" w14:textId="77777777" w:rsidR="00000000" w:rsidRDefault="00EB4933">
            <w:pPr>
              <w:pStyle w:val="NormalWeb"/>
              <w:spacing w:before="0" w:beforeAutospacing="0" w:after="0" w:afterAutospacing="0"/>
              <w:jc w:val="center"/>
              <w:rPr>
                <w:sz w:val="20"/>
                <w:szCs w:val="20"/>
              </w:rPr>
            </w:pPr>
            <w:r>
              <w:rPr>
                <w:rStyle w:val="Strong"/>
                <w:sz w:val="20"/>
                <w:szCs w:val="20"/>
              </w:rPr>
              <w:t xml:space="preserve">Fair </w:t>
            </w:r>
          </w:p>
          <w:p w14:paraId="06C0A93D" w14:textId="77777777" w:rsidR="00000000" w:rsidRDefault="00EB4933">
            <w:pPr>
              <w:pStyle w:val="NormalWeb"/>
              <w:spacing w:before="0" w:beforeAutospacing="0" w:after="0" w:afterAutospacing="0"/>
              <w:jc w:val="center"/>
              <w:rPr>
                <w:sz w:val="20"/>
                <w:szCs w:val="20"/>
              </w:rPr>
            </w:pPr>
            <w:r>
              <w:rPr>
                <w:rStyle w:val="Strong"/>
                <w:sz w:val="20"/>
                <w:szCs w:val="20"/>
              </w:rPr>
              <w:t>value</w:t>
            </w:r>
          </w:p>
        </w:tc>
        <w:tc>
          <w:tcPr>
            <w:tcW w:w="0" w:type="auto"/>
            <w:noWrap/>
            <w:vAlign w:val="center"/>
            <w:hideMark/>
          </w:tcPr>
          <w:p w14:paraId="28293C6A"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0FF6B4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71C3422E" w14:textId="77777777" w:rsidR="00000000" w:rsidRDefault="00EB4933">
            <w:pPr>
              <w:pStyle w:val="NormalWeb"/>
              <w:spacing w:before="0" w:beforeAutospacing="0" w:after="0" w:afterAutospacing="0"/>
              <w:jc w:val="center"/>
              <w:rPr>
                <w:sz w:val="20"/>
                <w:szCs w:val="20"/>
              </w:rPr>
            </w:pPr>
            <w:r>
              <w:rPr>
                <w:rStyle w:val="Strong"/>
                <w:sz w:val="20"/>
                <w:szCs w:val="20"/>
              </w:rPr>
              <w:t xml:space="preserve">Carrying </w:t>
            </w:r>
          </w:p>
          <w:p w14:paraId="6ACED22C" w14:textId="77777777" w:rsidR="00000000" w:rsidRDefault="00EB4933">
            <w:pPr>
              <w:pStyle w:val="NormalWeb"/>
              <w:spacing w:before="0" w:beforeAutospacing="0" w:after="0" w:afterAutospacing="0"/>
              <w:jc w:val="center"/>
              <w:rPr>
                <w:sz w:val="20"/>
                <w:szCs w:val="20"/>
              </w:rPr>
            </w:pPr>
            <w:r>
              <w:rPr>
                <w:rStyle w:val="Strong"/>
                <w:sz w:val="20"/>
                <w:szCs w:val="20"/>
              </w:rPr>
              <w:t>amount</w:t>
            </w:r>
          </w:p>
        </w:tc>
        <w:tc>
          <w:tcPr>
            <w:tcW w:w="0" w:type="auto"/>
            <w:noWrap/>
            <w:vAlign w:val="center"/>
            <w:hideMark/>
          </w:tcPr>
          <w:p w14:paraId="1B61DEBE" w14:textId="77777777" w:rsidR="00000000" w:rsidRDefault="00EB4933">
            <w:pPr>
              <w:pStyle w:val="NormalWeb"/>
              <w:spacing w:before="0" w:beforeAutospacing="0" w:after="0" w:afterAutospacing="0"/>
              <w:rPr>
                <w:sz w:val="20"/>
                <w:szCs w:val="20"/>
              </w:rPr>
            </w:pPr>
            <w:r>
              <w:rPr>
                <w:sz w:val="20"/>
                <w:szCs w:val="20"/>
              </w:rPr>
              <w:t> </w:t>
            </w:r>
          </w:p>
        </w:tc>
      </w:tr>
      <w:tr w:rsidR="00000000" w14:paraId="268AB0F3" w14:textId="77777777">
        <w:trPr>
          <w:divId w:val="98525094"/>
          <w:trHeight w:val="225"/>
          <w:tblCellSpacing w:w="15" w:type="dxa"/>
        </w:trPr>
        <w:tc>
          <w:tcPr>
            <w:tcW w:w="0" w:type="auto"/>
            <w:vAlign w:val="center"/>
            <w:hideMark/>
          </w:tcPr>
          <w:p w14:paraId="7AD86D75"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BEC271A"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0DA4E531"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09F94CFD"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C0B44A0"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1754893E"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2121BE35" w14:textId="77777777" w:rsidR="00000000" w:rsidRDefault="00EB4933">
            <w:pPr>
              <w:pStyle w:val="NormalWeb"/>
              <w:spacing w:before="0" w:beforeAutospacing="0" w:after="0" w:afterAutospacing="0"/>
              <w:rPr>
                <w:sz w:val="20"/>
                <w:szCs w:val="20"/>
              </w:rPr>
            </w:pPr>
            <w:r>
              <w:rPr>
                <w:sz w:val="20"/>
                <w:szCs w:val="20"/>
              </w:rPr>
              <w:t> </w:t>
            </w:r>
          </w:p>
        </w:tc>
      </w:tr>
      <w:tr w:rsidR="00000000" w14:paraId="18080DA8" w14:textId="77777777">
        <w:trPr>
          <w:divId w:val="98525094"/>
          <w:trHeight w:val="225"/>
          <w:tblCellSpacing w:w="15" w:type="dxa"/>
        </w:trPr>
        <w:tc>
          <w:tcPr>
            <w:tcW w:w="0" w:type="auto"/>
            <w:vAlign w:val="center"/>
            <w:hideMark/>
          </w:tcPr>
          <w:p w14:paraId="31B32EDF"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219FDA0"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7A23AA14"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540C1FE"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05F098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8FCB112"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121C825" w14:textId="77777777" w:rsidR="00000000" w:rsidRDefault="00EB4933">
            <w:pPr>
              <w:pStyle w:val="NormalWeb"/>
              <w:spacing w:before="0" w:beforeAutospacing="0" w:after="0" w:afterAutospacing="0"/>
              <w:rPr>
                <w:sz w:val="20"/>
                <w:szCs w:val="20"/>
              </w:rPr>
            </w:pPr>
            <w:r>
              <w:rPr>
                <w:sz w:val="20"/>
                <w:szCs w:val="20"/>
              </w:rPr>
              <w:t> </w:t>
            </w:r>
          </w:p>
        </w:tc>
      </w:tr>
      <w:tr w:rsidR="00000000" w14:paraId="26285BB2" w14:textId="77777777">
        <w:trPr>
          <w:divId w:val="98525094"/>
          <w:trHeight w:val="225"/>
          <w:tblCellSpacing w:w="15" w:type="dxa"/>
        </w:trPr>
        <w:tc>
          <w:tcPr>
            <w:tcW w:w="0" w:type="auto"/>
            <w:hideMark/>
          </w:tcPr>
          <w:p w14:paraId="0800B42F" w14:textId="77777777" w:rsidR="00000000" w:rsidRDefault="00EB4933">
            <w:pPr>
              <w:pStyle w:val="NormalWeb"/>
              <w:spacing w:before="0" w:beforeAutospacing="0" w:after="0" w:afterAutospacing="0"/>
              <w:jc w:val="both"/>
              <w:rPr>
                <w:sz w:val="20"/>
                <w:szCs w:val="20"/>
              </w:rPr>
            </w:pPr>
            <w:r>
              <w:rPr>
                <w:rStyle w:val="Strong"/>
                <w:sz w:val="20"/>
                <w:szCs w:val="20"/>
              </w:rPr>
              <w:t>Financial assets</w:t>
            </w:r>
          </w:p>
        </w:tc>
        <w:tc>
          <w:tcPr>
            <w:tcW w:w="50" w:type="pct"/>
            <w:noWrap/>
            <w:vAlign w:val="center"/>
            <w:hideMark/>
          </w:tcPr>
          <w:p w14:paraId="1E0D33DC"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7B8B4F04"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A635353"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F806F3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D36950D"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200DCED" w14:textId="77777777" w:rsidR="00000000" w:rsidRDefault="00EB4933">
            <w:pPr>
              <w:pStyle w:val="NormalWeb"/>
              <w:spacing w:before="0" w:beforeAutospacing="0" w:after="0" w:afterAutospacing="0"/>
              <w:rPr>
                <w:sz w:val="20"/>
                <w:szCs w:val="20"/>
              </w:rPr>
            </w:pPr>
            <w:r>
              <w:rPr>
                <w:sz w:val="20"/>
                <w:szCs w:val="20"/>
              </w:rPr>
              <w:t> </w:t>
            </w:r>
          </w:p>
        </w:tc>
      </w:tr>
      <w:tr w:rsidR="00000000" w14:paraId="1395EEBC" w14:textId="77777777">
        <w:trPr>
          <w:divId w:val="98525094"/>
          <w:trHeight w:val="225"/>
          <w:tblCellSpacing w:w="15" w:type="dxa"/>
        </w:trPr>
        <w:tc>
          <w:tcPr>
            <w:tcW w:w="0" w:type="auto"/>
            <w:shd w:val="clear" w:color="auto" w:fill="CCEEFF"/>
            <w:hideMark/>
          </w:tcPr>
          <w:p w14:paraId="75528F35" w14:textId="77777777" w:rsidR="00000000" w:rsidRDefault="00EB4933">
            <w:pPr>
              <w:pStyle w:val="NormalWeb"/>
              <w:spacing w:before="0" w:beforeAutospacing="0" w:after="0" w:afterAutospacing="0"/>
              <w:jc w:val="both"/>
              <w:rPr>
                <w:sz w:val="20"/>
                <w:szCs w:val="20"/>
              </w:rPr>
            </w:pPr>
            <w:r>
              <w:rPr>
                <w:sz w:val="20"/>
                <w:szCs w:val="20"/>
              </w:rPr>
              <w:t>Cash and cash equivalents</w:t>
            </w:r>
          </w:p>
        </w:tc>
        <w:tc>
          <w:tcPr>
            <w:tcW w:w="50" w:type="pct"/>
            <w:shd w:val="clear" w:color="auto" w:fill="CCEEFF"/>
            <w:noWrap/>
            <w:vAlign w:val="center"/>
            <w:hideMark/>
          </w:tcPr>
          <w:p w14:paraId="7B4CD26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306D7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5E55DE7" w14:textId="77777777" w:rsidR="00000000" w:rsidRDefault="00EB4933">
            <w:pPr>
              <w:jc w:val="right"/>
              <w:rPr>
                <w:rFonts w:eastAsia="Times New Roman"/>
                <w:sz w:val="20"/>
                <w:szCs w:val="20"/>
              </w:rPr>
            </w:pPr>
            <w:r>
              <w:rPr>
                <w:rFonts w:eastAsia="Times New Roman"/>
                <w:sz w:val="20"/>
                <w:szCs w:val="20"/>
              </w:rPr>
              <w:t>3,188</w:t>
            </w:r>
          </w:p>
        </w:tc>
        <w:tc>
          <w:tcPr>
            <w:tcW w:w="50" w:type="pct"/>
            <w:shd w:val="clear" w:color="auto" w:fill="CCEEFF"/>
            <w:noWrap/>
            <w:vAlign w:val="center"/>
            <w:hideMark/>
          </w:tcPr>
          <w:p w14:paraId="5B504CA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9A2F9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2063C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5A1DFA1" w14:textId="77777777" w:rsidR="00000000" w:rsidRDefault="00EB4933">
            <w:pPr>
              <w:jc w:val="right"/>
              <w:rPr>
                <w:rFonts w:eastAsia="Times New Roman"/>
                <w:sz w:val="20"/>
                <w:szCs w:val="20"/>
              </w:rPr>
            </w:pPr>
            <w:r>
              <w:rPr>
                <w:rFonts w:eastAsia="Times New Roman"/>
                <w:sz w:val="20"/>
                <w:szCs w:val="20"/>
              </w:rPr>
              <w:t>3,188</w:t>
            </w:r>
          </w:p>
        </w:tc>
        <w:tc>
          <w:tcPr>
            <w:tcW w:w="50" w:type="pct"/>
            <w:shd w:val="clear" w:color="auto" w:fill="CCEEFF"/>
            <w:noWrap/>
            <w:vAlign w:val="center"/>
            <w:hideMark/>
          </w:tcPr>
          <w:p w14:paraId="3E0CFEC0" w14:textId="77777777" w:rsidR="00000000" w:rsidRDefault="00EB4933">
            <w:pPr>
              <w:pStyle w:val="NormalWeb"/>
              <w:spacing w:before="0" w:beforeAutospacing="0" w:after="0" w:afterAutospacing="0"/>
              <w:rPr>
                <w:sz w:val="20"/>
                <w:szCs w:val="20"/>
              </w:rPr>
            </w:pPr>
            <w:r>
              <w:rPr>
                <w:sz w:val="20"/>
                <w:szCs w:val="20"/>
              </w:rPr>
              <w:t> </w:t>
            </w:r>
          </w:p>
        </w:tc>
      </w:tr>
      <w:tr w:rsidR="00000000" w14:paraId="6A42A22E" w14:textId="77777777">
        <w:trPr>
          <w:divId w:val="98525094"/>
          <w:trHeight w:val="225"/>
          <w:tblCellSpacing w:w="15" w:type="dxa"/>
        </w:trPr>
        <w:tc>
          <w:tcPr>
            <w:tcW w:w="0" w:type="auto"/>
            <w:shd w:val="clear" w:color="auto" w:fill="FFFFFF"/>
            <w:hideMark/>
          </w:tcPr>
          <w:p w14:paraId="79F453BF" w14:textId="77777777" w:rsidR="00000000" w:rsidRDefault="00EB4933">
            <w:pPr>
              <w:pStyle w:val="NormalWeb"/>
              <w:spacing w:before="0" w:beforeAutospacing="0" w:after="0" w:afterAutospacing="0"/>
              <w:jc w:val="both"/>
              <w:rPr>
                <w:sz w:val="20"/>
                <w:szCs w:val="20"/>
              </w:rPr>
            </w:pPr>
            <w:r>
              <w:rPr>
                <w:sz w:val="20"/>
                <w:szCs w:val="20"/>
              </w:rPr>
              <w:t>Loan receivables</w:t>
            </w:r>
          </w:p>
        </w:tc>
        <w:tc>
          <w:tcPr>
            <w:tcW w:w="50" w:type="pct"/>
            <w:shd w:val="clear" w:color="auto" w:fill="FFFFFF"/>
            <w:noWrap/>
            <w:vAlign w:val="center"/>
            <w:hideMark/>
          </w:tcPr>
          <w:p w14:paraId="2D3DC21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54BE85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C1E02DD" w14:textId="77777777" w:rsidR="00000000" w:rsidRDefault="00EB4933">
            <w:pPr>
              <w:jc w:val="right"/>
              <w:rPr>
                <w:rFonts w:eastAsia="Times New Roman"/>
                <w:sz w:val="20"/>
                <w:szCs w:val="20"/>
              </w:rPr>
            </w:pPr>
            <w:r>
              <w:rPr>
                <w:rFonts w:eastAsia="Times New Roman"/>
                <w:sz w:val="20"/>
                <w:szCs w:val="20"/>
              </w:rPr>
              <w:t>578,063</w:t>
            </w:r>
          </w:p>
        </w:tc>
        <w:tc>
          <w:tcPr>
            <w:tcW w:w="50" w:type="pct"/>
            <w:shd w:val="clear" w:color="auto" w:fill="FFFFFF"/>
            <w:noWrap/>
            <w:tcMar>
              <w:top w:w="0" w:type="dxa"/>
              <w:left w:w="0" w:type="dxa"/>
              <w:bottom w:w="15" w:type="dxa"/>
              <w:right w:w="0" w:type="dxa"/>
            </w:tcMar>
            <w:vAlign w:val="center"/>
            <w:hideMark/>
          </w:tcPr>
          <w:p w14:paraId="6660B24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A4070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DAEDBC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83256A2" w14:textId="77777777" w:rsidR="00000000" w:rsidRDefault="00EB4933">
            <w:pPr>
              <w:jc w:val="right"/>
              <w:rPr>
                <w:rFonts w:eastAsia="Times New Roman"/>
                <w:sz w:val="20"/>
                <w:szCs w:val="20"/>
              </w:rPr>
            </w:pPr>
            <w:r>
              <w:rPr>
                <w:rFonts w:eastAsia="Times New Roman"/>
                <w:sz w:val="20"/>
                <w:szCs w:val="20"/>
              </w:rPr>
              <w:t>579,654</w:t>
            </w:r>
          </w:p>
        </w:tc>
        <w:tc>
          <w:tcPr>
            <w:tcW w:w="50" w:type="pct"/>
            <w:shd w:val="clear" w:color="auto" w:fill="FFFFFF"/>
            <w:noWrap/>
            <w:tcMar>
              <w:top w:w="0" w:type="dxa"/>
              <w:left w:w="0" w:type="dxa"/>
              <w:bottom w:w="15" w:type="dxa"/>
              <w:right w:w="0" w:type="dxa"/>
            </w:tcMar>
            <w:vAlign w:val="center"/>
            <w:hideMark/>
          </w:tcPr>
          <w:p w14:paraId="7E3249B5" w14:textId="77777777" w:rsidR="00000000" w:rsidRDefault="00EB4933">
            <w:pPr>
              <w:pStyle w:val="NormalWeb"/>
              <w:spacing w:before="0" w:beforeAutospacing="0" w:after="0" w:afterAutospacing="0"/>
              <w:rPr>
                <w:sz w:val="20"/>
                <w:szCs w:val="20"/>
              </w:rPr>
            </w:pPr>
            <w:r>
              <w:rPr>
                <w:sz w:val="20"/>
                <w:szCs w:val="20"/>
              </w:rPr>
              <w:t> </w:t>
            </w:r>
          </w:p>
        </w:tc>
      </w:tr>
      <w:tr w:rsidR="00000000" w14:paraId="66513E0C" w14:textId="77777777">
        <w:trPr>
          <w:divId w:val="98525094"/>
          <w:trHeight w:val="225"/>
          <w:tblCellSpacing w:w="15" w:type="dxa"/>
        </w:trPr>
        <w:tc>
          <w:tcPr>
            <w:tcW w:w="0" w:type="auto"/>
            <w:shd w:val="clear" w:color="auto" w:fill="CCEEFF"/>
            <w:vAlign w:val="center"/>
            <w:hideMark/>
          </w:tcPr>
          <w:p w14:paraId="1954C19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94640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ECE18A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3950D78" w14:textId="77777777" w:rsidR="00000000" w:rsidRDefault="00EB4933">
            <w:pPr>
              <w:jc w:val="right"/>
              <w:rPr>
                <w:rFonts w:eastAsia="Times New Roman"/>
                <w:sz w:val="20"/>
                <w:szCs w:val="20"/>
              </w:rPr>
            </w:pPr>
            <w:r>
              <w:rPr>
                <w:rFonts w:eastAsia="Times New Roman"/>
                <w:sz w:val="20"/>
                <w:szCs w:val="20"/>
              </w:rPr>
              <w:t>581,251</w:t>
            </w:r>
          </w:p>
        </w:tc>
        <w:tc>
          <w:tcPr>
            <w:tcW w:w="50" w:type="pct"/>
            <w:shd w:val="clear" w:color="auto" w:fill="CCEEFF"/>
            <w:noWrap/>
            <w:tcMar>
              <w:top w:w="0" w:type="dxa"/>
              <w:left w:w="0" w:type="dxa"/>
              <w:bottom w:w="15" w:type="dxa"/>
              <w:right w:w="0" w:type="dxa"/>
            </w:tcMar>
            <w:vAlign w:val="center"/>
            <w:hideMark/>
          </w:tcPr>
          <w:p w14:paraId="18329B0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71F44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6B4D2A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2025DD6" w14:textId="77777777" w:rsidR="00000000" w:rsidRDefault="00EB4933">
            <w:pPr>
              <w:jc w:val="right"/>
              <w:rPr>
                <w:rFonts w:eastAsia="Times New Roman"/>
                <w:sz w:val="20"/>
                <w:szCs w:val="20"/>
              </w:rPr>
            </w:pPr>
            <w:r>
              <w:rPr>
                <w:rFonts w:eastAsia="Times New Roman"/>
                <w:sz w:val="20"/>
                <w:szCs w:val="20"/>
              </w:rPr>
              <w:t>582,842</w:t>
            </w:r>
          </w:p>
        </w:tc>
        <w:tc>
          <w:tcPr>
            <w:tcW w:w="50" w:type="pct"/>
            <w:shd w:val="clear" w:color="auto" w:fill="CCEEFF"/>
            <w:noWrap/>
            <w:tcMar>
              <w:top w:w="0" w:type="dxa"/>
              <w:left w:w="0" w:type="dxa"/>
              <w:bottom w:w="15" w:type="dxa"/>
              <w:right w:w="0" w:type="dxa"/>
            </w:tcMar>
            <w:vAlign w:val="center"/>
            <w:hideMark/>
          </w:tcPr>
          <w:p w14:paraId="7FD6964E" w14:textId="77777777" w:rsidR="00000000" w:rsidRDefault="00EB4933">
            <w:pPr>
              <w:pStyle w:val="NormalWeb"/>
              <w:spacing w:before="0" w:beforeAutospacing="0" w:after="0" w:afterAutospacing="0"/>
              <w:rPr>
                <w:sz w:val="20"/>
                <w:szCs w:val="20"/>
              </w:rPr>
            </w:pPr>
            <w:r>
              <w:rPr>
                <w:sz w:val="20"/>
                <w:szCs w:val="20"/>
              </w:rPr>
              <w:t> </w:t>
            </w:r>
          </w:p>
        </w:tc>
      </w:tr>
      <w:tr w:rsidR="00000000" w14:paraId="2BE19124" w14:textId="77777777">
        <w:trPr>
          <w:divId w:val="98525094"/>
          <w:trHeight w:val="225"/>
          <w:tblCellSpacing w:w="15" w:type="dxa"/>
        </w:trPr>
        <w:tc>
          <w:tcPr>
            <w:tcW w:w="0" w:type="auto"/>
            <w:shd w:val="clear" w:color="auto" w:fill="FFFFFF"/>
            <w:hideMark/>
          </w:tcPr>
          <w:p w14:paraId="55C63B2F" w14:textId="77777777" w:rsidR="00000000" w:rsidRDefault="00EB4933">
            <w:pPr>
              <w:pStyle w:val="NormalWeb"/>
              <w:spacing w:before="0" w:beforeAutospacing="0" w:after="0" w:afterAutospacing="0"/>
              <w:jc w:val="both"/>
              <w:rPr>
                <w:sz w:val="20"/>
                <w:szCs w:val="20"/>
              </w:rPr>
            </w:pPr>
            <w:r>
              <w:rPr>
                <w:rStyle w:val="Strong"/>
                <w:sz w:val="20"/>
                <w:szCs w:val="20"/>
              </w:rPr>
              <w:t xml:space="preserve">Financial liabilities </w:t>
            </w:r>
          </w:p>
        </w:tc>
        <w:tc>
          <w:tcPr>
            <w:tcW w:w="50" w:type="pct"/>
            <w:shd w:val="clear" w:color="auto" w:fill="FFFFFF"/>
            <w:noWrap/>
            <w:vAlign w:val="center"/>
            <w:hideMark/>
          </w:tcPr>
          <w:p w14:paraId="30D9585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1EA20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B3B992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6F2B2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D6998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CBE84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39A62F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D2F3D9" w14:textId="77777777" w:rsidR="00000000" w:rsidRDefault="00EB4933">
            <w:pPr>
              <w:pStyle w:val="NormalWeb"/>
              <w:spacing w:before="0" w:beforeAutospacing="0" w:after="0" w:afterAutospacing="0"/>
              <w:rPr>
                <w:sz w:val="20"/>
                <w:szCs w:val="20"/>
              </w:rPr>
            </w:pPr>
            <w:r>
              <w:rPr>
                <w:sz w:val="20"/>
                <w:szCs w:val="20"/>
              </w:rPr>
              <w:t> </w:t>
            </w:r>
          </w:p>
        </w:tc>
      </w:tr>
      <w:tr w:rsidR="00000000" w14:paraId="6CE98EE7" w14:textId="77777777">
        <w:trPr>
          <w:divId w:val="98525094"/>
          <w:trHeight w:val="225"/>
          <w:tblCellSpacing w:w="15" w:type="dxa"/>
        </w:trPr>
        <w:tc>
          <w:tcPr>
            <w:tcW w:w="0" w:type="auto"/>
            <w:shd w:val="clear" w:color="auto" w:fill="CCEEFF"/>
            <w:hideMark/>
          </w:tcPr>
          <w:p w14:paraId="0789EC98" w14:textId="77777777" w:rsidR="00000000" w:rsidRDefault="00EB4933">
            <w:pPr>
              <w:pStyle w:val="NormalWeb"/>
              <w:spacing w:before="0" w:beforeAutospacing="0" w:after="0" w:afterAutospacing="0"/>
              <w:jc w:val="both"/>
              <w:rPr>
                <w:sz w:val="20"/>
                <w:szCs w:val="20"/>
              </w:rPr>
            </w:pPr>
            <w:r>
              <w:rPr>
                <w:sz w:val="20"/>
                <w:szCs w:val="20"/>
              </w:rPr>
              <w:t>Loans payable</w:t>
            </w:r>
          </w:p>
        </w:tc>
        <w:tc>
          <w:tcPr>
            <w:tcW w:w="50" w:type="pct"/>
            <w:shd w:val="clear" w:color="auto" w:fill="CCEEFF"/>
            <w:noWrap/>
            <w:vAlign w:val="center"/>
            <w:hideMark/>
          </w:tcPr>
          <w:p w14:paraId="514646E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01A006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08E4104" w14:textId="77777777" w:rsidR="00000000" w:rsidRDefault="00EB4933">
            <w:pPr>
              <w:jc w:val="right"/>
              <w:rPr>
                <w:rFonts w:eastAsia="Times New Roman"/>
                <w:sz w:val="20"/>
                <w:szCs w:val="20"/>
              </w:rPr>
            </w:pPr>
            <w:r>
              <w:rPr>
                <w:rFonts w:eastAsia="Times New Roman"/>
                <w:sz w:val="20"/>
                <w:szCs w:val="20"/>
              </w:rPr>
              <w:t>203,837</w:t>
            </w:r>
          </w:p>
        </w:tc>
        <w:tc>
          <w:tcPr>
            <w:tcW w:w="50" w:type="pct"/>
            <w:shd w:val="clear" w:color="auto" w:fill="CCEEFF"/>
            <w:noWrap/>
            <w:tcMar>
              <w:top w:w="0" w:type="dxa"/>
              <w:left w:w="0" w:type="dxa"/>
              <w:bottom w:w="15" w:type="dxa"/>
              <w:right w:w="0" w:type="dxa"/>
            </w:tcMar>
            <w:vAlign w:val="center"/>
            <w:hideMark/>
          </w:tcPr>
          <w:p w14:paraId="7C6108D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9E4BB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0CBC3A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41E00DD" w14:textId="77777777" w:rsidR="00000000" w:rsidRDefault="00EB4933">
            <w:pPr>
              <w:jc w:val="right"/>
              <w:rPr>
                <w:rFonts w:eastAsia="Times New Roman"/>
                <w:sz w:val="20"/>
                <w:szCs w:val="20"/>
              </w:rPr>
            </w:pPr>
            <w:r>
              <w:rPr>
                <w:rFonts w:eastAsia="Times New Roman"/>
                <w:sz w:val="20"/>
                <w:szCs w:val="20"/>
              </w:rPr>
              <w:t>200,417</w:t>
            </w:r>
          </w:p>
        </w:tc>
        <w:tc>
          <w:tcPr>
            <w:tcW w:w="50" w:type="pct"/>
            <w:shd w:val="clear" w:color="auto" w:fill="CCEEFF"/>
            <w:noWrap/>
            <w:tcMar>
              <w:top w:w="0" w:type="dxa"/>
              <w:left w:w="0" w:type="dxa"/>
              <w:bottom w:w="15" w:type="dxa"/>
              <w:right w:w="0" w:type="dxa"/>
            </w:tcMar>
            <w:vAlign w:val="center"/>
            <w:hideMark/>
          </w:tcPr>
          <w:p w14:paraId="4E13E94A" w14:textId="77777777" w:rsidR="00000000" w:rsidRDefault="00EB4933">
            <w:pPr>
              <w:pStyle w:val="NormalWeb"/>
              <w:spacing w:before="0" w:beforeAutospacing="0" w:after="0" w:afterAutospacing="0"/>
              <w:rPr>
                <w:sz w:val="20"/>
                <w:szCs w:val="20"/>
              </w:rPr>
            </w:pPr>
            <w:r>
              <w:rPr>
                <w:sz w:val="20"/>
                <w:szCs w:val="20"/>
              </w:rPr>
              <w:t> </w:t>
            </w:r>
          </w:p>
        </w:tc>
      </w:tr>
    </w:tbl>
    <w:p w14:paraId="571C17A5"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B130DA2" w14:textId="77777777">
        <w:trPr>
          <w:divId w:val="98525094"/>
          <w:trHeight w:val="225"/>
          <w:tblCellSpacing w:w="15" w:type="dxa"/>
        </w:trPr>
        <w:tc>
          <w:tcPr>
            <w:tcW w:w="0" w:type="auto"/>
            <w:vAlign w:val="center"/>
            <w:hideMark/>
          </w:tcPr>
          <w:p w14:paraId="6BC40C26" w14:textId="77777777" w:rsidR="00000000" w:rsidRDefault="00EB4933">
            <w:pPr>
              <w:rPr>
                <w:rFonts w:eastAsia="Times New Roman"/>
                <w:sz w:val="20"/>
                <w:szCs w:val="20"/>
              </w:rPr>
            </w:pPr>
            <w:r>
              <w:rPr>
                <w:rFonts w:eastAsia="Times New Roman"/>
                <w:sz w:val="20"/>
                <w:szCs w:val="20"/>
              </w:rPr>
              <w:t> </w:t>
            </w:r>
          </w:p>
        </w:tc>
      </w:tr>
      <w:tr w:rsidR="00000000" w14:paraId="3F45B4BC" w14:textId="77777777">
        <w:trPr>
          <w:divId w:val="98525094"/>
          <w:trHeight w:val="225"/>
          <w:tblCellSpacing w:w="15" w:type="dxa"/>
        </w:trPr>
        <w:tc>
          <w:tcPr>
            <w:tcW w:w="0" w:type="auto"/>
            <w:tcBorders>
              <w:bottom w:val="single" w:sz="6" w:space="0" w:color="000000"/>
            </w:tcBorders>
            <w:vAlign w:val="center"/>
            <w:hideMark/>
          </w:tcPr>
          <w:p w14:paraId="04FED533" w14:textId="77777777" w:rsidR="00000000" w:rsidRDefault="00EB4933">
            <w:pPr>
              <w:jc w:val="center"/>
              <w:rPr>
                <w:rFonts w:eastAsia="Times New Roman"/>
                <w:sz w:val="20"/>
                <w:szCs w:val="20"/>
              </w:rPr>
            </w:pPr>
            <w:r>
              <w:rPr>
                <w:rFonts w:eastAsia="Times New Roman"/>
                <w:sz w:val="20"/>
                <w:szCs w:val="20"/>
              </w:rPr>
              <w:t>F-48</w:t>
            </w:r>
          </w:p>
        </w:tc>
      </w:tr>
      <w:tr w:rsidR="00000000" w14:paraId="7C39F7E3" w14:textId="77777777">
        <w:trPr>
          <w:divId w:val="98525094"/>
          <w:trHeight w:val="225"/>
          <w:tblCellSpacing w:w="15" w:type="dxa"/>
        </w:trPr>
        <w:tc>
          <w:tcPr>
            <w:tcW w:w="0" w:type="auto"/>
            <w:vAlign w:val="center"/>
            <w:hideMark/>
          </w:tcPr>
          <w:p w14:paraId="70335467" w14:textId="77777777" w:rsidR="00000000" w:rsidRDefault="00EB4933">
            <w:pPr>
              <w:rPr>
                <w:rFonts w:eastAsia="Times New Roman"/>
                <w:sz w:val="20"/>
                <w:szCs w:val="20"/>
              </w:rPr>
            </w:pPr>
          </w:p>
        </w:tc>
      </w:tr>
      <w:tr w:rsidR="00000000" w14:paraId="147FCB8F" w14:textId="77777777">
        <w:trPr>
          <w:divId w:val="98525094"/>
          <w:trHeight w:val="225"/>
          <w:tblCellSpacing w:w="15" w:type="dxa"/>
        </w:trPr>
        <w:tc>
          <w:tcPr>
            <w:tcW w:w="0" w:type="auto"/>
            <w:vAlign w:val="center"/>
            <w:hideMark/>
          </w:tcPr>
          <w:p w14:paraId="56E7C510" w14:textId="77777777" w:rsidR="00000000" w:rsidRDefault="00EB4933">
            <w:pPr>
              <w:rPr>
                <w:rFonts w:eastAsia="Times New Roman"/>
                <w:sz w:val="20"/>
                <w:szCs w:val="20"/>
              </w:rPr>
            </w:pPr>
            <w:hyperlink r:id="rId265" w:anchor="finindex" w:history="1">
              <w:r>
                <w:rPr>
                  <w:rStyle w:val="Hyperlink"/>
                  <w:rFonts w:eastAsia="Times New Roman"/>
                  <w:i/>
                  <w:iCs/>
                  <w:sz w:val="20"/>
                  <w:szCs w:val="20"/>
                </w:rPr>
                <w:t>Table of Contents</w:t>
              </w:r>
            </w:hyperlink>
          </w:p>
        </w:tc>
      </w:tr>
    </w:tbl>
    <w:p w14:paraId="05B0F12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01F8A6D"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050E7914"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1747A2F3"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FOR THE FINANCIAL YEAR ENDED 2017, 2018 AND 2019 </w:t>
      </w:r>
    </w:p>
    <w:p w14:paraId="3242FDF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F160E0D" w14:textId="77777777" w:rsidR="00000000" w:rsidRDefault="00EB4933">
      <w:pPr>
        <w:pStyle w:val="NormalWeb"/>
        <w:spacing w:before="0" w:beforeAutospacing="0" w:after="0" w:afterAutospacing="0"/>
        <w:jc w:val="both"/>
        <w:divId w:val="98525094"/>
        <w:rPr>
          <w:sz w:val="20"/>
          <w:szCs w:val="20"/>
        </w:rPr>
      </w:pPr>
      <w:r>
        <w:rPr>
          <w:rStyle w:val="Strong"/>
          <w:sz w:val="20"/>
          <w:szCs w:val="20"/>
        </w:rPr>
        <w:t>10.</w:t>
      </w:r>
      <w:r>
        <w:rPr>
          <w:rStyle w:val="Strong"/>
          <w:sz w:val="14"/>
          <w:szCs w:val="14"/>
        </w:rPr>
        <w:t> </w:t>
      </w:r>
      <w:r>
        <w:rPr>
          <w:rStyle w:val="Strong"/>
          <w:sz w:val="20"/>
          <w:szCs w:val="20"/>
        </w:rPr>
        <w:t>Profit before income taxes</w:t>
      </w:r>
    </w:p>
    <w:p w14:paraId="1C25E55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4DBDB32" w14:textId="77777777" w:rsidR="00000000" w:rsidRDefault="00EB4933">
      <w:pPr>
        <w:pStyle w:val="NormalWeb"/>
        <w:spacing w:before="0" w:beforeAutospacing="0" w:after="0" w:afterAutospacing="0"/>
        <w:ind w:left="675"/>
        <w:jc w:val="both"/>
        <w:divId w:val="98525094"/>
        <w:rPr>
          <w:sz w:val="20"/>
          <w:szCs w:val="20"/>
        </w:rPr>
      </w:pPr>
      <w:r>
        <w:rPr>
          <w:sz w:val="20"/>
          <w:szCs w:val="20"/>
        </w:rPr>
        <w:t>Expenses by nature</w:t>
      </w:r>
    </w:p>
    <w:p w14:paraId="31750DE4"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5287"/>
        <w:gridCol w:w="112"/>
        <w:gridCol w:w="112"/>
        <w:gridCol w:w="767"/>
        <w:gridCol w:w="112"/>
        <w:gridCol w:w="112"/>
        <w:gridCol w:w="112"/>
        <w:gridCol w:w="767"/>
        <w:gridCol w:w="112"/>
        <w:gridCol w:w="112"/>
        <w:gridCol w:w="112"/>
        <w:gridCol w:w="767"/>
        <w:gridCol w:w="127"/>
      </w:tblGrid>
      <w:tr w:rsidR="00000000" w14:paraId="7508B3E4" w14:textId="77777777">
        <w:trPr>
          <w:divId w:val="98525094"/>
          <w:trHeight w:val="225"/>
          <w:tblCellSpacing w:w="15" w:type="dxa"/>
        </w:trPr>
        <w:tc>
          <w:tcPr>
            <w:tcW w:w="0" w:type="auto"/>
            <w:vAlign w:val="center"/>
            <w:hideMark/>
          </w:tcPr>
          <w:p w14:paraId="72A2C010"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8AF16A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10"/>
            <w:tcBorders>
              <w:bottom w:val="single" w:sz="6" w:space="0" w:color="000000"/>
            </w:tcBorders>
            <w:vAlign w:val="bottom"/>
            <w:hideMark/>
          </w:tcPr>
          <w:p w14:paraId="2004F3CA" w14:textId="77777777" w:rsidR="00000000" w:rsidRDefault="00EB4933">
            <w:pPr>
              <w:pStyle w:val="NormalWeb"/>
              <w:spacing w:before="0" w:beforeAutospacing="0" w:after="0" w:afterAutospacing="0"/>
              <w:jc w:val="center"/>
              <w:rPr>
                <w:sz w:val="20"/>
                <w:szCs w:val="20"/>
              </w:rPr>
            </w:pPr>
            <w:r>
              <w:rPr>
                <w:rStyle w:val="Strong"/>
                <w:sz w:val="20"/>
                <w:szCs w:val="20"/>
              </w:rPr>
              <w:t>Year Ended December 31,</w:t>
            </w:r>
          </w:p>
        </w:tc>
        <w:tc>
          <w:tcPr>
            <w:tcW w:w="0" w:type="auto"/>
            <w:noWrap/>
            <w:vAlign w:val="center"/>
            <w:hideMark/>
          </w:tcPr>
          <w:p w14:paraId="79094E2B" w14:textId="77777777" w:rsidR="00000000" w:rsidRDefault="00EB4933">
            <w:pPr>
              <w:pStyle w:val="NormalWeb"/>
              <w:spacing w:before="0" w:beforeAutospacing="0" w:after="0" w:afterAutospacing="0"/>
              <w:rPr>
                <w:sz w:val="20"/>
                <w:szCs w:val="20"/>
              </w:rPr>
            </w:pPr>
            <w:r>
              <w:rPr>
                <w:sz w:val="20"/>
                <w:szCs w:val="20"/>
              </w:rPr>
              <w:t> </w:t>
            </w:r>
          </w:p>
        </w:tc>
      </w:tr>
      <w:tr w:rsidR="00000000" w14:paraId="646FDABF" w14:textId="77777777">
        <w:trPr>
          <w:divId w:val="98525094"/>
          <w:trHeight w:val="225"/>
          <w:tblCellSpacing w:w="15" w:type="dxa"/>
        </w:trPr>
        <w:tc>
          <w:tcPr>
            <w:tcW w:w="0" w:type="auto"/>
            <w:vAlign w:val="center"/>
            <w:hideMark/>
          </w:tcPr>
          <w:p w14:paraId="69EA1DCC"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586119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135CEE8D" w14:textId="77777777" w:rsidR="00000000" w:rsidRDefault="00EB4933">
            <w:pPr>
              <w:pStyle w:val="NormalWeb"/>
              <w:spacing w:before="0" w:beforeAutospacing="0" w:after="0" w:afterAutospacing="0"/>
              <w:jc w:val="center"/>
              <w:rPr>
                <w:sz w:val="20"/>
                <w:szCs w:val="20"/>
              </w:rPr>
            </w:pPr>
            <w:r>
              <w:rPr>
                <w:rStyle w:val="Strong"/>
                <w:sz w:val="20"/>
                <w:szCs w:val="20"/>
              </w:rPr>
              <w:t>2017</w:t>
            </w:r>
          </w:p>
        </w:tc>
        <w:tc>
          <w:tcPr>
            <w:tcW w:w="0" w:type="auto"/>
            <w:noWrap/>
            <w:vAlign w:val="center"/>
            <w:hideMark/>
          </w:tcPr>
          <w:p w14:paraId="6F3848E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D5189C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1C206D31"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vAlign w:val="center"/>
            <w:hideMark/>
          </w:tcPr>
          <w:p w14:paraId="2309C3F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8AFF2C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2100EB5F"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3B526EC2" w14:textId="77777777" w:rsidR="00000000" w:rsidRDefault="00EB4933">
            <w:pPr>
              <w:pStyle w:val="NormalWeb"/>
              <w:spacing w:before="0" w:beforeAutospacing="0" w:after="0" w:afterAutospacing="0"/>
              <w:rPr>
                <w:sz w:val="20"/>
                <w:szCs w:val="20"/>
              </w:rPr>
            </w:pPr>
            <w:r>
              <w:rPr>
                <w:sz w:val="20"/>
                <w:szCs w:val="20"/>
              </w:rPr>
              <w:t> </w:t>
            </w:r>
          </w:p>
        </w:tc>
      </w:tr>
      <w:tr w:rsidR="00000000" w14:paraId="55817737" w14:textId="77777777">
        <w:trPr>
          <w:divId w:val="98525094"/>
          <w:trHeight w:val="225"/>
          <w:tblCellSpacing w:w="15" w:type="dxa"/>
        </w:trPr>
        <w:tc>
          <w:tcPr>
            <w:tcW w:w="0" w:type="auto"/>
            <w:vAlign w:val="center"/>
            <w:hideMark/>
          </w:tcPr>
          <w:p w14:paraId="3227BC2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96A4484"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3CD34AB4"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10E5B190"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6D99071"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7387228D"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224583D2"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FDEC7DC"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00A62216"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00764D55" w14:textId="77777777" w:rsidR="00000000" w:rsidRDefault="00EB4933">
            <w:pPr>
              <w:pStyle w:val="NormalWeb"/>
              <w:spacing w:before="0" w:beforeAutospacing="0" w:after="0" w:afterAutospacing="0"/>
              <w:rPr>
                <w:sz w:val="20"/>
                <w:szCs w:val="20"/>
              </w:rPr>
            </w:pPr>
            <w:r>
              <w:rPr>
                <w:sz w:val="20"/>
                <w:szCs w:val="20"/>
              </w:rPr>
              <w:t> </w:t>
            </w:r>
          </w:p>
        </w:tc>
      </w:tr>
      <w:tr w:rsidR="00000000" w14:paraId="5170B100" w14:textId="77777777">
        <w:trPr>
          <w:divId w:val="98525094"/>
          <w:trHeight w:val="225"/>
          <w:tblCellSpacing w:w="15" w:type="dxa"/>
        </w:trPr>
        <w:tc>
          <w:tcPr>
            <w:tcW w:w="0" w:type="auto"/>
            <w:vAlign w:val="center"/>
            <w:hideMark/>
          </w:tcPr>
          <w:p w14:paraId="62C76D4D"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7B91F48"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3F1CDBF"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E6EE1E4"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EDCC8E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5715623F"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A66FA87"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BA5FF9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7A4BD318"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9EE2E3D" w14:textId="77777777" w:rsidR="00000000" w:rsidRDefault="00EB4933">
            <w:pPr>
              <w:pStyle w:val="NormalWeb"/>
              <w:spacing w:before="0" w:beforeAutospacing="0" w:after="0" w:afterAutospacing="0"/>
              <w:rPr>
                <w:sz w:val="20"/>
                <w:szCs w:val="20"/>
              </w:rPr>
            </w:pPr>
            <w:r>
              <w:rPr>
                <w:sz w:val="20"/>
                <w:szCs w:val="20"/>
              </w:rPr>
              <w:t> </w:t>
            </w:r>
          </w:p>
        </w:tc>
      </w:tr>
      <w:tr w:rsidR="00000000" w14:paraId="4EC9A671" w14:textId="77777777">
        <w:trPr>
          <w:divId w:val="98525094"/>
          <w:trHeight w:val="225"/>
          <w:tblCellSpacing w:w="15" w:type="dxa"/>
        </w:trPr>
        <w:tc>
          <w:tcPr>
            <w:tcW w:w="0" w:type="auto"/>
            <w:shd w:val="clear" w:color="auto" w:fill="CCEEFF"/>
            <w:hideMark/>
          </w:tcPr>
          <w:p w14:paraId="6B433AD8" w14:textId="77777777" w:rsidR="00000000" w:rsidRDefault="00EB4933">
            <w:pPr>
              <w:pStyle w:val="NormalWeb"/>
              <w:spacing w:before="0" w:beforeAutospacing="0" w:after="0" w:afterAutospacing="0"/>
              <w:jc w:val="both"/>
              <w:rPr>
                <w:sz w:val="20"/>
                <w:szCs w:val="20"/>
              </w:rPr>
            </w:pPr>
            <w:r>
              <w:rPr>
                <w:sz w:val="20"/>
                <w:szCs w:val="20"/>
              </w:rPr>
              <w:t>Depreciation of property and equipment</w:t>
            </w:r>
          </w:p>
        </w:tc>
        <w:tc>
          <w:tcPr>
            <w:tcW w:w="50" w:type="pct"/>
            <w:shd w:val="clear" w:color="auto" w:fill="CCEEFF"/>
            <w:noWrap/>
            <w:vAlign w:val="center"/>
            <w:hideMark/>
          </w:tcPr>
          <w:p w14:paraId="0D35554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14379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CA47BCE" w14:textId="77777777" w:rsidR="00000000" w:rsidRDefault="00EB4933">
            <w:pPr>
              <w:jc w:val="right"/>
              <w:rPr>
                <w:rFonts w:eastAsia="Times New Roman"/>
                <w:sz w:val="20"/>
                <w:szCs w:val="20"/>
              </w:rPr>
            </w:pPr>
            <w:r>
              <w:rPr>
                <w:rFonts w:eastAsia="Times New Roman"/>
                <w:sz w:val="20"/>
                <w:szCs w:val="20"/>
              </w:rPr>
              <w:t>441</w:t>
            </w:r>
          </w:p>
        </w:tc>
        <w:tc>
          <w:tcPr>
            <w:tcW w:w="50" w:type="pct"/>
            <w:shd w:val="clear" w:color="auto" w:fill="CCEEFF"/>
            <w:noWrap/>
            <w:vAlign w:val="center"/>
            <w:hideMark/>
          </w:tcPr>
          <w:p w14:paraId="7D2E8EA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22E65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EBA3C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9F79D41" w14:textId="77777777" w:rsidR="00000000" w:rsidRDefault="00EB4933">
            <w:pPr>
              <w:jc w:val="right"/>
              <w:rPr>
                <w:rFonts w:eastAsia="Times New Roman"/>
                <w:sz w:val="20"/>
                <w:szCs w:val="20"/>
              </w:rPr>
            </w:pPr>
            <w:r>
              <w:rPr>
                <w:rFonts w:eastAsia="Times New Roman"/>
                <w:sz w:val="20"/>
                <w:szCs w:val="20"/>
              </w:rPr>
              <w:t>818</w:t>
            </w:r>
          </w:p>
        </w:tc>
        <w:tc>
          <w:tcPr>
            <w:tcW w:w="50" w:type="pct"/>
            <w:shd w:val="clear" w:color="auto" w:fill="CCEEFF"/>
            <w:noWrap/>
            <w:vAlign w:val="center"/>
            <w:hideMark/>
          </w:tcPr>
          <w:p w14:paraId="6B589FC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F674F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F2730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E330BE9" w14:textId="77777777" w:rsidR="00000000" w:rsidRDefault="00EB4933">
            <w:pPr>
              <w:jc w:val="right"/>
              <w:rPr>
                <w:rFonts w:eastAsia="Times New Roman"/>
                <w:sz w:val="20"/>
                <w:szCs w:val="20"/>
              </w:rPr>
            </w:pPr>
            <w:r>
              <w:rPr>
                <w:rFonts w:eastAsia="Times New Roman"/>
                <w:sz w:val="20"/>
                <w:szCs w:val="20"/>
              </w:rPr>
              <w:t>2,944</w:t>
            </w:r>
          </w:p>
        </w:tc>
        <w:tc>
          <w:tcPr>
            <w:tcW w:w="50" w:type="pct"/>
            <w:shd w:val="clear" w:color="auto" w:fill="CCEEFF"/>
            <w:noWrap/>
            <w:vAlign w:val="center"/>
            <w:hideMark/>
          </w:tcPr>
          <w:p w14:paraId="475CD0F8" w14:textId="77777777" w:rsidR="00000000" w:rsidRDefault="00EB4933">
            <w:pPr>
              <w:pStyle w:val="NormalWeb"/>
              <w:spacing w:before="0" w:beforeAutospacing="0" w:after="0" w:afterAutospacing="0"/>
              <w:rPr>
                <w:sz w:val="20"/>
                <w:szCs w:val="20"/>
              </w:rPr>
            </w:pPr>
            <w:r>
              <w:rPr>
                <w:sz w:val="20"/>
                <w:szCs w:val="20"/>
              </w:rPr>
              <w:t> </w:t>
            </w:r>
          </w:p>
        </w:tc>
      </w:tr>
      <w:tr w:rsidR="00000000" w14:paraId="0093A134" w14:textId="77777777">
        <w:trPr>
          <w:divId w:val="98525094"/>
          <w:trHeight w:val="225"/>
          <w:tblCellSpacing w:w="15" w:type="dxa"/>
        </w:trPr>
        <w:tc>
          <w:tcPr>
            <w:tcW w:w="0" w:type="auto"/>
            <w:shd w:val="clear" w:color="auto" w:fill="FFFFFF"/>
            <w:hideMark/>
          </w:tcPr>
          <w:p w14:paraId="2903098E" w14:textId="77777777" w:rsidR="00000000" w:rsidRDefault="00EB4933">
            <w:pPr>
              <w:pStyle w:val="NormalWeb"/>
              <w:spacing w:before="0" w:beforeAutospacing="0" w:after="0" w:afterAutospacing="0"/>
              <w:jc w:val="both"/>
              <w:rPr>
                <w:sz w:val="20"/>
                <w:szCs w:val="20"/>
              </w:rPr>
            </w:pPr>
            <w:r>
              <w:rPr>
                <w:sz w:val="20"/>
                <w:szCs w:val="20"/>
              </w:rPr>
              <w:t>Amortization of intangible assets</w:t>
            </w:r>
          </w:p>
        </w:tc>
        <w:tc>
          <w:tcPr>
            <w:tcW w:w="50" w:type="pct"/>
            <w:shd w:val="clear" w:color="auto" w:fill="FFFFFF"/>
            <w:noWrap/>
            <w:vAlign w:val="center"/>
            <w:hideMark/>
          </w:tcPr>
          <w:p w14:paraId="7492518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4E395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FFB0A09"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CBCDB0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2B7AA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0C394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6FEE509"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BA56E9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90C5D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019B6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5B4566C" w14:textId="77777777" w:rsidR="00000000" w:rsidRDefault="00EB4933">
            <w:pPr>
              <w:jc w:val="right"/>
              <w:rPr>
                <w:rFonts w:eastAsia="Times New Roman"/>
                <w:sz w:val="20"/>
                <w:szCs w:val="20"/>
              </w:rPr>
            </w:pPr>
            <w:r>
              <w:rPr>
                <w:rFonts w:eastAsia="Times New Roman"/>
                <w:sz w:val="20"/>
                <w:szCs w:val="20"/>
              </w:rPr>
              <w:t>2</w:t>
            </w:r>
          </w:p>
        </w:tc>
        <w:tc>
          <w:tcPr>
            <w:tcW w:w="50" w:type="pct"/>
            <w:shd w:val="clear" w:color="auto" w:fill="FFFFFF"/>
            <w:noWrap/>
            <w:vAlign w:val="center"/>
            <w:hideMark/>
          </w:tcPr>
          <w:p w14:paraId="2264656C" w14:textId="77777777" w:rsidR="00000000" w:rsidRDefault="00EB4933">
            <w:pPr>
              <w:pStyle w:val="NormalWeb"/>
              <w:spacing w:before="0" w:beforeAutospacing="0" w:after="0" w:afterAutospacing="0"/>
              <w:rPr>
                <w:sz w:val="20"/>
                <w:szCs w:val="20"/>
              </w:rPr>
            </w:pPr>
            <w:r>
              <w:rPr>
                <w:sz w:val="20"/>
                <w:szCs w:val="20"/>
              </w:rPr>
              <w:t> </w:t>
            </w:r>
          </w:p>
        </w:tc>
      </w:tr>
      <w:tr w:rsidR="00000000" w14:paraId="744F8EA1" w14:textId="77777777">
        <w:trPr>
          <w:divId w:val="98525094"/>
          <w:trHeight w:val="225"/>
          <w:tblCellSpacing w:w="15" w:type="dxa"/>
        </w:trPr>
        <w:tc>
          <w:tcPr>
            <w:tcW w:w="0" w:type="auto"/>
            <w:shd w:val="clear" w:color="auto" w:fill="CCEEFF"/>
            <w:hideMark/>
          </w:tcPr>
          <w:p w14:paraId="3A9BE783" w14:textId="77777777" w:rsidR="00000000" w:rsidRDefault="00EB4933">
            <w:pPr>
              <w:pStyle w:val="NormalWeb"/>
              <w:spacing w:before="0" w:beforeAutospacing="0" w:after="0" w:afterAutospacing="0"/>
              <w:jc w:val="both"/>
              <w:rPr>
                <w:sz w:val="20"/>
                <w:szCs w:val="20"/>
              </w:rPr>
            </w:pPr>
            <w:r>
              <w:rPr>
                <w:sz w:val="20"/>
                <w:szCs w:val="20"/>
              </w:rPr>
              <w:t>Directors</w:t>
            </w:r>
          </w:p>
        </w:tc>
        <w:tc>
          <w:tcPr>
            <w:tcW w:w="50" w:type="pct"/>
            <w:shd w:val="clear" w:color="auto" w:fill="CCEEFF"/>
            <w:noWrap/>
            <w:vAlign w:val="center"/>
            <w:hideMark/>
          </w:tcPr>
          <w:p w14:paraId="0A0D591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1FBE1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5CD5AE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25B0E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015FD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C6C2F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A31CA4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2901A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2FFAB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B2230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AF6F7F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93CDEB" w14:textId="77777777" w:rsidR="00000000" w:rsidRDefault="00EB4933">
            <w:pPr>
              <w:pStyle w:val="NormalWeb"/>
              <w:spacing w:before="0" w:beforeAutospacing="0" w:after="0" w:afterAutospacing="0"/>
              <w:rPr>
                <w:sz w:val="20"/>
                <w:szCs w:val="20"/>
              </w:rPr>
            </w:pPr>
            <w:r>
              <w:rPr>
                <w:sz w:val="20"/>
                <w:szCs w:val="20"/>
              </w:rPr>
              <w:t> </w:t>
            </w:r>
          </w:p>
        </w:tc>
      </w:tr>
      <w:tr w:rsidR="00000000" w14:paraId="4C470EB4" w14:textId="77777777">
        <w:trPr>
          <w:divId w:val="98525094"/>
          <w:trHeight w:val="225"/>
          <w:tblCellSpacing w:w="15" w:type="dxa"/>
        </w:trPr>
        <w:tc>
          <w:tcPr>
            <w:tcW w:w="0" w:type="auto"/>
            <w:shd w:val="clear" w:color="auto" w:fill="FFFFFF"/>
            <w:hideMark/>
          </w:tcPr>
          <w:p w14:paraId="2B1FA3A9" w14:textId="77777777" w:rsidR="00000000" w:rsidRDefault="00EB4933">
            <w:pPr>
              <w:pStyle w:val="NormalWeb"/>
              <w:spacing w:before="0" w:beforeAutospacing="0" w:after="0" w:afterAutospacing="0"/>
              <w:jc w:val="both"/>
              <w:rPr>
                <w:sz w:val="20"/>
                <w:szCs w:val="20"/>
              </w:rPr>
            </w:pPr>
            <w:r>
              <w:rPr>
                <w:sz w:val="20"/>
                <w:szCs w:val="20"/>
              </w:rPr>
              <w:t>- salaries and related costs</w:t>
            </w:r>
          </w:p>
        </w:tc>
        <w:tc>
          <w:tcPr>
            <w:tcW w:w="50" w:type="pct"/>
            <w:shd w:val="clear" w:color="auto" w:fill="FFFFFF"/>
            <w:noWrap/>
            <w:vAlign w:val="center"/>
            <w:hideMark/>
          </w:tcPr>
          <w:p w14:paraId="77D656E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D07A7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CF7EB71" w14:textId="77777777" w:rsidR="00000000" w:rsidRDefault="00EB4933">
            <w:pPr>
              <w:jc w:val="right"/>
              <w:rPr>
                <w:rFonts w:eastAsia="Times New Roman"/>
                <w:sz w:val="20"/>
                <w:szCs w:val="20"/>
              </w:rPr>
            </w:pPr>
            <w:r>
              <w:rPr>
                <w:rFonts w:eastAsia="Times New Roman"/>
                <w:sz w:val="20"/>
                <w:szCs w:val="20"/>
              </w:rPr>
              <w:t>234</w:t>
            </w:r>
          </w:p>
        </w:tc>
        <w:tc>
          <w:tcPr>
            <w:tcW w:w="50" w:type="pct"/>
            <w:shd w:val="clear" w:color="auto" w:fill="FFFFFF"/>
            <w:noWrap/>
            <w:vAlign w:val="center"/>
            <w:hideMark/>
          </w:tcPr>
          <w:p w14:paraId="4E104CC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5D67F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6994F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184B0B4" w14:textId="77777777" w:rsidR="00000000" w:rsidRDefault="00EB4933">
            <w:pPr>
              <w:jc w:val="right"/>
              <w:rPr>
                <w:rFonts w:eastAsia="Times New Roman"/>
                <w:sz w:val="20"/>
                <w:szCs w:val="20"/>
              </w:rPr>
            </w:pPr>
            <w:r>
              <w:rPr>
                <w:rFonts w:eastAsia="Times New Roman"/>
                <w:sz w:val="20"/>
                <w:szCs w:val="20"/>
              </w:rPr>
              <w:t>1,815</w:t>
            </w:r>
          </w:p>
        </w:tc>
        <w:tc>
          <w:tcPr>
            <w:tcW w:w="50" w:type="pct"/>
            <w:shd w:val="clear" w:color="auto" w:fill="FFFFFF"/>
            <w:noWrap/>
            <w:vAlign w:val="center"/>
            <w:hideMark/>
          </w:tcPr>
          <w:p w14:paraId="6A7BD59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BDC06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8BBC6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0C7E56D" w14:textId="77777777" w:rsidR="00000000" w:rsidRDefault="00EB4933">
            <w:pPr>
              <w:jc w:val="right"/>
              <w:rPr>
                <w:rFonts w:eastAsia="Times New Roman"/>
                <w:sz w:val="20"/>
                <w:szCs w:val="20"/>
              </w:rPr>
            </w:pPr>
            <w:r>
              <w:rPr>
                <w:rFonts w:eastAsia="Times New Roman"/>
                <w:sz w:val="20"/>
                <w:szCs w:val="20"/>
              </w:rPr>
              <w:t>1,704</w:t>
            </w:r>
          </w:p>
        </w:tc>
        <w:tc>
          <w:tcPr>
            <w:tcW w:w="50" w:type="pct"/>
            <w:shd w:val="clear" w:color="auto" w:fill="FFFFFF"/>
            <w:noWrap/>
            <w:vAlign w:val="center"/>
            <w:hideMark/>
          </w:tcPr>
          <w:p w14:paraId="3FB98C45" w14:textId="77777777" w:rsidR="00000000" w:rsidRDefault="00EB4933">
            <w:pPr>
              <w:pStyle w:val="NormalWeb"/>
              <w:spacing w:before="0" w:beforeAutospacing="0" w:after="0" w:afterAutospacing="0"/>
              <w:rPr>
                <w:sz w:val="20"/>
                <w:szCs w:val="20"/>
              </w:rPr>
            </w:pPr>
            <w:r>
              <w:rPr>
                <w:sz w:val="20"/>
                <w:szCs w:val="20"/>
              </w:rPr>
              <w:t> </w:t>
            </w:r>
          </w:p>
        </w:tc>
      </w:tr>
      <w:tr w:rsidR="00000000" w14:paraId="2B2EE448" w14:textId="77777777">
        <w:trPr>
          <w:divId w:val="98525094"/>
          <w:trHeight w:val="225"/>
          <w:tblCellSpacing w:w="15" w:type="dxa"/>
        </w:trPr>
        <w:tc>
          <w:tcPr>
            <w:tcW w:w="0" w:type="auto"/>
            <w:shd w:val="clear" w:color="auto" w:fill="CCEEFF"/>
            <w:hideMark/>
          </w:tcPr>
          <w:p w14:paraId="5D0BEED9" w14:textId="77777777" w:rsidR="00000000" w:rsidRDefault="00EB4933">
            <w:pPr>
              <w:pStyle w:val="NormalWeb"/>
              <w:spacing w:before="0" w:beforeAutospacing="0" w:after="0" w:afterAutospacing="0"/>
              <w:jc w:val="both"/>
              <w:rPr>
                <w:sz w:val="20"/>
                <w:szCs w:val="20"/>
              </w:rPr>
            </w:pPr>
            <w:r>
              <w:rPr>
                <w:sz w:val="20"/>
                <w:szCs w:val="20"/>
              </w:rPr>
              <w:t>- social benefits contribution</w:t>
            </w:r>
          </w:p>
        </w:tc>
        <w:tc>
          <w:tcPr>
            <w:tcW w:w="50" w:type="pct"/>
            <w:shd w:val="clear" w:color="auto" w:fill="CCEEFF"/>
            <w:noWrap/>
            <w:vAlign w:val="center"/>
            <w:hideMark/>
          </w:tcPr>
          <w:p w14:paraId="2DD6E46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05410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C9B60F5"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FE38D8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B9CEC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3DCA5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388016A" w14:textId="77777777" w:rsidR="00000000" w:rsidRDefault="00EB4933">
            <w:pPr>
              <w:jc w:val="right"/>
              <w:rPr>
                <w:rFonts w:eastAsia="Times New Roman"/>
                <w:sz w:val="20"/>
                <w:szCs w:val="20"/>
              </w:rPr>
            </w:pPr>
            <w:r>
              <w:rPr>
                <w:rFonts w:eastAsia="Times New Roman"/>
                <w:sz w:val="20"/>
                <w:szCs w:val="20"/>
              </w:rPr>
              <w:t>130</w:t>
            </w:r>
          </w:p>
        </w:tc>
        <w:tc>
          <w:tcPr>
            <w:tcW w:w="50" w:type="pct"/>
            <w:shd w:val="clear" w:color="auto" w:fill="CCEEFF"/>
            <w:noWrap/>
            <w:vAlign w:val="center"/>
            <w:hideMark/>
          </w:tcPr>
          <w:p w14:paraId="63AAED8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66A8A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612EB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B49FBB7" w14:textId="77777777" w:rsidR="00000000" w:rsidRDefault="00EB4933">
            <w:pPr>
              <w:jc w:val="right"/>
              <w:rPr>
                <w:rFonts w:eastAsia="Times New Roman"/>
                <w:sz w:val="20"/>
                <w:szCs w:val="20"/>
              </w:rPr>
            </w:pPr>
            <w:r>
              <w:rPr>
                <w:rFonts w:eastAsia="Times New Roman"/>
                <w:sz w:val="20"/>
                <w:szCs w:val="20"/>
              </w:rPr>
              <w:t>44</w:t>
            </w:r>
          </w:p>
        </w:tc>
        <w:tc>
          <w:tcPr>
            <w:tcW w:w="50" w:type="pct"/>
            <w:shd w:val="clear" w:color="auto" w:fill="CCEEFF"/>
            <w:noWrap/>
            <w:vAlign w:val="center"/>
            <w:hideMark/>
          </w:tcPr>
          <w:p w14:paraId="604AA87E" w14:textId="77777777" w:rsidR="00000000" w:rsidRDefault="00EB4933">
            <w:pPr>
              <w:pStyle w:val="NormalWeb"/>
              <w:spacing w:before="0" w:beforeAutospacing="0" w:after="0" w:afterAutospacing="0"/>
              <w:rPr>
                <w:sz w:val="20"/>
                <w:szCs w:val="20"/>
              </w:rPr>
            </w:pPr>
            <w:r>
              <w:rPr>
                <w:sz w:val="20"/>
                <w:szCs w:val="20"/>
              </w:rPr>
              <w:t> </w:t>
            </w:r>
          </w:p>
        </w:tc>
      </w:tr>
      <w:tr w:rsidR="00000000" w14:paraId="052B63D1" w14:textId="77777777">
        <w:trPr>
          <w:divId w:val="98525094"/>
          <w:trHeight w:val="225"/>
          <w:tblCellSpacing w:w="15" w:type="dxa"/>
        </w:trPr>
        <w:tc>
          <w:tcPr>
            <w:tcW w:w="0" w:type="auto"/>
            <w:shd w:val="clear" w:color="auto" w:fill="FFFFFF"/>
            <w:hideMark/>
          </w:tcPr>
          <w:p w14:paraId="40F87752" w14:textId="77777777" w:rsidR="00000000" w:rsidRDefault="00EB4933">
            <w:pPr>
              <w:pStyle w:val="NormalWeb"/>
              <w:spacing w:before="0" w:beforeAutospacing="0" w:after="0" w:afterAutospacing="0"/>
              <w:jc w:val="both"/>
              <w:rPr>
                <w:sz w:val="20"/>
                <w:szCs w:val="20"/>
              </w:rPr>
            </w:pPr>
            <w:r>
              <w:rPr>
                <w:sz w:val="20"/>
                <w:szCs w:val="20"/>
              </w:rPr>
              <w:t>- share based compensation</w:t>
            </w:r>
          </w:p>
        </w:tc>
        <w:tc>
          <w:tcPr>
            <w:tcW w:w="50" w:type="pct"/>
            <w:shd w:val="clear" w:color="auto" w:fill="FFFFFF"/>
            <w:noWrap/>
            <w:vAlign w:val="center"/>
            <w:hideMark/>
          </w:tcPr>
          <w:p w14:paraId="1706647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494E1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644F9C1"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F2E4CA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3ED5D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9F788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FDF5C1B" w14:textId="77777777" w:rsidR="00000000" w:rsidRDefault="00EB4933">
            <w:pPr>
              <w:jc w:val="right"/>
              <w:rPr>
                <w:rFonts w:eastAsia="Times New Roman"/>
                <w:sz w:val="20"/>
                <w:szCs w:val="20"/>
              </w:rPr>
            </w:pPr>
            <w:r>
              <w:rPr>
                <w:rFonts w:eastAsia="Times New Roman"/>
                <w:sz w:val="20"/>
                <w:szCs w:val="20"/>
              </w:rPr>
              <w:t>589</w:t>
            </w:r>
          </w:p>
        </w:tc>
        <w:tc>
          <w:tcPr>
            <w:tcW w:w="50" w:type="pct"/>
            <w:shd w:val="clear" w:color="auto" w:fill="FFFFFF"/>
            <w:noWrap/>
            <w:vAlign w:val="center"/>
            <w:hideMark/>
          </w:tcPr>
          <w:p w14:paraId="36DD773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323E2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88716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874796D" w14:textId="77777777" w:rsidR="00000000" w:rsidRDefault="00EB4933">
            <w:pPr>
              <w:jc w:val="right"/>
              <w:rPr>
                <w:rFonts w:eastAsia="Times New Roman"/>
                <w:sz w:val="20"/>
                <w:szCs w:val="20"/>
              </w:rPr>
            </w:pPr>
            <w:r>
              <w:rPr>
                <w:rFonts w:eastAsia="Times New Roman"/>
                <w:sz w:val="20"/>
                <w:szCs w:val="20"/>
              </w:rPr>
              <w:t>50</w:t>
            </w:r>
          </w:p>
        </w:tc>
        <w:tc>
          <w:tcPr>
            <w:tcW w:w="50" w:type="pct"/>
            <w:shd w:val="clear" w:color="auto" w:fill="FFFFFF"/>
            <w:noWrap/>
            <w:vAlign w:val="center"/>
            <w:hideMark/>
          </w:tcPr>
          <w:p w14:paraId="07633D18" w14:textId="77777777" w:rsidR="00000000" w:rsidRDefault="00EB4933">
            <w:pPr>
              <w:pStyle w:val="NormalWeb"/>
              <w:spacing w:before="0" w:beforeAutospacing="0" w:after="0" w:afterAutospacing="0"/>
              <w:rPr>
                <w:sz w:val="20"/>
                <w:szCs w:val="20"/>
              </w:rPr>
            </w:pPr>
            <w:r>
              <w:rPr>
                <w:sz w:val="20"/>
                <w:szCs w:val="20"/>
              </w:rPr>
              <w:t> </w:t>
            </w:r>
          </w:p>
        </w:tc>
      </w:tr>
      <w:tr w:rsidR="00000000" w14:paraId="00B10BED" w14:textId="77777777">
        <w:trPr>
          <w:divId w:val="98525094"/>
          <w:trHeight w:val="225"/>
          <w:tblCellSpacing w:w="15" w:type="dxa"/>
        </w:trPr>
        <w:tc>
          <w:tcPr>
            <w:tcW w:w="0" w:type="auto"/>
            <w:shd w:val="clear" w:color="auto" w:fill="CCEEFF"/>
            <w:hideMark/>
          </w:tcPr>
          <w:p w14:paraId="6CA0EED6" w14:textId="77777777" w:rsidR="00000000" w:rsidRDefault="00EB4933">
            <w:pPr>
              <w:pStyle w:val="NormalWeb"/>
              <w:spacing w:before="0" w:beforeAutospacing="0" w:after="0" w:afterAutospacing="0"/>
              <w:jc w:val="both"/>
              <w:rPr>
                <w:sz w:val="20"/>
                <w:szCs w:val="20"/>
              </w:rPr>
            </w:pPr>
            <w:r>
              <w:rPr>
                <w:sz w:val="20"/>
                <w:szCs w:val="20"/>
              </w:rPr>
              <w:t>Key management personnel (other than directors)</w:t>
            </w:r>
          </w:p>
        </w:tc>
        <w:tc>
          <w:tcPr>
            <w:tcW w:w="50" w:type="pct"/>
            <w:shd w:val="clear" w:color="auto" w:fill="CCEEFF"/>
            <w:noWrap/>
            <w:vAlign w:val="center"/>
            <w:hideMark/>
          </w:tcPr>
          <w:p w14:paraId="74F7847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A2E69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275CCD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40D3C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08B06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63A9E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07A820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DBF2D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0095F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4873AB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2E3771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5C5837" w14:textId="77777777" w:rsidR="00000000" w:rsidRDefault="00EB4933">
            <w:pPr>
              <w:pStyle w:val="NormalWeb"/>
              <w:spacing w:before="0" w:beforeAutospacing="0" w:after="0" w:afterAutospacing="0"/>
              <w:rPr>
                <w:sz w:val="20"/>
                <w:szCs w:val="20"/>
              </w:rPr>
            </w:pPr>
            <w:r>
              <w:rPr>
                <w:sz w:val="20"/>
                <w:szCs w:val="20"/>
              </w:rPr>
              <w:t> </w:t>
            </w:r>
          </w:p>
        </w:tc>
      </w:tr>
      <w:tr w:rsidR="00000000" w14:paraId="4054F0B8" w14:textId="77777777">
        <w:trPr>
          <w:divId w:val="98525094"/>
          <w:trHeight w:val="225"/>
          <w:tblCellSpacing w:w="15" w:type="dxa"/>
        </w:trPr>
        <w:tc>
          <w:tcPr>
            <w:tcW w:w="0" w:type="auto"/>
            <w:shd w:val="clear" w:color="auto" w:fill="FFFFFF"/>
            <w:hideMark/>
          </w:tcPr>
          <w:p w14:paraId="232343B0" w14:textId="77777777" w:rsidR="00000000" w:rsidRDefault="00EB4933">
            <w:pPr>
              <w:pStyle w:val="NormalWeb"/>
              <w:spacing w:before="0" w:beforeAutospacing="0" w:after="0" w:afterAutospacing="0"/>
              <w:jc w:val="both"/>
              <w:rPr>
                <w:sz w:val="20"/>
                <w:szCs w:val="20"/>
              </w:rPr>
            </w:pPr>
            <w:r>
              <w:rPr>
                <w:sz w:val="20"/>
                <w:szCs w:val="20"/>
              </w:rPr>
              <w:lastRenderedPageBreak/>
              <w:t>- salaries and related costs</w:t>
            </w:r>
          </w:p>
        </w:tc>
        <w:tc>
          <w:tcPr>
            <w:tcW w:w="50" w:type="pct"/>
            <w:shd w:val="clear" w:color="auto" w:fill="FFFFFF"/>
            <w:noWrap/>
            <w:vAlign w:val="center"/>
            <w:hideMark/>
          </w:tcPr>
          <w:p w14:paraId="1AE8807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945BA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A8D341B" w14:textId="77777777" w:rsidR="00000000" w:rsidRDefault="00EB4933">
            <w:pPr>
              <w:jc w:val="right"/>
              <w:rPr>
                <w:rFonts w:eastAsia="Times New Roman"/>
                <w:sz w:val="20"/>
                <w:szCs w:val="20"/>
              </w:rPr>
            </w:pPr>
            <w:r>
              <w:rPr>
                <w:rFonts w:eastAsia="Times New Roman"/>
                <w:sz w:val="20"/>
                <w:szCs w:val="20"/>
              </w:rPr>
              <w:t>1,160</w:t>
            </w:r>
          </w:p>
        </w:tc>
        <w:tc>
          <w:tcPr>
            <w:tcW w:w="50" w:type="pct"/>
            <w:shd w:val="clear" w:color="auto" w:fill="FFFFFF"/>
            <w:noWrap/>
            <w:vAlign w:val="center"/>
            <w:hideMark/>
          </w:tcPr>
          <w:p w14:paraId="0614B98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1EB2C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BD7FB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8D9803F" w14:textId="77777777" w:rsidR="00000000" w:rsidRDefault="00EB4933">
            <w:pPr>
              <w:jc w:val="right"/>
              <w:rPr>
                <w:rFonts w:eastAsia="Times New Roman"/>
                <w:sz w:val="20"/>
                <w:szCs w:val="20"/>
              </w:rPr>
            </w:pPr>
            <w:r>
              <w:rPr>
                <w:rFonts w:eastAsia="Times New Roman"/>
                <w:sz w:val="20"/>
                <w:szCs w:val="20"/>
              </w:rPr>
              <w:t>3,501</w:t>
            </w:r>
          </w:p>
        </w:tc>
        <w:tc>
          <w:tcPr>
            <w:tcW w:w="50" w:type="pct"/>
            <w:shd w:val="clear" w:color="auto" w:fill="FFFFFF"/>
            <w:noWrap/>
            <w:vAlign w:val="center"/>
            <w:hideMark/>
          </w:tcPr>
          <w:p w14:paraId="7B19D8E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A25AC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82385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2B7976E" w14:textId="77777777" w:rsidR="00000000" w:rsidRDefault="00EB4933">
            <w:pPr>
              <w:jc w:val="right"/>
              <w:rPr>
                <w:rFonts w:eastAsia="Times New Roman"/>
                <w:sz w:val="20"/>
                <w:szCs w:val="20"/>
              </w:rPr>
            </w:pPr>
            <w:r>
              <w:rPr>
                <w:rFonts w:eastAsia="Times New Roman"/>
                <w:sz w:val="20"/>
                <w:szCs w:val="20"/>
              </w:rPr>
              <w:t>2,079</w:t>
            </w:r>
          </w:p>
        </w:tc>
        <w:tc>
          <w:tcPr>
            <w:tcW w:w="50" w:type="pct"/>
            <w:shd w:val="clear" w:color="auto" w:fill="FFFFFF"/>
            <w:noWrap/>
            <w:vAlign w:val="center"/>
            <w:hideMark/>
          </w:tcPr>
          <w:p w14:paraId="7839112D" w14:textId="77777777" w:rsidR="00000000" w:rsidRDefault="00EB4933">
            <w:pPr>
              <w:pStyle w:val="NormalWeb"/>
              <w:spacing w:before="0" w:beforeAutospacing="0" w:after="0" w:afterAutospacing="0"/>
              <w:rPr>
                <w:sz w:val="20"/>
                <w:szCs w:val="20"/>
              </w:rPr>
            </w:pPr>
            <w:r>
              <w:rPr>
                <w:sz w:val="20"/>
                <w:szCs w:val="20"/>
              </w:rPr>
              <w:t> </w:t>
            </w:r>
          </w:p>
        </w:tc>
      </w:tr>
      <w:tr w:rsidR="00000000" w14:paraId="1AD466AE" w14:textId="77777777">
        <w:trPr>
          <w:divId w:val="98525094"/>
          <w:trHeight w:val="225"/>
          <w:tblCellSpacing w:w="15" w:type="dxa"/>
        </w:trPr>
        <w:tc>
          <w:tcPr>
            <w:tcW w:w="0" w:type="auto"/>
            <w:shd w:val="clear" w:color="auto" w:fill="CCEEFF"/>
            <w:hideMark/>
          </w:tcPr>
          <w:p w14:paraId="15A3A8F9" w14:textId="77777777" w:rsidR="00000000" w:rsidRDefault="00EB4933">
            <w:pPr>
              <w:pStyle w:val="NormalWeb"/>
              <w:spacing w:before="0" w:beforeAutospacing="0" w:after="0" w:afterAutospacing="0"/>
              <w:jc w:val="both"/>
              <w:rPr>
                <w:sz w:val="20"/>
                <w:szCs w:val="20"/>
              </w:rPr>
            </w:pPr>
            <w:r>
              <w:rPr>
                <w:sz w:val="20"/>
                <w:szCs w:val="20"/>
              </w:rPr>
              <w:t>- social benefits contribution</w:t>
            </w:r>
          </w:p>
        </w:tc>
        <w:tc>
          <w:tcPr>
            <w:tcW w:w="50" w:type="pct"/>
            <w:shd w:val="clear" w:color="auto" w:fill="CCEEFF"/>
            <w:noWrap/>
            <w:vAlign w:val="center"/>
            <w:hideMark/>
          </w:tcPr>
          <w:p w14:paraId="4296220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A49B5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9E86447" w14:textId="77777777" w:rsidR="00000000" w:rsidRDefault="00EB4933">
            <w:pPr>
              <w:jc w:val="right"/>
              <w:rPr>
                <w:rFonts w:eastAsia="Times New Roman"/>
                <w:sz w:val="20"/>
                <w:szCs w:val="20"/>
              </w:rPr>
            </w:pPr>
            <w:r>
              <w:rPr>
                <w:rFonts w:eastAsia="Times New Roman"/>
                <w:sz w:val="20"/>
                <w:szCs w:val="20"/>
              </w:rPr>
              <w:t>174</w:t>
            </w:r>
          </w:p>
        </w:tc>
        <w:tc>
          <w:tcPr>
            <w:tcW w:w="50" w:type="pct"/>
            <w:shd w:val="clear" w:color="auto" w:fill="CCEEFF"/>
            <w:noWrap/>
            <w:vAlign w:val="center"/>
            <w:hideMark/>
          </w:tcPr>
          <w:p w14:paraId="335B9B1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5963A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519EA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240D027" w14:textId="77777777" w:rsidR="00000000" w:rsidRDefault="00EB4933">
            <w:pPr>
              <w:jc w:val="right"/>
              <w:rPr>
                <w:rFonts w:eastAsia="Times New Roman"/>
                <w:sz w:val="20"/>
                <w:szCs w:val="20"/>
              </w:rPr>
            </w:pPr>
            <w:r>
              <w:rPr>
                <w:rFonts w:eastAsia="Times New Roman"/>
                <w:sz w:val="20"/>
                <w:szCs w:val="20"/>
              </w:rPr>
              <w:t>150</w:t>
            </w:r>
          </w:p>
        </w:tc>
        <w:tc>
          <w:tcPr>
            <w:tcW w:w="50" w:type="pct"/>
            <w:shd w:val="clear" w:color="auto" w:fill="CCEEFF"/>
            <w:noWrap/>
            <w:vAlign w:val="center"/>
            <w:hideMark/>
          </w:tcPr>
          <w:p w14:paraId="5B7E2D5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9DBC1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45B09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4959DAD" w14:textId="77777777" w:rsidR="00000000" w:rsidRDefault="00EB4933">
            <w:pPr>
              <w:jc w:val="right"/>
              <w:rPr>
                <w:rFonts w:eastAsia="Times New Roman"/>
                <w:sz w:val="20"/>
                <w:szCs w:val="20"/>
              </w:rPr>
            </w:pPr>
            <w:r>
              <w:rPr>
                <w:rFonts w:eastAsia="Times New Roman"/>
                <w:sz w:val="20"/>
                <w:szCs w:val="20"/>
              </w:rPr>
              <w:t>51</w:t>
            </w:r>
          </w:p>
        </w:tc>
        <w:tc>
          <w:tcPr>
            <w:tcW w:w="50" w:type="pct"/>
            <w:shd w:val="clear" w:color="auto" w:fill="CCEEFF"/>
            <w:noWrap/>
            <w:vAlign w:val="center"/>
            <w:hideMark/>
          </w:tcPr>
          <w:p w14:paraId="6ACECE7C" w14:textId="77777777" w:rsidR="00000000" w:rsidRDefault="00EB4933">
            <w:pPr>
              <w:pStyle w:val="NormalWeb"/>
              <w:spacing w:before="0" w:beforeAutospacing="0" w:after="0" w:afterAutospacing="0"/>
              <w:rPr>
                <w:sz w:val="20"/>
                <w:szCs w:val="20"/>
              </w:rPr>
            </w:pPr>
            <w:r>
              <w:rPr>
                <w:sz w:val="20"/>
                <w:szCs w:val="20"/>
              </w:rPr>
              <w:t> </w:t>
            </w:r>
          </w:p>
        </w:tc>
      </w:tr>
      <w:tr w:rsidR="00000000" w14:paraId="56D4E24B" w14:textId="77777777">
        <w:trPr>
          <w:divId w:val="98525094"/>
          <w:trHeight w:val="225"/>
          <w:tblCellSpacing w:w="15" w:type="dxa"/>
        </w:trPr>
        <w:tc>
          <w:tcPr>
            <w:tcW w:w="0" w:type="auto"/>
            <w:shd w:val="clear" w:color="auto" w:fill="FFFFFF"/>
            <w:hideMark/>
          </w:tcPr>
          <w:p w14:paraId="6173EFF5" w14:textId="77777777" w:rsidR="00000000" w:rsidRDefault="00EB4933">
            <w:pPr>
              <w:pStyle w:val="NormalWeb"/>
              <w:spacing w:before="0" w:beforeAutospacing="0" w:after="0" w:afterAutospacing="0"/>
              <w:jc w:val="both"/>
              <w:rPr>
                <w:sz w:val="20"/>
                <w:szCs w:val="20"/>
              </w:rPr>
            </w:pPr>
            <w:r>
              <w:rPr>
                <w:sz w:val="20"/>
                <w:szCs w:val="20"/>
              </w:rPr>
              <w:t>- share based compensation</w:t>
            </w:r>
          </w:p>
        </w:tc>
        <w:tc>
          <w:tcPr>
            <w:tcW w:w="50" w:type="pct"/>
            <w:shd w:val="clear" w:color="auto" w:fill="FFFFFF"/>
            <w:noWrap/>
            <w:vAlign w:val="center"/>
            <w:hideMark/>
          </w:tcPr>
          <w:p w14:paraId="37C9868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3B0B4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92BECD7"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529FCB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D03DF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E5E58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7A339BE" w14:textId="77777777" w:rsidR="00000000" w:rsidRDefault="00EB4933">
            <w:pPr>
              <w:jc w:val="right"/>
              <w:rPr>
                <w:rFonts w:eastAsia="Times New Roman"/>
                <w:sz w:val="20"/>
                <w:szCs w:val="20"/>
              </w:rPr>
            </w:pPr>
            <w:r>
              <w:rPr>
                <w:rFonts w:eastAsia="Times New Roman"/>
                <w:sz w:val="20"/>
                <w:szCs w:val="20"/>
              </w:rPr>
              <w:t>100</w:t>
            </w:r>
          </w:p>
        </w:tc>
        <w:tc>
          <w:tcPr>
            <w:tcW w:w="50" w:type="pct"/>
            <w:shd w:val="clear" w:color="auto" w:fill="FFFFFF"/>
            <w:noWrap/>
            <w:vAlign w:val="center"/>
            <w:hideMark/>
          </w:tcPr>
          <w:p w14:paraId="5BEB15B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AD430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F1682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936006D" w14:textId="77777777" w:rsidR="00000000" w:rsidRDefault="00EB4933">
            <w:pPr>
              <w:jc w:val="right"/>
              <w:rPr>
                <w:rFonts w:eastAsia="Times New Roman"/>
                <w:sz w:val="20"/>
                <w:szCs w:val="20"/>
              </w:rPr>
            </w:pPr>
            <w:r>
              <w:rPr>
                <w:rFonts w:eastAsia="Times New Roman"/>
                <w:sz w:val="20"/>
                <w:szCs w:val="20"/>
              </w:rPr>
              <w:t>25</w:t>
            </w:r>
          </w:p>
        </w:tc>
        <w:tc>
          <w:tcPr>
            <w:tcW w:w="50" w:type="pct"/>
            <w:shd w:val="clear" w:color="auto" w:fill="FFFFFF"/>
            <w:noWrap/>
            <w:vAlign w:val="center"/>
            <w:hideMark/>
          </w:tcPr>
          <w:p w14:paraId="27BB4864" w14:textId="77777777" w:rsidR="00000000" w:rsidRDefault="00EB4933">
            <w:pPr>
              <w:pStyle w:val="NormalWeb"/>
              <w:spacing w:before="0" w:beforeAutospacing="0" w:after="0" w:afterAutospacing="0"/>
              <w:rPr>
                <w:sz w:val="20"/>
                <w:szCs w:val="20"/>
              </w:rPr>
            </w:pPr>
            <w:r>
              <w:rPr>
                <w:sz w:val="20"/>
                <w:szCs w:val="20"/>
              </w:rPr>
              <w:t> </w:t>
            </w:r>
          </w:p>
        </w:tc>
      </w:tr>
      <w:tr w:rsidR="00000000" w14:paraId="033AB85E" w14:textId="77777777">
        <w:trPr>
          <w:divId w:val="98525094"/>
          <w:trHeight w:val="225"/>
          <w:tblCellSpacing w:w="15" w:type="dxa"/>
        </w:trPr>
        <w:tc>
          <w:tcPr>
            <w:tcW w:w="0" w:type="auto"/>
            <w:shd w:val="clear" w:color="auto" w:fill="CCEEFF"/>
            <w:hideMark/>
          </w:tcPr>
          <w:p w14:paraId="3FFA3967" w14:textId="77777777" w:rsidR="00000000" w:rsidRDefault="00EB4933">
            <w:pPr>
              <w:pStyle w:val="NormalWeb"/>
              <w:spacing w:before="0" w:beforeAutospacing="0" w:after="0" w:afterAutospacing="0"/>
              <w:jc w:val="both"/>
              <w:rPr>
                <w:sz w:val="20"/>
                <w:szCs w:val="20"/>
              </w:rPr>
            </w:pPr>
            <w:r>
              <w:rPr>
                <w:sz w:val="20"/>
                <w:szCs w:val="20"/>
              </w:rPr>
              <w:t>Other than directors and key management personnel</w:t>
            </w:r>
          </w:p>
        </w:tc>
        <w:tc>
          <w:tcPr>
            <w:tcW w:w="50" w:type="pct"/>
            <w:shd w:val="clear" w:color="auto" w:fill="CCEEFF"/>
            <w:noWrap/>
            <w:vAlign w:val="center"/>
            <w:hideMark/>
          </w:tcPr>
          <w:p w14:paraId="7D78FC4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743F0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7A2278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D39D9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52912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96C44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7F4CC7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54773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46EB3E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F96C5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CBEB00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74F07D" w14:textId="77777777" w:rsidR="00000000" w:rsidRDefault="00EB4933">
            <w:pPr>
              <w:pStyle w:val="NormalWeb"/>
              <w:spacing w:before="0" w:beforeAutospacing="0" w:after="0" w:afterAutospacing="0"/>
              <w:rPr>
                <w:sz w:val="20"/>
                <w:szCs w:val="20"/>
              </w:rPr>
            </w:pPr>
            <w:r>
              <w:rPr>
                <w:sz w:val="20"/>
                <w:szCs w:val="20"/>
              </w:rPr>
              <w:t> </w:t>
            </w:r>
          </w:p>
        </w:tc>
      </w:tr>
      <w:tr w:rsidR="00000000" w14:paraId="769A1FE3" w14:textId="77777777">
        <w:trPr>
          <w:divId w:val="98525094"/>
          <w:trHeight w:val="225"/>
          <w:tblCellSpacing w:w="15" w:type="dxa"/>
        </w:trPr>
        <w:tc>
          <w:tcPr>
            <w:tcW w:w="0" w:type="auto"/>
            <w:shd w:val="clear" w:color="auto" w:fill="FFFFFF"/>
            <w:hideMark/>
          </w:tcPr>
          <w:p w14:paraId="7EBF902A" w14:textId="77777777" w:rsidR="00000000" w:rsidRDefault="00EB4933">
            <w:pPr>
              <w:pStyle w:val="NormalWeb"/>
              <w:spacing w:before="0" w:beforeAutospacing="0" w:after="0" w:afterAutospacing="0"/>
              <w:jc w:val="both"/>
              <w:rPr>
                <w:sz w:val="20"/>
                <w:szCs w:val="20"/>
              </w:rPr>
            </w:pPr>
            <w:r>
              <w:rPr>
                <w:sz w:val="20"/>
                <w:szCs w:val="20"/>
              </w:rPr>
              <w:t>- salaries and related costs</w:t>
            </w:r>
          </w:p>
        </w:tc>
        <w:tc>
          <w:tcPr>
            <w:tcW w:w="50" w:type="pct"/>
            <w:shd w:val="clear" w:color="auto" w:fill="FFFFFF"/>
            <w:noWrap/>
            <w:vAlign w:val="center"/>
            <w:hideMark/>
          </w:tcPr>
          <w:p w14:paraId="160A86E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E749F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00DDCC7" w14:textId="77777777" w:rsidR="00000000" w:rsidRDefault="00EB4933">
            <w:pPr>
              <w:jc w:val="right"/>
              <w:rPr>
                <w:rFonts w:eastAsia="Times New Roman"/>
                <w:sz w:val="20"/>
                <w:szCs w:val="20"/>
              </w:rPr>
            </w:pPr>
            <w:r>
              <w:rPr>
                <w:rFonts w:eastAsia="Times New Roman"/>
                <w:sz w:val="20"/>
                <w:szCs w:val="20"/>
              </w:rPr>
              <w:t>6,198</w:t>
            </w:r>
          </w:p>
        </w:tc>
        <w:tc>
          <w:tcPr>
            <w:tcW w:w="50" w:type="pct"/>
            <w:shd w:val="clear" w:color="auto" w:fill="FFFFFF"/>
            <w:noWrap/>
            <w:vAlign w:val="center"/>
            <w:hideMark/>
          </w:tcPr>
          <w:p w14:paraId="6EDB99C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A75F2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FB332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3E6A8CD" w14:textId="77777777" w:rsidR="00000000" w:rsidRDefault="00EB4933">
            <w:pPr>
              <w:jc w:val="right"/>
              <w:rPr>
                <w:rFonts w:eastAsia="Times New Roman"/>
                <w:sz w:val="20"/>
                <w:szCs w:val="20"/>
              </w:rPr>
            </w:pPr>
            <w:r>
              <w:rPr>
                <w:rFonts w:eastAsia="Times New Roman"/>
                <w:sz w:val="20"/>
                <w:szCs w:val="20"/>
              </w:rPr>
              <w:t>1,863</w:t>
            </w:r>
          </w:p>
        </w:tc>
        <w:tc>
          <w:tcPr>
            <w:tcW w:w="50" w:type="pct"/>
            <w:shd w:val="clear" w:color="auto" w:fill="FFFFFF"/>
            <w:noWrap/>
            <w:vAlign w:val="center"/>
            <w:hideMark/>
          </w:tcPr>
          <w:p w14:paraId="52E6927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28CEE5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9F572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2DFD9E0" w14:textId="77777777" w:rsidR="00000000" w:rsidRDefault="00EB4933">
            <w:pPr>
              <w:jc w:val="right"/>
              <w:rPr>
                <w:rFonts w:eastAsia="Times New Roman"/>
                <w:sz w:val="20"/>
                <w:szCs w:val="20"/>
              </w:rPr>
            </w:pPr>
            <w:r>
              <w:rPr>
                <w:rFonts w:eastAsia="Times New Roman"/>
                <w:sz w:val="20"/>
                <w:szCs w:val="20"/>
              </w:rPr>
              <w:t>2,653</w:t>
            </w:r>
          </w:p>
        </w:tc>
        <w:tc>
          <w:tcPr>
            <w:tcW w:w="50" w:type="pct"/>
            <w:shd w:val="clear" w:color="auto" w:fill="FFFFFF"/>
            <w:noWrap/>
            <w:vAlign w:val="center"/>
            <w:hideMark/>
          </w:tcPr>
          <w:p w14:paraId="50B62444" w14:textId="77777777" w:rsidR="00000000" w:rsidRDefault="00EB4933">
            <w:pPr>
              <w:pStyle w:val="NormalWeb"/>
              <w:spacing w:before="0" w:beforeAutospacing="0" w:after="0" w:afterAutospacing="0"/>
              <w:rPr>
                <w:sz w:val="20"/>
                <w:szCs w:val="20"/>
              </w:rPr>
            </w:pPr>
            <w:r>
              <w:rPr>
                <w:sz w:val="20"/>
                <w:szCs w:val="20"/>
              </w:rPr>
              <w:t> </w:t>
            </w:r>
          </w:p>
        </w:tc>
      </w:tr>
      <w:tr w:rsidR="00000000" w14:paraId="6BEF4B10" w14:textId="77777777">
        <w:trPr>
          <w:divId w:val="98525094"/>
          <w:trHeight w:val="225"/>
          <w:tblCellSpacing w:w="15" w:type="dxa"/>
        </w:trPr>
        <w:tc>
          <w:tcPr>
            <w:tcW w:w="0" w:type="auto"/>
            <w:shd w:val="clear" w:color="auto" w:fill="CCEEFF"/>
            <w:hideMark/>
          </w:tcPr>
          <w:p w14:paraId="11C649D8" w14:textId="77777777" w:rsidR="00000000" w:rsidRDefault="00EB4933">
            <w:pPr>
              <w:pStyle w:val="NormalWeb"/>
              <w:spacing w:before="0" w:beforeAutospacing="0" w:after="0" w:afterAutospacing="0"/>
              <w:jc w:val="both"/>
              <w:rPr>
                <w:sz w:val="20"/>
                <w:szCs w:val="20"/>
              </w:rPr>
            </w:pPr>
            <w:r>
              <w:rPr>
                <w:sz w:val="20"/>
                <w:szCs w:val="20"/>
              </w:rPr>
              <w:t>- social benefits contribution</w:t>
            </w:r>
          </w:p>
        </w:tc>
        <w:tc>
          <w:tcPr>
            <w:tcW w:w="50" w:type="pct"/>
            <w:shd w:val="clear" w:color="auto" w:fill="CCEEFF"/>
            <w:noWrap/>
            <w:vAlign w:val="center"/>
            <w:hideMark/>
          </w:tcPr>
          <w:p w14:paraId="7F0B990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FB0FF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CA04FF9" w14:textId="77777777" w:rsidR="00000000" w:rsidRDefault="00EB4933">
            <w:pPr>
              <w:jc w:val="right"/>
              <w:rPr>
                <w:rFonts w:eastAsia="Times New Roman"/>
                <w:sz w:val="20"/>
                <w:szCs w:val="20"/>
              </w:rPr>
            </w:pPr>
            <w:r>
              <w:rPr>
                <w:rFonts w:eastAsia="Times New Roman"/>
                <w:sz w:val="20"/>
                <w:szCs w:val="20"/>
              </w:rPr>
              <w:t>398</w:t>
            </w:r>
          </w:p>
        </w:tc>
        <w:tc>
          <w:tcPr>
            <w:tcW w:w="50" w:type="pct"/>
            <w:shd w:val="clear" w:color="auto" w:fill="CCEEFF"/>
            <w:noWrap/>
            <w:vAlign w:val="center"/>
            <w:hideMark/>
          </w:tcPr>
          <w:p w14:paraId="7D28C3D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ED2A4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7AC6D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92C28E3" w14:textId="77777777" w:rsidR="00000000" w:rsidRDefault="00EB4933">
            <w:pPr>
              <w:jc w:val="right"/>
              <w:rPr>
                <w:rFonts w:eastAsia="Times New Roman"/>
                <w:sz w:val="20"/>
                <w:szCs w:val="20"/>
              </w:rPr>
            </w:pPr>
            <w:r>
              <w:rPr>
                <w:rFonts w:eastAsia="Times New Roman"/>
                <w:sz w:val="20"/>
                <w:szCs w:val="20"/>
              </w:rPr>
              <w:t>452</w:t>
            </w:r>
          </w:p>
        </w:tc>
        <w:tc>
          <w:tcPr>
            <w:tcW w:w="50" w:type="pct"/>
            <w:shd w:val="clear" w:color="auto" w:fill="CCEEFF"/>
            <w:noWrap/>
            <w:vAlign w:val="center"/>
            <w:hideMark/>
          </w:tcPr>
          <w:p w14:paraId="3E29581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24689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CCDEE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C8FA498" w14:textId="77777777" w:rsidR="00000000" w:rsidRDefault="00EB4933">
            <w:pPr>
              <w:jc w:val="right"/>
              <w:rPr>
                <w:rFonts w:eastAsia="Times New Roman"/>
                <w:sz w:val="20"/>
                <w:szCs w:val="20"/>
              </w:rPr>
            </w:pPr>
            <w:r>
              <w:rPr>
                <w:rFonts w:eastAsia="Times New Roman"/>
                <w:sz w:val="20"/>
                <w:szCs w:val="20"/>
              </w:rPr>
              <w:t>456</w:t>
            </w:r>
          </w:p>
        </w:tc>
        <w:tc>
          <w:tcPr>
            <w:tcW w:w="50" w:type="pct"/>
            <w:shd w:val="clear" w:color="auto" w:fill="CCEEFF"/>
            <w:noWrap/>
            <w:vAlign w:val="center"/>
            <w:hideMark/>
          </w:tcPr>
          <w:p w14:paraId="5DAA5E44" w14:textId="77777777" w:rsidR="00000000" w:rsidRDefault="00EB4933">
            <w:pPr>
              <w:pStyle w:val="NormalWeb"/>
              <w:spacing w:before="0" w:beforeAutospacing="0" w:after="0" w:afterAutospacing="0"/>
              <w:rPr>
                <w:sz w:val="20"/>
                <w:szCs w:val="20"/>
              </w:rPr>
            </w:pPr>
            <w:r>
              <w:rPr>
                <w:sz w:val="20"/>
                <w:szCs w:val="20"/>
              </w:rPr>
              <w:t> </w:t>
            </w:r>
          </w:p>
        </w:tc>
      </w:tr>
    </w:tbl>
    <w:p w14:paraId="561FA863"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5DDAE18" w14:textId="77777777">
        <w:trPr>
          <w:divId w:val="98525094"/>
          <w:trHeight w:val="225"/>
          <w:tblCellSpacing w:w="15" w:type="dxa"/>
        </w:trPr>
        <w:tc>
          <w:tcPr>
            <w:tcW w:w="0" w:type="auto"/>
            <w:vAlign w:val="center"/>
            <w:hideMark/>
          </w:tcPr>
          <w:p w14:paraId="178BB64F" w14:textId="77777777" w:rsidR="00000000" w:rsidRDefault="00EB4933">
            <w:pPr>
              <w:rPr>
                <w:rFonts w:eastAsia="Times New Roman"/>
                <w:sz w:val="20"/>
                <w:szCs w:val="20"/>
              </w:rPr>
            </w:pPr>
            <w:r>
              <w:rPr>
                <w:rFonts w:eastAsia="Times New Roman"/>
                <w:sz w:val="20"/>
                <w:szCs w:val="20"/>
              </w:rPr>
              <w:t> </w:t>
            </w:r>
          </w:p>
        </w:tc>
      </w:tr>
      <w:tr w:rsidR="00000000" w14:paraId="58547E91" w14:textId="77777777">
        <w:trPr>
          <w:divId w:val="98525094"/>
          <w:trHeight w:val="225"/>
          <w:tblCellSpacing w:w="15" w:type="dxa"/>
        </w:trPr>
        <w:tc>
          <w:tcPr>
            <w:tcW w:w="0" w:type="auto"/>
            <w:tcBorders>
              <w:bottom w:val="single" w:sz="6" w:space="0" w:color="000000"/>
            </w:tcBorders>
            <w:vAlign w:val="center"/>
            <w:hideMark/>
          </w:tcPr>
          <w:p w14:paraId="046CADCF" w14:textId="77777777" w:rsidR="00000000" w:rsidRDefault="00EB4933">
            <w:pPr>
              <w:jc w:val="center"/>
              <w:rPr>
                <w:rFonts w:eastAsia="Times New Roman"/>
                <w:sz w:val="20"/>
                <w:szCs w:val="20"/>
              </w:rPr>
            </w:pPr>
            <w:r>
              <w:rPr>
                <w:rFonts w:eastAsia="Times New Roman"/>
                <w:sz w:val="20"/>
                <w:szCs w:val="20"/>
              </w:rPr>
              <w:t>F-49</w:t>
            </w:r>
          </w:p>
        </w:tc>
      </w:tr>
      <w:tr w:rsidR="00000000" w14:paraId="58B72C96" w14:textId="77777777">
        <w:trPr>
          <w:divId w:val="98525094"/>
          <w:trHeight w:val="225"/>
          <w:tblCellSpacing w:w="15" w:type="dxa"/>
        </w:trPr>
        <w:tc>
          <w:tcPr>
            <w:tcW w:w="0" w:type="auto"/>
            <w:vAlign w:val="center"/>
            <w:hideMark/>
          </w:tcPr>
          <w:p w14:paraId="3C886C80" w14:textId="77777777" w:rsidR="00000000" w:rsidRDefault="00EB4933">
            <w:pPr>
              <w:rPr>
                <w:rFonts w:eastAsia="Times New Roman"/>
                <w:sz w:val="20"/>
                <w:szCs w:val="20"/>
              </w:rPr>
            </w:pPr>
          </w:p>
        </w:tc>
      </w:tr>
      <w:tr w:rsidR="00000000" w14:paraId="6DE550D7" w14:textId="77777777">
        <w:trPr>
          <w:divId w:val="98525094"/>
          <w:trHeight w:val="225"/>
          <w:tblCellSpacing w:w="15" w:type="dxa"/>
        </w:trPr>
        <w:tc>
          <w:tcPr>
            <w:tcW w:w="0" w:type="auto"/>
            <w:vAlign w:val="center"/>
            <w:hideMark/>
          </w:tcPr>
          <w:p w14:paraId="06365847" w14:textId="77777777" w:rsidR="00000000" w:rsidRDefault="00EB4933">
            <w:pPr>
              <w:rPr>
                <w:rFonts w:eastAsia="Times New Roman"/>
                <w:sz w:val="20"/>
                <w:szCs w:val="20"/>
              </w:rPr>
            </w:pPr>
            <w:hyperlink r:id="rId266" w:anchor="finindex" w:history="1">
              <w:r>
                <w:rPr>
                  <w:rStyle w:val="Hyperlink"/>
                  <w:rFonts w:eastAsia="Times New Roman"/>
                  <w:i/>
                  <w:iCs/>
                  <w:sz w:val="20"/>
                  <w:szCs w:val="20"/>
                </w:rPr>
                <w:t>Table of Contents</w:t>
              </w:r>
            </w:hyperlink>
          </w:p>
        </w:tc>
      </w:tr>
    </w:tbl>
    <w:p w14:paraId="115B3907"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73A76AD3"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78BA2413"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1806DDD2"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5A7890F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E5D243F" w14:textId="77777777" w:rsidR="00000000" w:rsidRDefault="00EB4933">
      <w:pPr>
        <w:pStyle w:val="NormalWeb"/>
        <w:spacing w:before="0" w:beforeAutospacing="0" w:after="0" w:afterAutospacing="0"/>
        <w:jc w:val="both"/>
        <w:divId w:val="98525094"/>
        <w:rPr>
          <w:sz w:val="20"/>
          <w:szCs w:val="20"/>
        </w:rPr>
      </w:pPr>
      <w:r>
        <w:rPr>
          <w:rStyle w:val="Strong"/>
          <w:sz w:val="20"/>
          <w:szCs w:val="20"/>
        </w:rPr>
        <w:t>11. Income tax expense</w:t>
      </w:r>
    </w:p>
    <w:p w14:paraId="364475A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B626FAA" w14:textId="77777777" w:rsidR="00000000" w:rsidRDefault="00EB4933">
      <w:pPr>
        <w:pStyle w:val="NormalWeb"/>
        <w:spacing w:before="0" w:beforeAutospacing="0" w:after="0" w:afterAutospacing="0"/>
        <w:ind w:left="675"/>
        <w:jc w:val="both"/>
        <w:divId w:val="98525094"/>
        <w:rPr>
          <w:sz w:val="20"/>
          <w:szCs w:val="20"/>
        </w:rPr>
      </w:pPr>
      <w:r>
        <w:rPr>
          <w:sz w:val="20"/>
          <w:szCs w:val="20"/>
        </w:rPr>
        <w:t>The Company is a tax exempted company incorporated in the Cayman Islands. In addition, dividend payments by the Company are not subje</w:t>
      </w:r>
      <w:r>
        <w:rPr>
          <w:sz w:val="20"/>
          <w:szCs w:val="20"/>
        </w:rPr>
        <w:t>ct to withholding taxes. No provision for Hong Kong Profits Tax has been made as the subsidiary incorporated in Hong Kong had no assessable profits earned or derived from Hong Kong during the years ended December 31, 2017, 2018 and 2019. Payments of divide</w:t>
      </w:r>
      <w:r>
        <w:rPr>
          <w:sz w:val="20"/>
          <w:szCs w:val="20"/>
        </w:rPr>
        <w:t>nds by Hong Kong companies are not subject to Hong Kong withholding tax. The subsidiaries incorporated in the PRC other than Hong Kong are governed by the Income Tax Law of the PRC concerning Foreign Investment and Foreign Enterprises and various local inc</w:t>
      </w:r>
      <w:r>
        <w:rPr>
          <w:sz w:val="20"/>
          <w:szCs w:val="20"/>
        </w:rPr>
        <w:t>ome tax laws. Dividends paid by our PRC operating subsidiaries may be subject to withholding taxes of 5%-10%. The Company does not have any deferred tax assets or liabilities as of December 31, 2017, 2018 and 2019.</w:t>
      </w:r>
    </w:p>
    <w:p w14:paraId="0A62D176"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5287"/>
        <w:gridCol w:w="112"/>
        <w:gridCol w:w="112"/>
        <w:gridCol w:w="767"/>
        <w:gridCol w:w="112"/>
        <w:gridCol w:w="112"/>
        <w:gridCol w:w="112"/>
        <w:gridCol w:w="767"/>
        <w:gridCol w:w="112"/>
        <w:gridCol w:w="112"/>
        <w:gridCol w:w="112"/>
        <w:gridCol w:w="767"/>
        <w:gridCol w:w="127"/>
      </w:tblGrid>
      <w:tr w:rsidR="00000000" w14:paraId="4D24EDF7" w14:textId="77777777">
        <w:trPr>
          <w:divId w:val="98525094"/>
          <w:trHeight w:val="225"/>
          <w:tblCellSpacing w:w="15" w:type="dxa"/>
        </w:trPr>
        <w:tc>
          <w:tcPr>
            <w:tcW w:w="0" w:type="auto"/>
            <w:vAlign w:val="bottom"/>
            <w:hideMark/>
          </w:tcPr>
          <w:p w14:paraId="0C0A435C" w14:textId="77777777" w:rsidR="00000000" w:rsidRDefault="00EB4933">
            <w:pPr>
              <w:pStyle w:val="NormalWeb"/>
              <w:spacing w:before="0" w:beforeAutospacing="0" w:after="0" w:afterAutospacing="0"/>
              <w:ind w:left="-42"/>
              <w:jc w:val="both"/>
              <w:rPr>
                <w:sz w:val="20"/>
                <w:szCs w:val="20"/>
              </w:rPr>
            </w:pPr>
            <w:r>
              <w:rPr>
                <w:sz w:val="20"/>
                <w:szCs w:val="20"/>
              </w:rPr>
              <w:t>The Company’</w:t>
            </w:r>
            <w:r>
              <w:rPr>
                <w:sz w:val="20"/>
                <w:szCs w:val="20"/>
              </w:rPr>
              <w:t>s income taxes consist of:</w:t>
            </w:r>
          </w:p>
        </w:tc>
        <w:tc>
          <w:tcPr>
            <w:tcW w:w="0" w:type="auto"/>
            <w:noWrap/>
            <w:vAlign w:val="center"/>
            <w:hideMark/>
          </w:tcPr>
          <w:p w14:paraId="00C6C95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10"/>
            <w:tcBorders>
              <w:bottom w:val="single" w:sz="6" w:space="0" w:color="000000"/>
            </w:tcBorders>
            <w:vAlign w:val="bottom"/>
            <w:hideMark/>
          </w:tcPr>
          <w:p w14:paraId="6526A276" w14:textId="77777777" w:rsidR="00000000" w:rsidRDefault="00EB4933">
            <w:pPr>
              <w:pStyle w:val="NormalWeb"/>
              <w:spacing w:before="0" w:beforeAutospacing="0" w:after="0" w:afterAutospacing="0"/>
              <w:jc w:val="center"/>
              <w:rPr>
                <w:sz w:val="20"/>
                <w:szCs w:val="20"/>
              </w:rPr>
            </w:pPr>
            <w:r>
              <w:rPr>
                <w:rStyle w:val="Strong"/>
                <w:sz w:val="20"/>
                <w:szCs w:val="20"/>
              </w:rPr>
              <w:t>Year Ended December 31,</w:t>
            </w:r>
          </w:p>
        </w:tc>
        <w:tc>
          <w:tcPr>
            <w:tcW w:w="0" w:type="auto"/>
            <w:noWrap/>
            <w:vAlign w:val="center"/>
            <w:hideMark/>
          </w:tcPr>
          <w:p w14:paraId="163367E1" w14:textId="77777777" w:rsidR="00000000" w:rsidRDefault="00EB4933">
            <w:pPr>
              <w:pStyle w:val="NormalWeb"/>
              <w:spacing w:before="0" w:beforeAutospacing="0" w:after="0" w:afterAutospacing="0"/>
              <w:rPr>
                <w:sz w:val="20"/>
                <w:szCs w:val="20"/>
              </w:rPr>
            </w:pPr>
            <w:r>
              <w:rPr>
                <w:sz w:val="20"/>
                <w:szCs w:val="20"/>
              </w:rPr>
              <w:t> </w:t>
            </w:r>
          </w:p>
        </w:tc>
      </w:tr>
      <w:tr w:rsidR="00000000" w14:paraId="56C9E419" w14:textId="77777777">
        <w:trPr>
          <w:divId w:val="98525094"/>
          <w:trHeight w:val="225"/>
          <w:tblCellSpacing w:w="15" w:type="dxa"/>
        </w:trPr>
        <w:tc>
          <w:tcPr>
            <w:tcW w:w="0" w:type="auto"/>
            <w:vAlign w:val="center"/>
            <w:hideMark/>
          </w:tcPr>
          <w:p w14:paraId="1CCA04A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D21786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5814B2F3" w14:textId="77777777" w:rsidR="00000000" w:rsidRDefault="00EB4933">
            <w:pPr>
              <w:pStyle w:val="NormalWeb"/>
              <w:spacing w:before="0" w:beforeAutospacing="0" w:after="0" w:afterAutospacing="0"/>
              <w:jc w:val="center"/>
              <w:rPr>
                <w:sz w:val="20"/>
                <w:szCs w:val="20"/>
              </w:rPr>
            </w:pPr>
            <w:r>
              <w:rPr>
                <w:rStyle w:val="Strong"/>
                <w:sz w:val="20"/>
                <w:szCs w:val="20"/>
              </w:rPr>
              <w:t>2017</w:t>
            </w:r>
          </w:p>
          <w:p w14:paraId="2D220293" w14:textId="77777777" w:rsidR="00000000" w:rsidRDefault="00EB4933">
            <w:pPr>
              <w:pStyle w:val="NormalWeb"/>
              <w:spacing w:before="0" w:beforeAutospacing="0" w:after="0" w:afterAutospacing="0"/>
              <w:jc w:val="center"/>
              <w:rPr>
                <w:sz w:val="20"/>
                <w:szCs w:val="20"/>
              </w:rPr>
            </w:pPr>
            <w:r>
              <w:rPr>
                <w:rStyle w:val="Strong"/>
                <w:sz w:val="20"/>
                <w:szCs w:val="20"/>
              </w:rPr>
              <w:t>Restated</w:t>
            </w:r>
          </w:p>
        </w:tc>
        <w:tc>
          <w:tcPr>
            <w:tcW w:w="0" w:type="auto"/>
            <w:noWrap/>
            <w:vAlign w:val="center"/>
            <w:hideMark/>
          </w:tcPr>
          <w:p w14:paraId="0CC98345"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9BD9495"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68F9D98A"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vAlign w:val="center"/>
            <w:hideMark/>
          </w:tcPr>
          <w:p w14:paraId="541B72ED"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C14C83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04529359"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6EEB5FDF" w14:textId="77777777" w:rsidR="00000000" w:rsidRDefault="00EB4933">
            <w:pPr>
              <w:pStyle w:val="NormalWeb"/>
              <w:spacing w:before="0" w:beforeAutospacing="0" w:after="0" w:afterAutospacing="0"/>
              <w:rPr>
                <w:sz w:val="20"/>
                <w:szCs w:val="20"/>
              </w:rPr>
            </w:pPr>
            <w:r>
              <w:rPr>
                <w:sz w:val="20"/>
                <w:szCs w:val="20"/>
              </w:rPr>
              <w:t> </w:t>
            </w:r>
          </w:p>
        </w:tc>
      </w:tr>
      <w:tr w:rsidR="00000000" w14:paraId="7BDB4477" w14:textId="77777777">
        <w:trPr>
          <w:divId w:val="98525094"/>
          <w:trHeight w:val="225"/>
          <w:tblCellSpacing w:w="15" w:type="dxa"/>
        </w:trPr>
        <w:tc>
          <w:tcPr>
            <w:tcW w:w="0" w:type="auto"/>
            <w:vAlign w:val="center"/>
            <w:hideMark/>
          </w:tcPr>
          <w:p w14:paraId="1A40771D"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62659D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78508F4C"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459657C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3B2998E"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65B9A6C3"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1E3F804D"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529CE50"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2FDC795A"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38284491" w14:textId="77777777" w:rsidR="00000000" w:rsidRDefault="00EB4933">
            <w:pPr>
              <w:pStyle w:val="NormalWeb"/>
              <w:spacing w:before="0" w:beforeAutospacing="0" w:after="0" w:afterAutospacing="0"/>
              <w:rPr>
                <w:sz w:val="20"/>
                <w:szCs w:val="20"/>
              </w:rPr>
            </w:pPr>
            <w:r>
              <w:rPr>
                <w:sz w:val="20"/>
                <w:szCs w:val="20"/>
              </w:rPr>
              <w:t> </w:t>
            </w:r>
          </w:p>
        </w:tc>
      </w:tr>
      <w:tr w:rsidR="00000000" w14:paraId="6511334B" w14:textId="77777777">
        <w:trPr>
          <w:divId w:val="98525094"/>
          <w:trHeight w:val="225"/>
          <w:tblCellSpacing w:w="15" w:type="dxa"/>
        </w:trPr>
        <w:tc>
          <w:tcPr>
            <w:tcW w:w="0" w:type="auto"/>
            <w:vAlign w:val="center"/>
            <w:hideMark/>
          </w:tcPr>
          <w:p w14:paraId="25DE889C"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52B9A6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54CFDB3A"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51A308A"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8C4EA4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555BD4CB"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EFF6263"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66E465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2F8DFB75"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4F48EA5" w14:textId="77777777" w:rsidR="00000000" w:rsidRDefault="00EB4933">
            <w:pPr>
              <w:pStyle w:val="NormalWeb"/>
              <w:spacing w:before="0" w:beforeAutospacing="0" w:after="0" w:afterAutospacing="0"/>
              <w:rPr>
                <w:sz w:val="20"/>
                <w:szCs w:val="20"/>
              </w:rPr>
            </w:pPr>
            <w:r>
              <w:rPr>
                <w:sz w:val="20"/>
                <w:szCs w:val="20"/>
              </w:rPr>
              <w:t> </w:t>
            </w:r>
          </w:p>
        </w:tc>
      </w:tr>
      <w:tr w:rsidR="00000000" w14:paraId="3B749F73" w14:textId="77777777">
        <w:trPr>
          <w:divId w:val="98525094"/>
          <w:trHeight w:val="225"/>
          <w:tblCellSpacing w:w="15" w:type="dxa"/>
        </w:trPr>
        <w:tc>
          <w:tcPr>
            <w:tcW w:w="0" w:type="auto"/>
            <w:shd w:val="clear" w:color="auto" w:fill="CCEEFF"/>
            <w:hideMark/>
          </w:tcPr>
          <w:p w14:paraId="5FE9BF0D" w14:textId="77777777" w:rsidR="00000000" w:rsidRDefault="00EB4933">
            <w:pPr>
              <w:pStyle w:val="NormalWeb"/>
              <w:spacing w:before="0" w:beforeAutospacing="0" w:after="0" w:afterAutospacing="0"/>
              <w:jc w:val="both"/>
              <w:rPr>
                <w:sz w:val="20"/>
                <w:szCs w:val="20"/>
              </w:rPr>
            </w:pPr>
            <w:r>
              <w:rPr>
                <w:sz w:val="20"/>
                <w:szCs w:val="20"/>
              </w:rPr>
              <w:t xml:space="preserve">Current income tax expenses </w:t>
            </w:r>
          </w:p>
        </w:tc>
        <w:tc>
          <w:tcPr>
            <w:tcW w:w="50" w:type="pct"/>
            <w:shd w:val="clear" w:color="auto" w:fill="CCEEFF"/>
            <w:noWrap/>
            <w:vAlign w:val="center"/>
            <w:hideMark/>
          </w:tcPr>
          <w:p w14:paraId="25534AC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67EA0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88A5B3F" w14:textId="77777777" w:rsidR="00000000" w:rsidRDefault="00EB4933">
            <w:pPr>
              <w:jc w:val="right"/>
              <w:rPr>
                <w:rFonts w:eastAsia="Times New Roman"/>
                <w:sz w:val="20"/>
                <w:szCs w:val="20"/>
              </w:rPr>
            </w:pPr>
            <w:r>
              <w:rPr>
                <w:rFonts w:eastAsia="Times New Roman"/>
                <w:sz w:val="20"/>
                <w:szCs w:val="20"/>
              </w:rPr>
              <w:t>15,550</w:t>
            </w:r>
          </w:p>
        </w:tc>
        <w:tc>
          <w:tcPr>
            <w:tcW w:w="50" w:type="pct"/>
            <w:shd w:val="clear" w:color="auto" w:fill="CCEEFF"/>
            <w:noWrap/>
            <w:vAlign w:val="center"/>
            <w:hideMark/>
          </w:tcPr>
          <w:p w14:paraId="2EDB630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72763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2D9C5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3D42560" w14:textId="77777777" w:rsidR="00000000" w:rsidRDefault="00EB4933">
            <w:pPr>
              <w:jc w:val="right"/>
              <w:rPr>
                <w:rFonts w:eastAsia="Times New Roman"/>
                <w:sz w:val="20"/>
                <w:szCs w:val="20"/>
              </w:rPr>
            </w:pPr>
            <w:r>
              <w:rPr>
                <w:rFonts w:eastAsia="Times New Roman"/>
                <w:sz w:val="20"/>
                <w:szCs w:val="20"/>
              </w:rPr>
              <w:t>18,033</w:t>
            </w:r>
          </w:p>
        </w:tc>
        <w:tc>
          <w:tcPr>
            <w:tcW w:w="50" w:type="pct"/>
            <w:shd w:val="clear" w:color="auto" w:fill="CCEEFF"/>
            <w:noWrap/>
            <w:vAlign w:val="center"/>
            <w:hideMark/>
          </w:tcPr>
          <w:p w14:paraId="5CAAB74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47069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D4FE8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536B220"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E5C7154" w14:textId="77777777" w:rsidR="00000000" w:rsidRDefault="00EB4933">
            <w:pPr>
              <w:pStyle w:val="NormalWeb"/>
              <w:spacing w:before="0" w:beforeAutospacing="0" w:after="0" w:afterAutospacing="0"/>
              <w:rPr>
                <w:sz w:val="20"/>
                <w:szCs w:val="20"/>
              </w:rPr>
            </w:pPr>
            <w:r>
              <w:rPr>
                <w:sz w:val="20"/>
                <w:szCs w:val="20"/>
              </w:rPr>
              <w:t> </w:t>
            </w:r>
          </w:p>
        </w:tc>
      </w:tr>
      <w:tr w:rsidR="00000000" w14:paraId="74BF5DF8" w14:textId="77777777">
        <w:trPr>
          <w:divId w:val="98525094"/>
          <w:trHeight w:val="225"/>
          <w:tblCellSpacing w:w="15" w:type="dxa"/>
        </w:trPr>
        <w:tc>
          <w:tcPr>
            <w:tcW w:w="0" w:type="auto"/>
            <w:shd w:val="clear" w:color="auto" w:fill="FFFFFF"/>
            <w:hideMark/>
          </w:tcPr>
          <w:p w14:paraId="0415C30A" w14:textId="77777777" w:rsidR="00000000" w:rsidRDefault="00EB4933">
            <w:pPr>
              <w:pStyle w:val="NormalWeb"/>
              <w:spacing w:before="0" w:beforeAutospacing="0" w:after="0" w:afterAutospacing="0"/>
              <w:jc w:val="both"/>
              <w:rPr>
                <w:sz w:val="20"/>
                <w:szCs w:val="20"/>
              </w:rPr>
            </w:pPr>
            <w:r>
              <w:rPr>
                <w:sz w:val="20"/>
                <w:szCs w:val="20"/>
              </w:rPr>
              <w:t>Deferred income tax expenses</w:t>
            </w:r>
          </w:p>
        </w:tc>
        <w:tc>
          <w:tcPr>
            <w:tcW w:w="50" w:type="pct"/>
            <w:shd w:val="clear" w:color="auto" w:fill="FFFFFF"/>
            <w:noWrap/>
            <w:vAlign w:val="center"/>
            <w:hideMark/>
          </w:tcPr>
          <w:p w14:paraId="51E81C5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093266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835AC4A"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7E1F6F6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02423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CB3635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8F6EA42"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53859DC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03815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984AA9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19206A1"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5A150DCD" w14:textId="77777777" w:rsidR="00000000" w:rsidRDefault="00EB4933">
            <w:pPr>
              <w:pStyle w:val="NormalWeb"/>
              <w:spacing w:before="0" w:beforeAutospacing="0" w:after="0" w:afterAutospacing="0"/>
              <w:rPr>
                <w:sz w:val="20"/>
                <w:szCs w:val="20"/>
              </w:rPr>
            </w:pPr>
            <w:r>
              <w:rPr>
                <w:sz w:val="20"/>
                <w:szCs w:val="20"/>
              </w:rPr>
              <w:t> </w:t>
            </w:r>
          </w:p>
        </w:tc>
      </w:tr>
      <w:tr w:rsidR="00000000" w14:paraId="5BF0BD3B" w14:textId="77777777">
        <w:trPr>
          <w:divId w:val="98525094"/>
          <w:trHeight w:val="225"/>
          <w:tblCellSpacing w:w="15" w:type="dxa"/>
        </w:trPr>
        <w:tc>
          <w:tcPr>
            <w:tcW w:w="0" w:type="auto"/>
            <w:shd w:val="clear" w:color="auto" w:fill="CCEEFF"/>
            <w:hideMark/>
          </w:tcPr>
          <w:p w14:paraId="6C84D8FE" w14:textId="77777777" w:rsidR="00000000" w:rsidRDefault="00EB4933">
            <w:pPr>
              <w:pStyle w:val="NormalWeb"/>
              <w:spacing w:before="0" w:beforeAutospacing="0" w:after="0" w:afterAutospacing="0"/>
              <w:jc w:val="both"/>
              <w:rPr>
                <w:sz w:val="20"/>
                <w:szCs w:val="20"/>
              </w:rPr>
            </w:pPr>
            <w:r>
              <w:rPr>
                <w:sz w:val="20"/>
                <w:szCs w:val="20"/>
              </w:rPr>
              <w:t>Income tax expense</w:t>
            </w:r>
          </w:p>
        </w:tc>
        <w:tc>
          <w:tcPr>
            <w:tcW w:w="50" w:type="pct"/>
            <w:shd w:val="clear" w:color="auto" w:fill="CCEEFF"/>
            <w:noWrap/>
            <w:vAlign w:val="center"/>
            <w:hideMark/>
          </w:tcPr>
          <w:p w14:paraId="3F8589A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0FF800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64DE44C8" w14:textId="77777777" w:rsidR="00000000" w:rsidRDefault="00EB4933">
            <w:pPr>
              <w:jc w:val="right"/>
              <w:rPr>
                <w:rFonts w:eastAsia="Times New Roman"/>
                <w:sz w:val="20"/>
                <w:szCs w:val="20"/>
              </w:rPr>
            </w:pPr>
            <w:r>
              <w:rPr>
                <w:rFonts w:eastAsia="Times New Roman"/>
                <w:sz w:val="20"/>
                <w:szCs w:val="20"/>
              </w:rPr>
              <w:t>15,550</w:t>
            </w:r>
          </w:p>
        </w:tc>
        <w:tc>
          <w:tcPr>
            <w:tcW w:w="50" w:type="pct"/>
            <w:shd w:val="clear" w:color="auto" w:fill="CCEEFF"/>
            <w:noWrap/>
            <w:tcMar>
              <w:top w:w="0" w:type="dxa"/>
              <w:left w:w="0" w:type="dxa"/>
              <w:bottom w:w="45" w:type="dxa"/>
              <w:right w:w="0" w:type="dxa"/>
            </w:tcMar>
            <w:vAlign w:val="center"/>
            <w:hideMark/>
          </w:tcPr>
          <w:p w14:paraId="3E01A31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DBA1D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7DDB80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5FEA0ACF" w14:textId="77777777" w:rsidR="00000000" w:rsidRDefault="00EB4933">
            <w:pPr>
              <w:jc w:val="right"/>
              <w:rPr>
                <w:rFonts w:eastAsia="Times New Roman"/>
                <w:sz w:val="20"/>
                <w:szCs w:val="20"/>
              </w:rPr>
            </w:pPr>
            <w:r>
              <w:rPr>
                <w:rFonts w:eastAsia="Times New Roman"/>
                <w:sz w:val="20"/>
                <w:szCs w:val="20"/>
              </w:rPr>
              <w:t>18,033</w:t>
            </w:r>
          </w:p>
        </w:tc>
        <w:tc>
          <w:tcPr>
            <w:tcW w:w="50" w:type="pct"/>
            <w:shd w:val="clear" w:color="auto" w:fill="CCEEFF"/>
            <w:noWrap/>
            <w:tcMar>
              <w:top w:w="0" w:type="dxa"/>
              <w:left w:w="0" w:type="dxa"/>
              <w:bottom w:w="45" w:type="dxa"/>
              <w:right w:w="0" w:type="dxa"/>
            </w:tcMar>
            <w:vAlign w:val="center"/>
            <w:hideMark/>
          </w:tcPr>
          <w:p w14:paraId="30AD835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954A4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950125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0FDC4716"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45" w:type="dxa"/>
              <w:right w:w="0" w:type="dxa"/>
            </w:tcMar>
            <w:vAlign w:val="center"/>
            <w:hideMark/>
          </w:tcPr>
          <w:p w14:paraId="109FC261" w14:textId="77777777" w:rsidR="00000000" w:rsidRDefault="00EB4933">
            <w:pPr>
              <w:pStyle w:val="NormalWeb"/>
              <w:spacing w:before="0" w:beforeAutospacing="0" w:after="0" w:afterAutospacing="0"/>
              <w:rPr>
                <w:sz w:val="20"/>
                <w:szCs w:val="20"/>
              </w:rPr>
            </w:pPr>
            <w:r>
              <w:rPr>
                <w:sz w:val="20"/>
                <w:szCs w:val="20"/>
              </w:rPr>
              <w:t> </w:t>
            </w:r>
          </w:p>
        </w:tc>
      </w:tr>
    </w:tbl>
    <w:p w14:paraId="3D9870E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C301A0C" w14:textId="77777777" w:rsidR="00000000" w:rsidRDefault="00EB4933">
      <w:pPr>
        <w:pStyle w:val="NormalWeb"/>
        <w:spacing w:before="0" w:beforeAutospacing="0" w:after="0" w:afterAutospacing="0"/>
        <w:ind w:left="675"/>
        <w:jc w:val="both"/>
        <w:divId w:val="98525094"/>
        <w:rPr>
          <w:sz w:val="20"/>
          <w:szCs w:val="20"/>
        </w:rPr>
      </w:pPr>
      <w:r>
        <w:rPr>
          <w:sz w:val="20"/>
          <w:szCs w:val="20"/>
        </w:rPr>
        <w:t>The reconciliation between tax expense and accounting profit at applicable PRC tax rates of 25% is as follows:</w:t>
      </w:r>
    </w:p>
    <w:p w14:paraId="7C6406D0"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5287"/>
        <w:gridCol w:w="112"/>
        <w:gridCol w:w="112"/>
        <w:gridCol w:w="767"/>
        <w:gridCol w:w="112"/>
        <w:gridCol w:w="112"/>
        <w:gridCol w:w="112"/>
        <w:gridCol w:w="767"/>
        <w:gridCol w:w="112"/>
        <w:gridCol w:w="112"/>
        <w:gridCol w:w="112"/>
        <w:gridCol w:w="767"/>
        <w:gridCol w:w="127"/>
      </w:tblGrid>
      <w:tr w:rsidR="00000000" w14:paraId="5761CE54" w14:textId="77777777">
        <w:trPr>
          <w:divId w:val="98525094"/>
          <w:trHeight w:val="225"/>
          <w:tblCellSpacing w:w="15" w:type="dxa"/>
        </w:trPr>
        <w:tc>
          <w:tcPr>
            <w:tcW w:w="0" w:type="auto"/>
            <w:vAlign w:val="center"/>
            <w:hideMark/>
          </w:tcPr>
          <w:p w14:paraId="24664C34"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3863D70"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10"/>
            <w:tcBorders>
              <w:bottom w:val="single" w:sz="6" w:space="0" w:color="000000"/>
            </w:tcBorders>
            <w:vAlign w:val="bottom"/>
            <w:hideMark/>
          </w:tcPr>
          <w:p w14:paraId="4FEF9D4C" w14:textId="77777777" w:rsidR="00000000" w:rsidRDefault="00EB4933">
            <w:pPr>
              <w:pStyle w:val="NormalWeb"/>
              <w:spacing w:before="0" w:beforeAutospacing="0" w:after="0" w:afterAutospacing="0"/>
              <w:jc w:val="center"/>
              <w:rPr>
                <w:sz w:val="20"/>
                <w:szCs w:val="20"/>
              </w:rPr>
            </w:pPr>
            <w:r>
              <w:rPr>
                <w:rStyle w:val="Strong"/>
                <w:sz w:val="20"/>
                <w:szCs w:val="20"/>
              </w:rPr>
              <w:t>Year Ended December 31,</w:t>
            </w:r>
          </w:p>
        </w:tc>
        <w:tc>
          <w:tcPr>
            <w:tcW w:w="0" w:type="auto"/>
            <w:noWrap/>
            <w:vAlign w:val="center"/>
            <w:hideMark/>
          </w:tcPr>
          <w:p w14:paraId="36723B83" w14:textId="77777777" w:rsidR="00000000" w:rsidRDefault="00EB4933">
            <w:pPr>
              <w:pStyle w:val="NormalWeb"/>
              <w:spacing w:before="0" w:beforeAutospacing="0" w:after="0" w:afterAutospacing="0"/>
              <w:rPr>
                <w:sz w:val="20"/>
                <w:szCs w:val="20"/>
              </w:rPr>
            </w:pPr>
            <w:r>
              <w:rPr>
                <w:sz w:val="20"/>
                <w:szCs w:val="20"/>
              </w:rPr>
              <w:t> </w:t>
            </w:r>
          </w:p>
        </w:tc>
      </w:tr>
      <w:tr w:rsidR="00000000" w14:paraId="2F1714CD" w14:textId="77777777">
        <w:trPr>
          <w:divId w:val="98525094"/>
          <w:trHeight w:val="225"/>
          <w:tblCellSpacing w:w="15" w:type="dxa"/>
        </w:trPr>
        <w:tc>
          <w:tcPr>
            <w:tcW w:w="0" w:type="auto"/>
            <w:vAlign w:val="center"/>
            <w:hideMark/>
          </w:tcPr>
          <w:p w14:paraId="5E356021"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0B5B63E"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161D43B7" w14:textId="77777777" w:rsidR="00000000" w:rsidRDefault="00EB4933">
            <w:pPr>
              <w:pStyle w:val="NormalWeb"/>
              <w:spacing w:before="0" w:beforeAutospacing="0" w:after="0" w:afterAutospacing="0"/>
              <w:jc w:val="center"/>
              <w:rPr>
                <w:sz w:val="20"/>
                <w:szCs w:val="20"/>
              </w:rPr>
            </w:pPr>
            <w:r>
              <w:rPr>
                <w:rStyle w:val="Strong"/>
                <w:sz w:val="20"/>
                <w:szCs w:val="20"/>
              </w:rPr>
              <w:t>2017</w:t>
            </w:r>
          </w:p>
          <w:p w14:paraId="7BBB7920" w14:textId="77777777" w:rsidR="00000000" w:rsidRDefault="00EB4933">
            <w:pPr>
              <w:pStyle w:val="NormalWeb"/>
              <w:spacing w:before="0" w:beforeAutospacing="0" w:after="0" w:afterAutospacing="0"/>
              <w:jc w:val="center"/>
              <w:rPr>
                <w:sz w:val="20"/>
                <w:szCs w:val="20"/>
              </w:rPr>
            </w:pPr>
            <w:r>
              <w:rPr>
                <w:rStyle w:val="Strong"/>
                <w:sz w:val="20"/>
                <w:szCs w:val="20"/>
              </w:rPr>
              <w:t>restated</w:t>
            </w:r>
          </w:p>
        </w:tc>
        <w:tc>
          <w:tcPr>
            <w:tcW w:w="0" w:type="auto"/>
            <w:noWrap/>
            <w:vAlign w:val="center"/>
            <w:hideMark/>
          </w:tcPr>
          <w:p w14:paraId="6222C2EC"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A9CD324"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1D5CEC23"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vAlign w:val="center"/>
            <w:hideMark/>
          </w:tcPr>
          <w:p w14:paraId="10DBCF50"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BACE64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130C5206"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5AB3642E" w14:textId="77777777" w:rsidR="00000000" w:rsidRDefault="00EB4933">
            <w:pPr>
              <w:pStyle w:val="NormalWeb"/>
              <w:spacing w:before="0" w:beforeAutospacing="0" w:after="0" w:afterAutospacing="0"/>
              <w:rPr>
                <w:sz w:val="20"/>
                <w:szCs w:val="20"/>
              </w:rPr>
            </w:pPr>
            <w:r>
              <w:rPr>
                <w:sz w:val="20"/>
                <w:szCs w:val="20"/>
              </w:rPr>
              <w:t> </w:t>
            </w:r>
          </w:p>
        </w:tc>
      </w:tr>
      <w:tr w:rsidR="00000000" w14:paraId="7DE83A8A" w14:textId="77777777">
        <w:trPr>
          <w:divId w:val="98525094"/>
          <w:trHeight w:val="225"/>
          <w:tblCellSpacing w:w="15" w:type="dxa"/>
        </w:trPr>
        <w:tc>
          <w:tcPr>
            <w:tcW w:w="0" w:type="auto"/>
            <w:vAlign w:val="center"/>
            <w:hideMark/>
          </w:tcPr>
          <w:p w14:paraId="2385B904"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C179F4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11472671"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719A6BE1"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C2984BC"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6FD5ECA5"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7CE479A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41C552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2DFCD19A"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5701DF81" w14:textId="77777777" w:rsidR="00000000" w:rsidRDefault="00EB4933">
            <w:pPr>
              <w:pStyle w:val="NormalWeb"/>
              <w:spacing w:before="0" w:beforeAutospacing="0" w:after="0" w:afterAutospacing="0"/>
              <w:rPr>
                <w:sz w:val="20"/>
                <w:szCs w:val="20"/>
              </w:rPr>
            </w:pPr>
            <w:r>
              <w:rPr>
                <w:sz w:val="20"/>
                <w:szCs w:val="20"/>
              </w:rPr>
              <w:t> </w:t>
            </w:r>
          </w:p>
        </w:tc>
      </w:tr>
      <w:tr w:rsidR="00000000" w14:paraId="7FE819CD" w14:textId="77777777">
        <w:trPr>
          <w:divId w:val="98525094"/>
          <w:trHeight w:val="225"/>
          <w:tblCellSpacing w:w="15" w:type="dxa"/>
        </w:trPr>
        <w:tc>
          <w:tcPr>
            <w:tcW w:w="0" w:type="auto"/>
            <w:vAlign w:val="center"/>
            <w:hideMark/>
          </w:tcPr>
          <w:p w14:paraId="511AC8CD"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B96464E"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F13CC0B"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5879431"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D4CFF9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DF6B50D"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C8C821A"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567D2C5"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0B0DB9AB"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8989064" w14:textId="77777777" w:rsidR="00000000" w:rsidRDefault="00EB4933">
            <w:pPr>
              <w:pStyle w:val="NormalWeb"/>
              <w:spacing w:before="0" w:beforeAutospacing="0" w:after="0" w:afterAutospacing="0"/>
              <w:rPr>
                <w:sz w:val="20"/>
                <w:szCs w:val="20"/>
              </w:rPr>
            </w:pPr>
            <w:r>
              <w:rPr>
                <w:sz w:val="20"/>
                <w:szCs w:val="20"/>
              </w:rPr>
              <w:t> </w:t>
            </w:r>
          </w:p>
        </w:tc>
      </w:tr>
      <w:tr w:rsidR="00000000" w14:paraId="77B0A30C" w14:textId="77777777">
        <w:trPr>
          <w:divId w:val="98525094"/>
          <w:trHeight w:val="225"/>
          <w:tblCellSpacing w:w="15" w:type="dxa"/>
        </w:trPr>
        <w:tc>
          <w:tcPr>
            <w:tcW w:w="0" w:type="auto"/>
            <w:shd w:val="clear" w:color="auto" w:fill="CCEEFF"/>
            <w:hideMark/>
          </w:tcPr>
          <w:p w14:paraId="0632C6A3" w14:textId="77777777" w:rsidR="00000000" w:rsidRDefault="00EB4933">
            <w:pPr>
              <w:pStyle w:val="NormalWeb"/>
              <w:spacing w:before="0" w:beforeAutospacing="0" w:after="0" w:afterAutospacing="0"/>
              <w:jc w:val="both"/>
              <w:rPr>
                <w:sz w:val="20"/>
                <w:szCs w:val="20"/>
              </w:rPr>
            </w:pPr>
            <w:r>
              <w:rPr>
                <w:sz w:val="20"/>
                <w:szCs w:val="20"/>
              </w:rPr>
              <w:t>Income before taxation</w:t>
            </w:r>
          </w:p>
        </w:tc>
        <w:tc>
          <w:tcPr>
            <w:tcW w:w="50" w:type="pct"/>
            <w:shd w:val="clear" w:color="auto" w:fill="CCEEFF"/>
            <w:noWrap/>
            <w:vAlign w:val="center"/>
            <w:hideMark/>
          </w:tcPr>
          <w:p w14:paraId="64FB03C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CBC0D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FB25ECE" w14:textId="77777777" w:rsidR="00000000" w:rsidRDefault="00EB4933">
            <w:pPr>
              <w:jc w:val="right"/>
              <w:rPr>
                <w:rFonts w:eastAsia="Times New Roman"/>
                <w:sz w:val="20"/>
                <w:szCs w:val="20"/>
              </w:rPr>
            </w:pPr>
            <w:r>
              <w:rPr>
                <w:rFonts w:eastAsia="Times New Roman"/>
                <w:sz w:val="20"/>
                <w:szCs w:val="20"/>
              </w:rPr>
              <w:t>44,376</w:t>
            </w:r>
          </w:p>
        </w:tc>
        <w:tc>
          <w:tcPr>
            <w:tcW w:w="50" w:type="pct"/>
            <w:shd w:val="clear" w:color="auto" w:fill="CCEEFF"/>
            <w:noWrap/>
            <w:vAlign w:val="center"/>
            <w:hideMark/>
          </w:tcPr>
          <w:p w14:paraId="78EC0F7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19B07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94225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CF664A1" w14:textId="77777777" w:rsidR="00000000" w:rsidRDefault="00EB4933">
            <w:pPr>
              <w:jc w:val="right"/>
              <w:rPr>
                <w:rFonts w:eastAsia="Times New Roman"/>
                <w:sz w:val="20"/>
                <w:szCs w:val="20"/>
              </w:rPr>
            </w:pPr>
            <w:r>
              <w:rPr>
                <w:rFonts w:eastAsia="Times New Roman"/>
                <w:sz w:val="20"/>
                <w:szCs w:val="20"/>
              </w:rPr>
              <w:t>26,188</w:t>
            </w:r>
          </w:p>
        </w:tc>
        <w:tc>
          <w:tcPr>
            <w:tcW w:w="50" w:type="pct"/>
            <w:shd w:val="clear" w:color="auto" w:fill="CCEEFF"/>
            <w:noWrap/>
            <w:vAlign w:val="center"/>
            <w:hideMark/>
          </w:tcPr>
          <w:p w14:paraId="737F6C7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704A3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DB58E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9ED54D4" w14:textId="77777777" w:rsidR="00000000" w:rsidRDefault="00EB4933">
            <w:pPr>
              <w:jc w:val="right"/>
              <w:rPr>
                <w:rFonts w:eastAsia="Times New Roman"/>
                <w:sz w:val="20"/>
                <w:szCs w:val="20"/>
              </w:rPr>
            </w:pPr>
            <w:r>
              <w:rPr>
                <w:rFonts w:eastAsia="Times New Roman"/>
                <w:sz w:val="20"/>
                <w:szCs w:val="20"/>
              </w:rPr>
              <w:t>58,616</w:t>
            </w:r>
          </w:p>
        </w:tc>
        <w:tc>
          <w:tcPr>
            <w:tcW w:w="50" w:type="pct"/>
            <w:shd w:val="clear" w:color="auto" w:fill="CCEEFF"/>
            <w:noWrap/>
            <w:vAlign w:val="center"/>
            <w:hideMark/>
          </w:tcPr>
          <w:p w14:paraId="60DC1F7B" w14:textId="77777777" w:rsidR="00000000" w:rsidRDefault="00EB4933">
            <w:pPr>
              <w:pStyle w:val="NormalWeb"/>
              <w:spacing w:before="0" w:beforeAutospacing="0" w:after="0" w:afterAutospacing="0"/>
              <w:rPr>
                <w:sz w:val="20"/>
                <w:szCs w:val="20"/>
              </w:rPr>
            </w:pPr>
            <w:r>
              <w:rPr>
                <w:sz w:val="20"/>
                <w:szCs w:val="20"/>
              </w:rPr>
              <w:t> </w:t>
            </w:r>
          </w:p>
        </w:tc>
      </w:tr>
      <w:tr w:rsidR="00000000" w14:paraId="6671D0B3" w14:textId="77777777">
        <w:trPr>
          <w:divId w:val="98525094"/>
          <w:trHeight w:val="225"/>
          <w:tblCellSpacing w:w="15" w:type="dxa"/>
        </w:trPr>
        <w:tc>
          <w:tcPr>
            <w:tcW w:w="0" w:type="auto"/>
            <w:shd w:val="clear" w:color="auto" w:fill="FFFFFF"/>
            <w:vAlign w:val="center"/>
            <w:hideMark/>
          </w:tcPr>
          <w:p w14:paraId="4E6BFCB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CBE8C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AD04E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4A14AF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C598C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8218B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FA7D2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A9FC06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A5A9C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6E25A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A68D7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B8F0C3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D473F7" w14:textId="77777777" w:rsidR="00000000" w:rsidRDefault="00EB4933">
            <w:pPr>
              <w:pStyle w:val="NormalWeb"/>
              <w:spacing w:before="0" w:beforeAutospacing="0" w:after="0" w:afterAutospacing="0"/>
              <w:rPr>
                <w:sz w:val="20"/>
                <w:szCs w:val="20"/>
              </w:rPr>
            </w:pPr>
            <w:r>
              <w:rPr>
                <w:sz w:val="20"/>
                <w:szCs w:val="20"/>
              </w:rPr>
              <w:t> </w:t>
            </w:r>
          </w:p>
        </w:tc>
      </w:tr>
      <w:tr w:rsidR="00000000" w14:paraId="518A4450" w14:textId="77777777">
        <w:trPr>
          <w:divId w:val="98525094"/>
          <w:trHeight w:val="225"/>
          <w:tblCellSpacing w:w="15" w:type="dxa"/>
        </w:trPr>
        <w:tc>
          <w:tcPr>
            <w:tcW w:w="0" w:type="auto"/>
            <w:shd w:val="clear" w:color="auto" w:fill="CCEEFF"/>
            <w:hideMark/>
          </w:tcPr>
          <w:p w14:paraId="37605A8A" w14:textId="77777777" w:rsidR="00000000" w:rsidRDefault="00EB4933">
            <w:pPr>
              <w:pStyle w:val="NormalWeb"/>
              <w:spacing w:before="0" w:beforeAutospacing="0" w:after="0" w:afterAutospacing="0"/>
              <w:jc w:val="both"/>
              <w:rPr>
                <w:sz w:val="20"/>
                <w:szCs w:val="20"/>
              </w:rPr>
            </w:pPr>
            <w:r>
              <w:rPr>
                <w:sz w:val="20"/>
                <w:szCs w:val="20"/>
              </w:rPr>
              <w:t>Computed expected income tax expense</w:t>
            </w:r>
          </w:p>
        </w:tc>
        <w:tc>
          <w:tcPr>
            <w:tcW w:w="50" w:type="pct"/>
            <w:shd w:val="clear" w:color="auto" w:fill="CCEEFF"/>
            <w:noWrap/>
            <w:vAlign w:val="center"/>
            <w:hideMark/>
          </w:tcPr>
          <w:p w14:paraId="067E2F1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E209E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7A1EC3B" w14:textId="77777777" w:rsidR="00000000" w:rsidRDefault="00EB4933">
            <w:pPr>
              <w:jc w:val="right"/>
              <w:rPr>
                <w:rFonts w:eastAsia="Times New Roman"/>
                <w:sz w:val="20"/>
                <w:szCs w:val="20"/>
              </w:rPr>
            </w:pPr>
            <w:r>
              <w:rPr>
                <w:rFonts w:eastAsia="Times New Roman"/>
                <w:sz w:val="20"/>
                <w:szCs w:val="20"/>
              </w:rPr>
              <w:t>11,094</w:t>
            </w:r>
          </w:p>
        </w:tc>
        <w:tc>
          <w:tcPr>
            <w:tcW w:w="50" w:type="pct"/>
            <w:shd w:val="clear" w:color="auto" w:fill="CCEEFF"/>
            <w:noWrap/>
            <w:vAlign w:val="center"/>
            <w:hideMark/>
          </w:tcPr>
          <w:p w14:paraId="29F0781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3AD57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1C971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0DD2B2B" w14:textId="77777777" w:rsidR="00000000" w:rsidRDefault="00EB4933">
            <w:pPr>
              <w:jc w:val="right"/>
              <w:rPr>
                <w:rFonts w:eastAsia="Times New Roman"/>
                <w:sz w:val="20"/>
                <w:szCs w:val="20"/>
              </w:rPr>
            </w:pPr>
            <w:r>
              <w:rPr>
                <w:rFonts w:eastAsia="Times New Roman"/>
                <w:sz w:val="20"/>
                <w:szCs w:val="20"/>
              </w:rPr>
              <w:t>6,547</w:t>
            </w:r>
          </w:p>
        </w:tc>
        <w:tc>
          <w:tcPr>
            <w:tcW w:w="50" w:type="pct"/>
            <w:shd w:val="clear" w:color="auto" w:fill="CCEEFF"/>
            <w:noWrap/>
            <w:vAlign w:val="center"/>
            <w:hideMark/>
          </w:tcPr>
          <w:p w14:paraId="2FCDD3F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4A295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20AA5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E330314" w14:textId="77777777" w:rsidR="00000000" w:rsidRDefault="00EB4933">
            <w:pPr>
              <w:jc w:val="right"/>
              <w:rPr>
                <w:rFonts w:eastAsia="Times New Roman"/>
                <w:sz w:val="20"/>
                <w:szCs w:val="20"/>
              </w:rPr>
            </w:pPr>
            <w:r>
              <w:rPr>
                <w:rFonts w:eastAsia="Times New Roman"/>
                <w:sz w:val="20"/>
                <w:szCs w:val="20"/>
              </w:rPr>
              <w:t>14,654</w:t>
            </w:r>
          </w:p>
        </w:tc>
        <w:tc>
          <w:tcPr>
            <w:tcW w:w="50" w:type="pct"/>
            <w:shd w:val="clear" w:color="auto" w:fill="CCEEFF"/>
            <w:noWrap/>
            <w:vAlign w:val="center"/>
            <w:hideMark/>
          </w:tcPr>
          <w:p w14:paraId="5609D056" w14:textId="77777777" w:rsidR="00000000" w:rsidRDefault="00EB4933">
            <w:pPr>
              <w:pStyle w:val="NormalWeb"/>
              <w:spacing w:before="0" w:beforeAutospacing="0" w:after="0" w:afterAutospacing="0"/>
              <w:rPr>
                <w:sz w:val="20"/>
                <w:szCs w:val="20"/>
              </w:rPr>
            </w:pPr>
            <w:r>
              <w:rPr>
                <w:sz w:val="20"/>
                <w:szCs w:val="20"/>
              </w:rPr>
              <w:t> </w:t>
            </w:r>
          </w:p>
        </w:tc>
      </w:tr>
      <w:tr w:rsidR="00000000" w14:paraId="120BBA55" w14:textId="77777777">
        <w:trPr>
          <w:divId w:val="98525094"/>
          <w:trHeight w:val="225"/>
          <w:tblCellSpacing w:w="15" w:type="dxa"/>
        </w:trPr>
        <w:tc>
          <w:tcPr>
            <w:tcW w:w="0" w:type="auto"/>
            <w:shd w:val="clear" w:color="auto" w:fill="FFFFFF"/>
            <w:hideMark/>
          </w:tcPr>
          <w:p w14:paraId="406B9F6F" w14:textId="77777777" w:rsidR="00000000" w:rsidRDefault="00EB4933">
            <w:pPr>
              <w:pStyle w:val="NormalWeb"/>
              <w:spacing w:before="0" w:beforeAutospacing="0" w:after="0" w:afterAutospacing="0"/>
              <w:jc w:val="both"/>
              <w:rPr>
                <w:sz w:val="20"/>
                <w:szCs w:val="20"/>
              </w:rPr>
            </w:pPr>
            <w:r>
              <w:rPr>
                <w:sz w:val="20"/>
                <w:szCs w:val="20"/>
              </w:rPr>
              <w:t>Tax effect of non-deductible expenses</w:t>
            </w:r>
          </w:p>
        </w:tc>
        <w:tc>
          <w:tcPr>
            <w:tcW w:w="50" w:type="pct"/>
            <w:shd w:val="clear" w:color="auto" w:fill="FFFFFF"/>
            <w:noWrap/>
            <w:vAlign w:val="center"/>
            <w:hideMark/>
          </w:tcPr>
          <w:p w14:paraId="7BD02E2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877D4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4DE41BE" w14:textId="77777777" w:rsidR="00000000" w:rsidRDefault="00EB4933">
            <w:pPr>
              <w:jc w:val="right"/>
              <w:rPr>
                <w:rFonts w:eastAsia="Times New Roman"/>
                <w:sz w:val="20"/>
                <w:szCs w:val="20"/>
              </w:rPr>
            </w:pPr>
            <w:r>
              <w:rPr>
                <w:rFonts w:eastAsia="Times New Roman"/>
                <w:sz w:val="20"/>
                <w:szCs w:val="20"/>
              </w:rPr>
              <w:t>592</w:t>
            </w:r>
          </w:p>
        </w:tc>
        <w:tc>
          <w:tcPr>
            <w:tcW w:w="50" w:type="pct"/>
            <w:shd w:val="clear" w:color="auto" w:fill="FFFFFF"/>
            <w:noWrap/>
            <w:vAlign w:val="center"/>
            <w:hideMark/>
          </w:tcPr>
          <w:p w14:paraId="0D8D095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AC170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FD8D1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41A81E7" w14:textId="77777777" w:rsidR="00000000" w:rsidRDefault="00EB4933">
            <w:pPr>
              <w:jc w:val="right"/>
              <w:rPr>
                <w:rFonts w:eastAsia="Times New Roman"/>
                <w:sz w:val="20"/>
                <w:szCs w:val="20"/>
              </w:rPr>
            </w:pPr>
            <w:r>
              <w:rPr>
                <w:rFonts w:eastAsia="Times New Roman"/>
                <w:sz w:val="20"/>
                <w:szCs w:val="20"/>
              </w:rPr>
              <w:t>17,173</w:t>
            </w:r>
          </w:p>
        </w:tc>
        <w:tc>
          <w:tcPr>
            <w:tcW w:w="50" w:type="pct"/>
            <w:shd w:val="clear" w:color="auto" w:fill="FFFFFF"/>
            <w:noWrap/>
            <w:vAlign w:val="center"/>
            <w:hideMark/>
          </w:tcPr>
          <w:p w14:paraId="57F6268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30D7F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D91CA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12D2649" w14:textId="77777777" w:rsidR="00000000" w:rsidRDefault="00EB4933">
            <w:pPr>
              <w:jc w:val="right"/>
              <w:rPr>
                <w:rFonts w:eastAsia="Times New Roman"/>
                <w:sz w:val="20"/>
                <w:szCs w:val="20"/>
              </w:rPr>
            </w:pPr>
            <w:r>
              <w:rPr>
                <w:rFonts w:eastAsia="Times New Roman"/>
                <w:sz w:val="20"/>
                <w:szCs w:val="20"/>
              </w:rPr>
              <w:t>6,260</w:t>
            </w:r>
          </w:p>
        </w:tc>
        <w:tc>
          <w:tcPr>
            <w:tcW w:w="50" w:type="pct"/>
            <w:shd w:val="clear" w:color="auto" w:fill="FFFFFF"/>
            <w:noWrap/>
            <w:vAlign w:val="center"/>
            <w:hideMark/>
          </w:tcPr>
          <w:p w14:paraId="3C227C6A" w14:textId="77777777" w:rsidR="00000000" w:rsidRDefault="00EB4933">
            <w:pPr>
              <w:pStyle w:val="NormalWeb"/>
              <w:spacing w:before="0" w:beforeAutospacing="0" w:after="0" w:afterAutospacing="0"/>
              <w:rPr>
                <w:sz w:val="20"/>
                <w:szCs w:val="20"/>
              </w:rPr>
            </w:pPr>
            <w:r>
              <w:rPr>
                <w:sz w:val="20"/>
                <w:szCs w:val="20"/>
              </w:rPr>
              <w:t> </w:t>
            </w:r>
          </w:p>
        </w:tc>
      </w:tr>
      <w:tr w:rsidR="00000000" w14:paraId="11640D7E" w14:textId="77777777">
        <w:trPr>
          <w:divId w:val="98525094"/>
          <w:trHeight w:val="225"/>
          <w:tblCellSpacing w:w="15" w:type="dxa"/>
        </w:trPr>
        <w:tc>
          <w:tcPr>
            <w:tcW w:w="0" w:type="auto"/>
            <w:shd w:val="clear" w:color="auto" w:fill="CCEEFF"/>
            <w:hideMark/>
          </w:tcPr>
          <w:p w14:paraId="66F80EB7" w14:textId="77777777" w:rsidR="00000000" w:rsidRDefault="00EB4933">
            <w:pPr>
              <w:pStyle w:val="NormalWeb"/>
              <w:spacing w:before="0" w:beforeAutospacing="0" w:after="0" w:afterAutospacing="0"/>
              <w:jc w:val="both"/>
              <w:rPr>
                <w:sz w:val="20"/>
                <w:szCs w:val="20"/>
              </w:rPr>
            </w:pPr>
            <w:r>
              <w:rPr>
                <w:sz w:val="20"/>
                <w:szCs w:val="20"/>
              </w:rPr>
              <w:t>Tax effect of tax-exempt entities</w:t>
            </w:r>
          </w:p>
        </w:tc>
        <w:tc>
          <w:tcPr>
            <w:tcW w:w="50" w:type="pct"/>
            <w:shd w:val="clear" w:color="auto" w:fill="CCEEFF"/>
            <w:noWrap/>
            <w:vAlign w:val="center"/>
            <w:hideMark/>
          </w:tcPr>
          <w:p w14:paraId="5559796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492D54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00D10D5" w14:textId="77777777" w:rsidR="00000000" w:rsidRDefault="00EB4933">
            <w:pPr>
              <w:jc w:val="right"/>
              <w:rPr>
                <w:rFonts w:eastAsia="Times New Roman"/>
                <w:sz w:val="20"/>
                <w:szCs w:val="20"/>
              </w:rPr>
            </w:pPr>
            <w:r>
              <w:rPr>
                <w:rFonts w:eastAsia="Times New Roman"/>
                <w:sz w:val="20"/>
                <w:szCs w:val="20"/>
              </w:rPr>
              <w:t>3,864</w:t>
            </w:r>
          </w:p>
        </w:tc>
        <w:tc>
          <w:tcPr>
            <w:tcW w:w="50" w:type="pct"/>
            <w:shd w:val="clear" w:color="auto" w:fill="CCEEFF"/>
            <w:noWrap/>
            <w:vAlign w:val="center"/>
            <w:hideMark/>
          </w:tcPr>
          <w:p w14:paraId="404BA7E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7416D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9C0C9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69CE82E" w14:textId="77777777" w:rsidR="00000000" w:rsidRDefault="00EB4933">
            <w:pPr>
              <w:jc w:val="right"/>
              <w:rPr>
                <w:rFonts w:eastAsia="Times New Roman"/>
                <w:sz w:val="20"/>
                <w:szCs w:val="20"/>
              </w:rPr>
            </w:pPr>
            <w:r>
              <w:rPr>
                <w:rFonts w:eastAsia="Times New Roman"/>
                <w:sz w:val="20"/>
                <w:szCs w:val="20"/>
              </w:rPr>
              <w:t>1,884</w:t>
            </w:r>
          </w:p>
        </w:tc>
        <w:tc>
          <w:tcPr>
            <w:tcW w:w="50" w:type="pct"/>
            <w:shd w:val="clear" w:color="auto" w:fill="CCEEFF"/>
            <w:noWrap/>
            <w:vAlign w:val="center"/>
            <w:hideMark/>
          </w:tcPr>
          <w:p w14:paraId="7C84244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714D8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B9014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971C4CD" w14:textId="77777777" w:rsidR="00000000" w:rsidRDefault="00EB4933">
            <w:pPr>
              <w:jc w:val="right"/>
              <w:rPr>
                <w:rFonts w:eastAsia="Times New Roman"/>
                <w:sz w:val="20"/>
                <w:szCs w:val="20"/>
              </w:rPr>
            </w:pPr>
            <w:r>
              <w:rPr>
                <w:rFonts w:eastAsia="Times New Roman"/>
                <w:sz w:val="20"/>
                <w:szCs w:val="20"/>
              </w:rPr>
              <w:t>716</w:t>
            </w:r>
          </w:p>
        </w:tc>
        <w:tc>
          <w:tcPr>
            <w:tcW w:w="50" w:type="pct"/>
            <w:shd w:val="clear" w:color="auto" w:fill="CCEEFF"/>
            <w:noWrap/>
            <w:vAlign w:val="center"/>
            <w:hideMark/>
          </w:tcPr>
          <w:p w14:paraId="6C97AA10" w14:textId="77777777" w:rsidR="00000000" w:rsidRDefault="00EB4933">
            <w:pPr>
              <w:pStyle w:val="NormalWeb"/>
              <w:spacing w:before="0" w:beforeAutospacing="0" w:after="0" w:afterAutospacing="0"/>
              <w:rPr>
                <w:sz w:val="20"/>
                <w:szCs w:val="20"/>
              </w:rPr>
            </w:pPr>
            <w:r>
              <w:rPr>
                <w:sz w:val="20"/>
                <w:szCs w:val="20"/>
              </w:rPr>
              <w:t> </w:t>
            </w:r>
          </w:p>
        </w:tc>
      </w:tr>
      <w:tr w:rsidR="00000000" w14:paraId="09FA559B" w14:textId="77777777">
        <w:trPr>
          <w:divId w:val="98525094"/>
          <w:trHeight w:val="225"/>
          <w:tblCellSpacing w:w="15" w:type="dxa"/>
        </w:trPr>
        <w:tc>
          <w:tcPr>
            <w:tcW w:w="0" w:type="auto"/>
            <w:shd w:val="clear" w:color="auto" w:fill="FFFFFF"/>
            <w:hideMark/>
          </w:tcPr>
          <w:p w14:paraId="466660FB" w14:textId="77777777" w:rsidR="00000000" w:rsidRDefault="00EB4933">
            <w:pPr>
              <w:pStyle w:val="NormalWeb"/>
              <w:spacing w:before="0" w:beforeAutospacing="0" w:after="0" w:afterAutospacing="0"/>
              <w:jc w:val="both"/>
              <w:rPr>
                <w:sz w:val="20"/>
                <w:szCs w:val="20"/>
              </w:rPr>
            </w:pPr>
            <w:r>
              <w:rPr>
                <w:sz w:val="20"/>
                <w:szCs w:val="20"/>
              </w:rPr>
              <w:t>Tax effect of non-taxable income</w:t>
            </w:r>
          </w:p>
        </w:tc>
        <w:tc>
          <w:tcPr>
            <w:tcW w:w="50" w:type="pct"/>
            <w:shd w:val="clear" w:color="auto" w:fill="FFFFFF"/>
            <w:noWrap/>
            <w:vAlign w:val="center"/>
            <w:hideMark/>
          </w:tcPr>
          <w:p w14:paraId="60A35E9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670A5C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A95158A"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2468435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EC7C9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17526E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661D7D6" w14:textId="77777777" w:rsidR="00000000" w:rsidRDefault="00EB4933">
            <w:pPr>
              <w:jc w:val="right"/>
              <w:rPr>
                <w:rFonts w:eastAsia="Times New Roman"/>
                <w:sz w:val="20"/>
                <w:szCs w:val="20"/>
              </w:rPr>
            </w:pPr>
            <w:r>
              <w:rPr>
                <w:rFonts w:eastAsia="Times New Roman"/>
                <w:sz w:val="20"/>
                <w:szCs w:val="20"/>
              </w:rPr>
              <w:t>(7,571</w:t>
            </w:r>
          </w:p>
        </w:tc>
        <w:tc>
          <w:tcPr>
            <w:tcW w:w="50" w:type="pct"/>
            <w:shd w:val="clear" w:color="auto" w:fill="FFFFFF"/>
            <w:noWrap/>
            <w:tcMar>
              <w:top w:w="0" w:type="dxa"/>
              <w:left w:w="0" w:type="dxa"/>
              <w:bottom w:w="15" w:type="dxa"/>
              <w:right w:w="0" w:type="dxa"/>
            </w:tcMar>
            <w:vAlign w:val="bottom"/>
            <w:hideMark/>
          </w:tcPr>
          <w:p w14:paraId="52A212DE"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EBABE9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D2E8EE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E2E25C4" w14:textId="77777777" w:rsidR="00000000" w:rsidRDefault="00EB4933">
            <w:pPr>
              <w:jc w:val="right"/>
              <w:rPr>
                <w:rFonts w:eastAsia="Times New Roman"/>
                <w:sz w:val="20"/>
                <w:szCs w:val="20"/>
              </w:rPr>
            </w:pPr>
            <w:r>
              <w:rPr>
                <w:rFonts w:eastAsia="Times New Roman"/>
                <w:sz w:val="20"/>
                <w:szCs w:val="20"/>
              </w:rPr>
              <w:t>(21,630</w:t>
            </w:r>
          </w:p>
        </w:tc>
        <w:tc>
          <w:tcPr>
            <w:tcW w:w="50" w:type="pct"/>
            <w:shd w:val="clear" w:color="auto" w:fill="FFFFFF"/>
            <w:noWrap/>
            <w:tcMar>
              <w:top w:w="0" w:type="dxa"/>
              <w:left w:w="0" w:type="dxa"/>
              <w:bottom w:w="15" w:type="dxa"/>
              <w:right w:w="0" w:type="dxa"/>
            </w:tcMar>
            <w:vAlign w:val="bottom"/>
            <w:hideMark/>
          </w:tcPr>
          <w:p w14:paraId="1B6B99DC" w14:textId="77777777" w:rsidR="00000000" w:rsidRDefault="00EB4933">
            <w:pPr>
              <w:rPr>
                <w:rFonts w:eastAsia="Times New Roman"/>
                <w:sz w:val="20"/>
                <w:szCs w:val="20"/>
              </w:rPr>
            </w:pPr>
            <w:r>
              <w:rPr>
                <w:rFonts w:eastAsia="Times New Roman"/>
                <w:sz w:val="20"/>
                <w:szCs w:val="20"/>
              </w:rPr>
              <w:t>)</w:t>
            </w:r>
          </w:p>
        </w:tc>
      </w:tr>
      <w:tr w:rsidR="00000000" w14:paraId="3B5E78E7" w14:textId="77777777">
        <w:trPr>
          <w:divId w:val="98525094"/>
          <w:trHeight w:val="225"/>
          <w:tblCellSpacing w:w="15" w:type="dxa"/>
        </w:trPr>
        <w:tc>
          <w:tcPr>
            <w:tcW w:w="0" w:type="auto"/>
            <w:shd w:val="clear" w:color="auto" w:fill="CCEEFF"/>
            <w:hideMark/>
          </w:tcPr>
          <w:p w14:paraId="63B2D620" w14:textId="77777777" w:rsidR="00000000" w:rsidRDefault="00EB4933">
            <w:pPr>
              <w:pStyle w:val="NormalWeb"/>
              <w:spacing w:before="0" w:beforeAutospacing="0" w:after="0" w:afterAutospacing="0"/>
              <w:jc w:val="both"/>
              <w:rPr>
                <w:sz w:val="20"/>
                <w:szCs w:val="20"/>
              </w:rPr>
            </w:pPr>
            <w:r>
              <w:rPr>
                <w:sz w:val="20"/>
                <w:szCs w:val="20"/>
              </w:rPr>
              <w:t>Income tax expense</w:t>
            </w:r>
          </w:p>
        </w:tc>
        <w:tc>
          <w:tcPr>
            <w:tcW w:w="50" w:type="pct"/>
            <w:shd w:val="clear" w:color="auto" w:fill="CCEEFF"/>
            <w:noWrap/>
            <w:vAlign w:val="center"/>
            <w:hideMark/>
          </w:tcPr>
          <w:p w14:paraId="5ECD7A0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BCED6F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191A0166" w14:textId="77777777" w:rsidR="00000000" w:rsidRDefault="00EB4933">
            <w:pPr>
              <w:jc w:val="right"/>
              <w:rPr>
                <w:rFonts w:eastAsia="Times New Roman"/>
                <w:sz w:val="20"/>
                <w:szCs w:val="20"/>
              </w:rPr>
            </w:pPr>
            <w:r>
              <w:rPr>
                <w:rFonts w:eastAsia="Times New Roman"/>
                <w:sz w:val="20"/>
                <w:szCs w:val="20"/>
              </w:rPr>
              <w:t>15,550</w:t>
            </w:r>
          </w:p>
        </w:tc>
        <w:tc>
          <w:tcPr>
            <w:tcW w:w="50" w:type="pct"/>
            <w:shd w:val="clear" w:color="auto" w:fill="CCEEFF"/>
            <w:noWrap/>
            <w:tcMar>
              <w:top w:w="0" w:type="dxa"/>
              <w:left w:w="0" w:type="dxa"/>
              <w:bottom w:w="45" w:type="dxa"/>
              <w:right w:w="0" w:type="dxa"/>
            </w:tcMar>
            <w:vAlign w:val="center"/>
            <w:hideMark/>
          </w:tcPr>
          <w:p w14:paraId="15B471F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849DE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8AB190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06EB5D5D" w14:textId="77777777" w:rsidR="00000000" w:rsidRDefault="00EB4933">
            <w:pPr>
              <w:jc w:val="right"/>
              <w:rPr>
                <w:rFonts w:eastAsia="Times New Roman"/>
                <w:sz w:val="20"/>
                <w:szCs w:val="20"/>
              </w:rPr>
            </w:pPr>
            <w:r>
              <w:rPr>
                <w:rFonts w:eastAsia="Times New Roman"/>
                <w:sz w:val="20"/>
                <w:szCs w:val="20"/>
              </w:rPr>
              <w:t>18,033</w:t>
            </w:r>
          </w:p>
        </w:tc>
        <w:tc>
          <w:tcPr>
            <w:tcW w:w="50" w:type="pct"/>
            <w:shd w:val="clear" w:color="auto" w:fill="CCEEFF"/>
            <w:noWrap/>
            <w:tcMar>
              <w:top w:w="0" w:type="dxa"/>
              <w:left w:w="0" w:type="dxa"/>
              <w:bottom w:w="45" w:type="dxa"/>
              <w:right w:w="0" w:type="dxa"/>
            </w:tcMar>
            <w:vAlign w:val="center"/>
            <w:hideMark/>
          </w:tcPr>
          <w:p w14:paraId="0E69610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BBEB6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342F8E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6B52B291"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45" w:type="dxa"/>
              <w:right w:w="0" w:type="dxa"/>
            </w:tcMar>
            <w:vAlign w:val="center"/>
            <w:hideMark/>
          </w:tcPr>
          <w:p w14:paraId="5E9954FE" w14:textId="77777777" w:rsidR="00000000" w:rsidRDefault="00EB4933">
            <w:pPr>
              <w:pStyle w:val="NormalWeb"/>
              <w:spacing w:before="0" w:beforeAutospacing="0" w:after="0" w:afterAutospacing="0"/>
              <w:rPr>
                <w:sz w:val="20"/>
                <w:szCs w:val="20"/>
              </w:rPr>
            </w:pPr>
            <w:r>
              <w:rPr>
                <w:sz w:val="20"/>
                <w:szCs w:val="20"/>
              </w:rPr>
              <w:t> </w:t>
            </w:r>
          </w:p>
        </w:tc>
      </w:tr>
    </w:tbl>
    <w:p w14:paraId="32510D96"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DE0275E" w14:textId="77777777">
        <w:trPr>
          <w:divId w:val="98525094"/>
          <w:trHeight w:val="225"/>
          <w:tblCellSpacing w:w="15" w:type="dxa"/>
        </w:trPr>
        <w:tc>
          <w:tcPr>
            <w:tcW w:w="0" w:type="auto"/>
            <w:vAlign w:val="center"/>
            <w:hideMark/>
          </w:tcPr>
          <w:p w14:paraId="6A82FAE6" w14:textId="77777777" w:rsidR="00000000" w:rsidRDefault="00EB4933">
            <w:pPr>
              <w:rPr>
                <w:rFonts w:eastAsia="Times New Roman"/>
                <w:sz w:val="20"/>
                <w:szCs w:val="20"/>
              </w:rPr>
            </w:pPr>
            <w:r>
              <w:rPr>
                <w:rFonts w:eastAsia="Times New Roman"/>
                <w:sz w:val="20"/>
                <w:szCs w:val="20"/>
              </w:rPr>
              <w:t> </w:t>
            </w:r>
          </w:p>
        </w:tc>
      </w:tr>
      <w:tr w:rsidR="00000000" w14:paraId="1AE0D462" w14:textId="77777777">
        <w:trPr>
          <w:divId w:val="98525094"/>
          <w:trHeight w:val="225"/>
          <w:tblCellSpacing w:w="15" w:type="dxa"/>
        </w:trPr>
        <w:tc>
          <w:tcPr>
            <w:tcW w:w="0" w:type="auto"/>
            <w:tcBorders>
              <w:bottom w:val="single" w:sz="6" w:space="0" w:color="000000"/>
            </w:tcBorders>
            <w:vAlign w:val="center"/>
            <w:hideMark/>
          </w:tcPr>
          <w:p w14:paraId="5B530482" w14:textId="77777777" w:rsidR="00000000" w:rsidRDefault="00EB4933">
            <w:pPr>
              <w:jc w:val="center"/>
              <w:rPr>
                <w:rFonts w:eastAsia="Times New Roman"/>
                <w:sz w:val="20"/>
                <w:szCs w:val="20"/>
              </w:rPr>
            </w:pPr>
            <w:r>
              <w:rPr>
                <w:rFonts w:eastAsia="Times New Roman"/>
                <w:sz w:val="20"/>
                <w:szCs w:val="20"/>
              </w:rPr>
              <w:t>F-50</w:t>
            </w:r>
          </w:p>
        </w:tc>
      </w:tr>
      <w:tr w:rsidR="00000000" w14:paraId="48FB6DB6" w14:textId="77777777">
        <w:trPr>
          <w:divId w:val="98525094"/>
          <w:trHeight w:val="225"/>
          <w:tblCellSpacing w:w="15" w:type="dxa"/>
        </w:trPr>
        <w:tc>
          <w:tcPr>
            <w:tcW w:w="0" w:type="auto"/>
            <w:vAlign w:val="center"/>
            <w:hideMark/>
          </w:tcPr>
          <w:p w14:paraId="3E406F52" w14:textId="77777777" w:rsidR="00000000" w:rsidRDefault="00EB4933">
            <w:pPr>
              <w:rPr>
                <w:rFonts w:eastAsia="Times New Roman"/>
                <w:sz w:val="20"/>
                <w:szCs w:val="20"/>
              </w:rPr>
            </w:pPr>
          </w:p>
        </w:tc>
      </w:tr>
      <w:tr w:rsidR="00000000" w14:paraId="2E3D554C" w14:textId="77777777">
        <w:trPr>
          <w:divId w:val="98525094"/>
          <w:trHeight w:val="225"/>
          <w:tblCellSpacing w:w="15" w:type="dxa"/>
        </w:trPr>
        <w:tc>
          <w:tcPr>
            <w:tcW w:w="0" w:type="auto"/>
            <w:vAlign w:val="center"/>
            <w:hideMark/>
          </w:tcPr>
          <w:p w14:paraId="70ACBF8C" w14:textId="77777777" w:rsidR="00000000" w:rsidRDefault="00EB4933">
            <w:pPr>
              <w:rPr>
                <w:rFonts w:eastAsia="Times New Roman"/>
                <w:sz w:val="20"/>
                <w:szCs w:val="20"/>
              </w:rPr>
            </w:pPr>
            <w:hyperlink r:id="rId267" w:anchor="finindex" w:history="1">
              <w:r>
                <w:rPr>
                  <w:rStyle w:val="Hyperlink"/>
                  <w:rFonts w:eastAsia="Times New Roman"/>
                  <w:i/>
                  <w:iCs/>
                  <w:sz w:val="20"/>
                  <w:szCs w:val="20"/>
                </w:rPr>
                <w:t>Table of Contents</w:t>
              </w:r>
            </w:hyperlink>
          </w:p>
        </w:tc>
      </w:tr>
    </w:tbl>
    <w:p w14:paraId="01FE0CC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A3C91F9"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50B8BDF9"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5A5CD2FC"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361700C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B8606CC" w14:textId="77777777" w:rsidR="00000000" w:rsidRDefault="00EB4933">
      <w:pPr>
        <w:pStyle w:val="NormalWeb"/>
        <w:spacing w:before="0" w:beforeAutospacing="0" w:after="0" w:afterAutospacing="0"/>
        <w:jc w:val="both"/>
        <w:divId w:val="98525094"/>
        <w:rPr>
          <w:sz w:val="20"/>
          <w:szCs w:val="20"/>
        </w:rPr>
      </w:pPr>
      <w:r>
        <w:rPr>
          <w:rStyle w:val="Strong"/>
          <w:sz w:val="20"/>
          <w:szCs w:val="20"/>
        </w:rPr>
        <w:t>12. Earnings per share</w:t>
      </w:r>
    </w:p>
    <w:p w14:paraId="4FBF898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20C4D47" w14:textId="77777777" w:rsidR="00000000" w:rsidRDefault="00EB4933">
      <w:pPr>
        <w:pStyle w:val="NormalWeb"/>
        <w:spacing w:before="0" w:beforeAutospacing="0" w:after="0" w:afterAutospacing="0"/>
        <w:ind w:left="675"/>
        <w:jc w:val="both"/>
        <w:divId w:val="98525094"/>
        <w:rPr>
          <w:sz w:val="20"/>
          <w:szCs w:val="20"/>
        </w:rPr>
      </w:pPr>
      <w:r>
        <w:rPr>
          <w:sz w:val="20"/>
          <w:szCs w:val="20"/>
        </w:rPr>
        <w:t>Basic and diluted earnings per share</w:t>
      </w:r>
      <w:r>
        <w:rPr>
          <w:sz w:val="20"/>
          <w:szCs w:val="20"/>
        </w:rPr>
        <w:t xml:space="preserve"> are calculated by dividing the profit attributable to equity holders of the Company by the weighted average number of ordinary shares outstanding during the year.</w:t>
      </w:r>
    </w:p>
    <w:p w14:paraId="2CFD3D9D"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0A3178F2" w14:textId="77777777" w:rsidR="00000000" w:rsidRDefault="00EB4933">
      <w:pPr>
        <w:pStyle w:val="NormalWeb"/>
        <w:spacing w:before="0" w:beforeAutospacing="0" w:after="0" w:afterAutospacing="0"/>
        <w:ind w:left="675"/>
        <w:jc w:val="both"/>
        <w:divId w:val="98525094"/>
        <w:rPr>
          <w:sz w:val="20"/>
          <w:szCs w:val="20"/>
        </w:rPr>
      </w:pPr>
      <w:r>
        <w:rPr>
          <w:sz w:val="20"/>
          <w:szCs w:val="20"/>
        </w:rPr>
        <w:t>The weighted average ordinary shares outstanding were 236,180,071, 1,000,171,839 and 1,001,046,568 for 2017, 2018 and 2019, respectively.</w:t>
      </w:r>
    </w:p>
    <w:p w14:paraId="26F99C48"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50ED2AC1" w14:textId="77777777" w:rsidR="00000000" w:rsidRDefault="00EB4933">
      <w:pPr>
        <w:pStyle w:val="NormalWeb"/>
        <w:spacing w:before="0" w:beforeAutospacing="0" w:after="0" w:afterAutospacing="0"/>
        <w:ind w:left="675"/>
        <w:jc w:val="both"/>
        <w:divId w:val="98525094"/>
        <w:rPr>
          <w:sz w:val="20"/>
          <w:szCs w:val="20"/>
        </w:rPr>
      </w:pPr>
      <w:r>
        <w:rPr>
          <w:sz w:val="20"/>
          <w:szCs w:val="20"/>
        </w:rPr>
        <w:t>Prior to December 17, 2014, each American Depository Share (“ADS”) represented the right to receive four (4) ordinar</w:t>
      </w:r>
      <w:r>
        <w:rPr>
          <w:sz w:val="20"/>
          <w:szCs w:val="20"/>
        </w:rPr>
        <w:t>y shares, par value $0.00005 per share (the “Shares”), from December 18, 2014, the right to receive sixteen (16) Shares and from December 28, 2017, the right to receive forty-eight (48) Shares.</w:t>
      </w:r>
    </w:p>
    <w:p w14:paraId="358E1B96"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27C50B6E" w14:textId="77777777" w:rsidR="00000000" w:rsidRDefault="00EB4933">
      <w:pPr>
        <w:pStyle w:val="NormalWeb"/>
        <w:spacing w:before="0" w:beforeAutospacing="0" w:after="0" w:afterAutospacing="0"/>
        <w:ind w:left="675"/>
        <w:jc w:val="both"/>
        <w:divId w:val="98525094"/>
        <w:rPr>
          <w:sz w:val="20"/>
          <w:szCs w:val="20"/>
        </w:rPr>
      </w:pPr>
      <w:r>
        <w:rPr>
          <w:sz w:val="20"/>
          <w:szCs w:val="20"/>
        </w:rPr>
        <w:t>Computation of basic and diluted earnings per share:</w:t>
      </w:r>
    </w:p>
    <w:p w14:paraId="4D544ECE"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5275"/>
        <w:gridCol w:w="100"/>
        <w:gridCol w:w="111"/>
        <w:gridCol w:w="753"/>
        <w:gridCol w:w="91"/>
        <w:gridCol w:w="101"/>
        <w:gridCol w:w="101"/>
        <w:gridCol w:w="830"/>
        <w:gridCol w:w="101"/>
        <w:gridCol w:w="101"/>
        <w:gridCol w:w="101"/>
        <w:gridCol w:w="830"/>
        <w:gridCol w:w="116"/>
      </w:tblGrid>
      <w:tr w:rsidR="00000000" w14:paraId="6B9A98D2" w14:textId="77777777">
        <w:trPr>
          <w:divId w:val="98525094"/>
          <w:trHeight w:val="225"/>
          <w:tblCellSpacing w:w="15" w:type="dxa"/>
        </w:trPr>
        <w:tc>
          <w:tcPr>
            <w:tcW w:w="0" w:type="auto"/>
            <w:vAlign w:val="center"/>
            <w:hideMark/>
          </w:tcPr>
          <w:p w14:paraId="3660187E"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F986395"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3430FB62" w14:textId="77777777" w:rsidR="00000000" w:rsidRDefault="00EB4933">
            <w:pPr>
              <w:pStyle w:val="NormalWeb"/>
              <w:spacing w:before="0" w:beforeAutospacing="0" w:after="0" w:afterAutospacing="0"/>
              <w:jc w:val="center"/>
              <w:rPr>
                <w:sz w:val="20"/>
                <w:szCs w:val="20"/>
              </w:rPr>
            </w:pPr>
            <w:r>
              <w:rPr>
                <w:rStyle w:val="Strong"/>
                <w:sz w:val="20"/>
                <w:szCs w:val="20"/>
              </w:rPr>
              <w:t>2</w:t>
            </w:r>
            <w:r>
              <w:rPr>
                <w:rStyle w:val="Strong"/>
                <w:sz w:val="20"/>
                <w:szCs w:val="20"/>
              </w:rPr>
              <w:t>017</w:t>
            </w:r>
          </w:p>
          <w:p w14:paraId="5628B78A" w14:textId="77777777" w:rsidR="00000000" w:rsidRDefault="00EB4933">
            <w:pPr>
              <w:pStyle w:val="NormalWeb"/>
              <w:spacing w:before="0" w:beforeAutospacing="0" w:after="0" w:afterAutospacing="0"/>
              <w:jc w:val="center"/>
              <w:rPr>
                <w:sz w:val="20"/>
                <w:szCs w:val="20"/>
              </w:rPr>
            </w:pPr>
            <w:r>
              <w:rPr>
                <w:rStyle w:val="Strong"/>
                <w:sz w:val="20"/>
                <w:szCs w:val="20"/>
              </w:rPr>
              <w:t>Restated</w:t>
            </w:r>
          </w:p>
        </w:tc>
        <w:tc>
          <w:tcPr>
            <w:tcW w:w="0" w:type="auto"/>
            <w:noWrap/>
            <w:vAlign w:val="center"/>
            <w:hideMark/>
          </w:tcPr>
          <w:p w14:paraId="73161A4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1FAD3E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7EA05B72"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vAlign w:val="center"/>
            <w:hideMark/>
          </w:tcPr>
          <w:p w14:paraId="68E12164"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FCAF8A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48B129A1"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4F96E9F7" w14:textId="77777777" w:rsidR="00000000" w:rsidRDefault="00EB4933">
            <w:pPr>
              <w:pStyle w:val="NormalWeb"/>
              <w:spacing w:before="0" w:beforeAutospacing="0" w:after="0" w:afterAutospacing="0"/>
              <w:rPr>
                <w:sz w:val="20"/>
                <w:szCs w:val="20"/>
              </w:rPr>
            </w:pPr>
            <w:r>
              <w:rPr>
                <w:sz w:val="20"/>
                <w:szCs w:val="20"/>
              </w:rPr>
              <w:t> </w:t>
            </w:r>
          </w:p>
        </w:tc>
      </w:tr>
      <w:tr w:rsidR="00000000" w14:paraId="2DD98C50" w14:textId="77777777">
        <w:trPr>
          <w:divId w:val="98525094"/>
          <w:trHeight w:val="225"/>
          <w:tblCellSpacing w:w="15" w:type="dxa"/>
        </w:trPr>
        <w:tc>
          <w:tcPr>
            <w:tcW w:w="0" w:type="auto"/>
            <w:vAlign w:val="center"/>
            <w:hideMark/>
          </w:tcPr>
          <w:p w14:paraId="24E5A64E"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1929B51C" w14:textId="77777777" w:rsidR="00000000" w:rsidRDefault="00EB4933">
            <w:pPr>
              <w:pStyle w:val="NormalWeb"/>
              <w:spacing w:before="0" w:beforeAutospacing="0" w:after="0" w:afterAutospacing="0"/>
              <w:rPr>
                <w:sz w:val="20"/>
                <w:szCs w:val="20"/>
              </w:rPr>
            </w:pPr>
            <w:r>
              <w:rPr>
                <w:sz w:val="20"/>
                <w:szCs w:val="20"/>
              </w:rPr>
              <w:t> </w:t>
            </w:r>
          </w:p>
        </w:tc>
        <w:tc>
          <w:tcPr>
            <w:tcW w:w="0" w:type="auto"/>
            <w:gridSpan w:val="2"/>
            <w:vAlign w:val="center"/>
            <w:hideMark/>
          </w:tcPr>
          <w:p w14:paraId="7015C48B"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vAlign w:val="center"/>
            <w:hideMark/>
          </w:tcPr>
          <w:p w14:paraId="0E21EC61" w14:textId="77777777" w:rsidR="00000000" w:rsidRDefault="00EB4933">
            <w:pPr>
              <w:rPr>
                <w:sz w:val="20"/>
                <w:szCs w:val="20"/>
              </w:rPr>
            </w:pPr>
          </w:p>
        </w:tc>
        <w:tc>
          <w:tcPr>
            <w:tcW w:w="0" w:type="auto"/>
            <w:vAlign w:val="center"/>
            <w:hideMark/>
          </w:tcPr>
          <w:p w14:paraId="4675FDA9" w14:textId="77777777" w:rsidR="00000000" w:rsidRDefault="00EB4933">
            <w:pPr>
              <w:rPr>
                <w:rFonts w:eastAsia="Times New Roman"/>
                <w:sz w:val="20"/>
                <w:szCs w:val="20"/>
              </w:rPr>
            </w:pPr>
          </w:p>
        </w:tc>
        <w:tc>
          <w:tcPr>
            <w:tcW w:w="0" w:type="auto"/>
            <w:gridSpan w:val="2"/>
            <w:vAlign w:val="center"/>
            <w:hideMark/>
          </w:tcPr>
          <w:p w14:paraId="37910D9E"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vAlign w:val="center"/>
            <w:hideMark/>
          </w:tcPr>
          <w:p w14:paraId="52C43C57" w14:textId="77777777" w:rsidR="00000000" w:rsidRDefault="00EB4933">
            <w:pPr>
              <w:rPr>
                <w:sz w:val="20"/>
                <w:szCs w:val="20"/>
              </w:rPr>
            </w:pPr>
          </w:p>
        </w:tc>
        <w:tc>
          <w:tcPr>
            <w:tcW w:w="0" w:type="auto"/>
            <w:vAlign w:val="center"/>
            <w:hideMark/>
          </w:tcPr>
          <w:p w14:paraId="4D4BBC8E" w14:textId="77777777" w:rsidR="00000000" w:rsidRDefault="00EB4933">
            <w:pPr>
              <w:rPr>
                <w:rFonts w:eastAsia="Times New Roman"/>
                <w:sz w:val="20"/>
                <w:szCs w:val="20"/>
              </w:rPr>
            </w:pPr>
          </w:p>
        </w:tc>
        <w:tc>
          <w:tcPr>
            <w:tcW w:w="0" w:type="auto"/>
            <w:gridSpan w:val="2"/>
            <w:vAlign w:val="center"/>
            <w:hideMark/>
          </w:tcPr>
          <w:p w14:paraId="6D8D8374"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vAlign w:val="center"/>
            <w:hideMark/>
          </w:tcPr>
          <w:p w14:paraId="68F8DA3F" w14:textId="77777777" w:rsidR="00000000" w:rsidRDefault="00EB4933">
            <w:pPr>
              <w:rPr>
                <w:sz w:val="20"/>
                <w:szCs w:val="20"/>
              </w:rPr>
            </w:pPr>
          </w:p>
        </w:tc>
      </w:tr>
      <w:tr w:rsidR="00000000" w14:paraId="15CBB124" w14:textId="77777777">
        <w:trPr>
          <w:divId w:val="98525094"/>
          <w:trHeight w:val="225"/>
          <w:tblCellSpacing w:w="15" w:type="dxa"/>
        </w:trPr>
        <w:tc>
          <w:tcPr>
            <w:tcW w:w="0" w:type="auto"/>
            <w:shd w:val="clear" w:color="auto" w:fill="CCEEFF"/>
            <w:hideMark/>
          </w:tcPr>
          <w:p w14:paraId="0DE8A259" w14:textId="77777777" w:rsidR="00000000" w:rsidRDefault="00EB4933">
            <w:pPr>
              <w:pStyle w:val="NormalWeb"/>
              <w:spacing w:before="0" w:beforeAutospacing="0" w:after="0" w:afterAutospacing="0"/>
              <w:jc w:val="both"/>
              <w:rPr>
                <w:sz w:val="20"/>
                <w:szCs w:val="20"/>
              </w:rPr>
            </w:pPr>
            <w:r>
              <w:rPr>
                <w:sz w:val="20"/>
                <w:szCs w:val="20"/>
              </w:rPr>
              <w:t>Net profit attributable to the equity holders of the Company – numerator for basic and diluted earnings per share</w:t>
            </w:r>
          </w:p>
        </w:tc>
        <w:tc>
          <w:tcPr>
            <w:tcW w:w="50" w:type="pct"/>
            <w:shd w:val="clear" w:color="auto" w:fill="CCEEFF"/>
            <w:noWrap/>
            <w:vAlign w:val="center"/>
            <w:hideMark/>
          </w:tcPr>
          <w:p w14:paraId="30A8D62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2D256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700F54D" w14:textId="77777777" w:rsidR="00000000" w:rsidRDefault="00EB4933">
            <w:pPr>
              <w:jc w:val="right"/>
              <w:rPr>
                <w:rFonts w:eastAsia="Times New Roman"/>
                <w:sz w:val="20"/>
                <w:szCs w:val="20"/>
              </w:rPr>
            </w:pPr>
            <w:r>
              <w:rPr>
                <w:rFonts w:eastAsia="Times New Roman"/>
                <w:sz w:val="20"/>
                <w:szCs w:val="20"/>
              </w:rPr>
              <w:t>23,061</w:t>
            </w:r>
          </w:p>
        </w:tc>
        <w:tc>
          <w:tcPr>
            <w:tcW w:w="50" w:type="pct"/>
            <w:shd w:val="clear" w:color="auto" w:fill="CCEEFF"/>
            <w:noWrap/>
            <w:vAlign w:val="center"/>
            <w:hideMark/>
          </w:tcPr>
          <w:p w14:paraId="5ACF61B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E5768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014EA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333DB59" w14:textId="77777777" w:rsidR="00000000" w:rsidRDefault="00EB4933">
            <w:pPr>
              <w:jc w:val="right"/>
              <w:rPr>
                <w:rFonts w:eastAsia="Times New Roman"/>
                <w:sz w:val="20"/>
                <w:szCs w:val="20"/>
              </w:rPr>
            </w:pPr>
            <w:r>
              <w:rPr>
                <w:rFonts w:eastAsia="Times New Roman"/>
                <w:sz w:val="20"/>
                <w:szCs w:val="20"/>
              </w:rPr>
              <w:t>6,524</w:t>
            </w:r>
          </w:p>
        </w:tc>
        <w:tc>
          <w:tcPr>
            <w:tcW w:w="50" w:type="pct"/>
            <w:shd w:val="clear" w:color="auto" w:fill="CCEEFF"/>
            <w:noWrap/>
            <w:vAlign w:val="center"/>
            <w:hideMark/>
          </w:tcPr>
          <w:p w14:paraId="2772CE6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64528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BFD9F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C19C48D" w14:textId="77777777" w:rsidR="00000000" w:rsidRDefault="00EB4933">
            <w:pPr>
              <w:jc w:val="right"/>
              <w:rPr>
                <w:rFonts w:eastAsia="Times New Roman"/>
                <w:sz w:val="20"/>
                <w:szCs w:val="20"/>
              </w:rPr>
            </w:pPr>
            <w:r>
              <w:rPr>
                <w:rFonts w:eastAsia="Times New Roman"/>
                <w:sz w:val="20"/>
                <w:szCs w:val="20"/>
              </w:rPr>
              <w:t>46,893</w:t>
            </w:r>
          </w:p>
        </w:tc>
        <w:tc>
          <w:tcPr>
            <w:tcW w:w="50" w:type="pct"/>
            <w:shd w:val="clear" w:color="auto" w:fill="CCEEFF"/>
            <w:noWrap/>
            <w:vAlign w:val="center"/>
            <w:hideMark/>
          </w:tcPr>
          <w:p w14:paraId="63963DBF" w14:textId="77777777" w:rsidR="00000000" w:rsidRDefault="00EB4933">
            <w:pPr>
              <w:pStyle w:val="NormalWeb"/>
              <w:spacing w:before="0" w:beforeAutospacing="0" w:after="0" w:afterAutospacing="0"/>
              <w:rPr>
                <w:sz w:val="20"/>
                <w:szCs w:val="20"/>
              </w:rPr>
            </w:pPr>
            <w:r>
              <w:rPr>
                <w:sz w:val="20"/>
                <w:szCs w:val="20"/>
              </w:rPr>
              <w:t> </w:t>
            </w:r>
          </w:p>
        </w:tc>
      </w:tr>
      <w:tr w:rsidR="00000000" w14:paraId="7070EA81" w14:textId="77777777">
        <w:trPr>
          <w:divId w:val="98525094"/>
          <w:trHeight w:val="225"/>
          <w:tblCellSpacing w:w="15" w:type="dxa"/>
        </w:trPr>
        <w:tc>
          <w:tcPr>
            <w:tcW w:w="0" w:type="auto"/>
            <w:shd w:val="clear" w:color="auto" w:fill="FFFFFF"/>
            <w:vAlign w:val="center"/>
            <w:hideMark/>
          </w:tcPr>
          <w:p w14:paraId="4257630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7E0EA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050F1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520807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EDBF1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C85EA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E3CDD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05D5CB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BBCD7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C67CB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AC3A1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E3CB57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0A1913" w14:textId="77777777" w:rsidR="00000000" w:rsidRDefault="00EB4933">
            <w:pPr>
              <w:pStyle w:val="NormalWeb"/>
              <w:spacing w:before="0" w:beforeAutospacing="0" w:after="0" w:afterAutospacing="0"/>
              <w:rPr>
                <w:sz w:val="20"/>
                <w:szCs w:val="20"/>
              </w:rPr>
            </w:pPr>
            <w:r>
              <w:rPr>
                <w:sz w:val="20"/>
                <w:szCs w:val="20"/>
              </w:rPr>
              <w:t> </w:t>
            </w:r>
          </w:p>
        </w:tc>
      </w:tr>
      <w:tr w:rsidR="00000000" w14:paraId="72AADCA0" w14:textId="77777777">
        <w:trPr>
          <w:divId w:val="98525094"/>
          <w:trHeight w:val="225"/>
          <w:tblCellSpacing w:w="15" w:type="dxa"/>
        </w:trPr>
        <w:tc>
          <w:tcPr>
            <w:tcW w:w="0" w:type="auto"/>
            <w:shd w:val="clear" w:color="auto" w:fill="FFFFFF"/>
            <w:hideMark/>
          </w:tcPr>
          <w:p w14:paraId="36E159C4" w14:textId="77777777" w:rsidR="00000000" w:rsidRDefault="00EB4933">
            <w:pPr>
              <w:pStyle w:val="NormalWeb"/>
              <w:spacing w:before="0" w:beforeAutospacing="0" w:after="0" w:afterAutospacing="0"/>
              <w:jc w:val="both"/>
              <w:rPr>
                <w:sz w:val="20"/>
                <w:szCs w:val="20"/>
              </w:rPr>
            </w:pPr>
            <w:r>
              <w:rPr>
                <w:sz w:val="20"/>
                <w:szCs w:val="20"/>
                <w:u w:val="single"/>
              </w:rPr>
              <w:t>Number of shares in thousands</w:t>
            </w:r>
          </w:p>
        </w:tc>
        <w:tc>
          <w:tcPr>
            <w:tcW w:w="50" w:type="pct"/>
            <w:shd w:val="clear" w:color="auto" w:fill="FFFFFF"/>
            <w:noWrap/>
            <w:vAlign w:val="center"/>
            <w:hideMark/>
          </w:tcPr>
          <w:p w14:paraId="7E3D744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A23A2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89DE84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E493C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071F8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5141C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C5550E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0E619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C2173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00CE5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8F92FD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ACCFC1" w14:textId="77777777" w:rsidR="00000000" w:rsidRDefault="00EB4933">
            <w:pPr>
              <w:pStyle w:val="NormalWeb"/>
              <w:spacing w:before="0" w:beforeAutospacing="0" w:after="0" w:afterAutospacing="0"/>
              <w:rPr>
                <w:sz w:val="20"/>
                <w:szCs w:val="20"/>
              </w:rPr>
            </w:pPr>
            <w:r>
              <w:rPr>
                <w:sz w:val="20"/>
                <w:szCs w:val="20"/>
              </w:rPr>
              <w:t> </w:t>
            </w:r>
          </w:p>
        </w:tc>
      </w:tr>
      <w:tr w:rsidR="00000000" w14:paraId="1ACB3DDD" w14:textId="77777777">
        <w:trPr>
          <w:divId w:val="98525094"/>
          <w:trHeight w:val="225"/>
          <w:tblCellSpacing w:w="15" w:type="dxa"/>
        </w:trPr>
        <w:tc>
          <w:tcPr>
            <w:tcW w:w="0" w:type="auto"/>
            <w:shd w:val="clear" w:color="auto" w:fill="CCEEFF"/>
            <w:hideMark/>
          </w:tcPr>
          <w:p w14:paraId="1FDEEB33" w14:textId="77777777" w:rsidR="00000000" w:rsidRDefault="00EB4933">
            <w:pPr>
              <w:pStyle w:val="NormalWeb"/>
              <w:spacing w:before="0" w:beforeAutospacing="0" w:after="0" w:afterAutospacing="0"/>
              <w:jc w:val="both"/>
              <w:rPr>
                <w:sz w:val="20"/>
                <w:szCs w:val="20"/>
              </w:rPr>
            </w:pPr>
            <w:r>
              <w:rPr>
                <w:sz w:val="20"/>
                <w:szCs w:val="20"/>
              </w:rPr>
              <w:t xml:space="preserve">Weighted average share outstanding – denominator for basic and diluted earnings per share </w:t>
            </w:r>
          </w:p>
        </w:tc>
        <w:tc>
          <w:tcPr>
            <w:tcW w:w="50" w:type="pct"/>
            <w:shd w:val="clear" w:color="auto" w:fill="CCEEFF"/>
            <w:noWrap/>
            <w:vAlign w:val="center"/>
            <w:hideMark/>
          </w:tcPr>
          <w:p w14:paraId="45F1CDC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704BB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715B86C" w14:textId="77777777" w:rsidR="00000000" w:rsidRDefault="00EB4933">
            <w:pPr>
              <w:jc w:val="right"/>
              <w:rPr>
                <w:rFonts w:eastAsia="Times New Roman"/>
                <w:sz w:val="20"/>
                <w:szCs w:val="20"/>
              </w:rPr>
            </w:pPr>
            <w:r>
              <w:rPr>
                <w:rFonts w:eastAsia="Times New Roman"/>
                <w:sz w:val="20"/>
                <w:szCs w:val="20"/>
              </w:rPr>
              <w:t>236,180</w:t>
            </w:r>
          </w:p>
        </w:tc>
        <w:tc>
          <w:tcPr>
            <w:tcW w:w="50" w:type="pct"/>
            <w:shd w:val="clear" w:color="auto" w:fill="CCEEFF"/>
            <w:noWrap/>
            <w:vAlign w:val="center"/>
            <w:hideMark/>
          </w:tcPr>
          <w:p w14:paraId="5750D44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EBDDB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A4907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D47E64C" w14:textId="77777777" w:rsidR="00000000" w:rsidRDefault="00EB4933">
            <w:pPr>
              <w:jc w:val="right"/>
              <w:rPr>
                <w:rFonts w:eastAsia="Times New Roman"/>
                <w:sz w:val="20"/>
                <w:szCs w:val="20"/>
              </w:rPr>
            </w:pPr>
            <w:r>
              <w:rPr>
                <w:rFonts w:eastAsia="Times New Roman"/>
                <w:sz w:val="20"/>
                <w:szCs w:val="20"/>
              </w:rPr>
              <w:t>1,000,172</w:t>
            </w:r>
          </w:p>
        </w:tc>
        <w:tc>
          <w:tcPr>
            <w:tcW w:w="50" w:type="pct"/>
            <w:shd w:val="clear" w:color="auto" w:fill="CCEEFF"/>
            <w:noWrap/>
            <w:vAlign w:val="center"/>
            <w:hideMark/>
          </w:tcPr>
          <w:p w14:paraId="7A5AD81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21969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9B18C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A11DEFB" w14:textId="77777777" w:rsidR="00000000" w:rsidRDefault="00EB4933">
            <w:pPr>
              <w:jc w:val="right"/>
              <w:rPr>
                <w:rFonts w:eastAsia="Times New Roman"/>
                <w:sz w:val="20"/>
                <w:szCs w:val="20"/>
              </w:rPr>
            </w:pPr>
            <w:r>
              <w:rPr>
                <w:rFonts w:eastAsia="Times New Roman"/>
                <w:sz w:val="20"/>
                <w:szCs w:val="20"/>
              </w:rPr>
              <w:t>1,001,047</w:t>
            </w:r>
          </w:p>
        </w:tc>
        <w:tc>
          <w:tcPr>
            <w:tcW w:w="50" w:type="pct"/>
            <w:shd w:val="clear" w:color="auto" w:fill="CCEEFF"/>
            <w:noWrap/>
            <w:vAlign w:val="center"/>
            <w:hideMark/>
          </w:tcPr>
          <w:p w14:paraId="4AA443D6" w14:textId="77777777" w:rsidR="00000000" w:rsidRDefault="00EB4933">
            <w:pPr>
              <w:pStyle w:val="NormalWeb"/>
              <w:spacing w:before="0" w:beforeAutospacing="0" w:after="0" w:afterAutospacing="0"/>
              <w:rPr>
                <w:sz w:val="20"/>
                <w:szCs w:val="20"/>
              </w:rPr>
            </w:pPr>
            <w:r>
              <w:rPr>
                <w:sz w:val="20"/>
                <w:szCs w:val="20"/>
              </w:rPr>
              <w:t> </w:t>
            </w:r>
          </w:p>
        </w:tc>
      </w:tr>
      <w:tr w:rsidR="00000000" w14:paraId="05A23168" w14:textId="77777777">
        <w:trPr>
          <w:divId w:val="98525094"/>
          <w:trHeight w:val="225"/>
          <w:tblCellSpacing w:w="15" w:type="dxa"/>
        </w:trPr>
        <w:tc>
          <w:tcPr>
            <w:tcW w:w="0" w:type="auto"/>
            <w:shd w:val="clear" w:color="auto" w:fill="FFFFFF"/>
            <w:vAlign w:val="center"/>
            <w:hideMark/>
          </w:tcPr>
          <w:p w14:paraId="021107F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6AC5C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3133B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B9AB41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FC062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844B8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513EB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CE0152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9839C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EC912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888E1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8C089F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796847" w14:textId="77777777" w:rsidR="00000000" w:rsidRDefault="00EB4933">
            <w:pPr>
              <w:pStyle w:val="NormalWeb"/>
              <w:spacing w:before="0" w:beforeAutospacing="0" w:after="0" w:afterAutospacing="0"/>
              <w:rPr>
                <w:sz w:val="20"/>
                <w:szCs w:val="20"/>
              </w:rPr>
            </w:pPr>
            <w:r>
              <w:rPr>
                <w:sz w:val="20"/>
                <w:szCs w:val="20"/>
              </w:rPr>
              <w:t> </w:t>
            </w:r>
          </w:p>
        </w:tc>
      </w:tr>
      <w:tr w:rsidR="00000000" w14:paraId="0694DD1F" w14:textId="77777777">
        <w:trPr>
          <w:divId w:val="98525094"/>
          <w:trHeight w:val="225"/>
          <w:tblCellSpacing w:w="15" w:type="dxa"/>
        </w:trPr>
        <w:tc>
          <w:tcPr>
            <w:tcW w:w="0" w:type="auto"/>
            <w:shd w:val="clear" w:color="auto" w:fill="CCEEFF"/>
            <w:hideMark/>
          </w:tcPr>
          <w:p w14:paraId="3A4E0C71" w14:textId="77777777" w:rsidR="00000000" w:rsidRDefault="00EB4933">
            <w:pPr>
              <w:pStyle w:val="NormalWeb"/>
              <w:spacing w:before="0" w:beforeAutospacing="0" w:after="0" w:afterAutospacing="0"/>
              <w:jc w:val="both"/>
              <w:rPr>
                <w:sz w:val="20"/>
                <w:szCs w:val="20"/>
              </w:rPr>
            </w:pPr>
            <w:r>
              <w:rPr>
                <w:sz w:val="20"/>
                <w:szCs w:val="20"/>
              </w:rPr>
              <w:t>Basic and diluted earnings per share</w:t>
            </w:r>
          </w:p>
        </w:tc>
        <w:tc>
          <w:tcPr>
            <w:tcW w:w="50" w:type="pct"/>
            <w:shd w:val="clear" w:color="auto" w:fill="CCEEFF"/>
            <w:noWrap/>
            <w:vAlign w:val="center"/>
            <w:hideMark/>
          </w:tcPr>
          <w:p w14:paraId="5F40249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C8910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B703054" w14:textId="77777777" w:rsidR="00000000" w:rsidRDefault="00EB4933">
            <w:pPr>
              <w:jc w:val="right"/>
              <w:rPr>
                <w:rFonts w:eastAsia="Times New Roman"/>
                <w:sz w:val="20"/>
                <w:szCs w:val="20"/>
              </w:rPr>
            </w:pPr>
            <w:r>
              <w:rPr>
                <w:rFonts w:eastAsia="Times New Roman"/>
                <w:sz w:val="20"/>
                <w:szCs w:val="20"/>
              </w:rPr>
              <w:t>0.10</w:t>
            </w:r>
          </w:p>
        </w:tc>
        <w:tc>
          <w:tcPr>
            <w:tcW w:w="50" w:type="pct"/>
            <w:shd w:val="clear" w:color="auto" w:fill="CCEEFF"/>
            <w:noWrap/>
            <w:vAlign w:val="center"/>
            <w:hideMark/>
          </w:tcPr>
          <w:p w14:paraId="59FAD33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86CB5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34807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530E1E6" w14:textId="77777777" w:rsidR="00000000" w:rsidRDefault="00EB4933">
            <w:pPr>
              <w:jc w:val="right"/>
              <w:rPr>
                <w:rFonts w:eastAsia="Times New Roman"/>
                <w:sz w:val="20"/>
                <w:szCs w:val="20"/>
              </w:rPr>
            </w:pPr>
            <w:r>
              <w:rPr>
                <w:rFonts w:eastAsia="Times New Roman"/>
                <w:sz w:val="20"/>
                <w:szCs w:val="20"/>
              </w:rPr>
              <w:t>0.01</w:t>
            </w:r>
          </w:p>
        </w:tc>
        <w:tc>
          <w:tcPr>
            <w:tcW w:w="50" w:type="pct"/>
            <w:shd w:val="clear" w:color="auto" w:fill="CCEEFF"/>
            <w:noWrap/>
            <w:vAlign w:val="center"/>
            <w:hideMark/>
          </w:tcPr>
          <w:p w14:paraId="3F56DC7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55A08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FAEFF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AD5C489" w14:textId="77777777" w:rsidR="00000000" w:rsidRDefault="00EB4933">
            <w:pPr>
              <w:jc w:val="right"/>
              <w:rPr>
                <w:rFonts w:eastAsia="Times New Roman"/>
                <w:sz w:val="20"/>
                <w:szCs w:val="20"/>
              </w:rPr>
            </w:pPr>
            <w:r>
              <w:rPr>
                <w:rFonts w:eastAsia="Times New Roman"/>
                <w:sz w:val="20"/>
                <w:szCs w:val="20"/>
              </w:rPr>
              <w:t>0.05</w:t>
            </w:r>
          </w:p>
        </w:tc>
        <w:tc>
          <w:tcPr>
            <w:tcW w:w="50" w:type="pct"/>
            <w:shd w:val="clear" w:color="auto" w:fill="CCEEFF"/>
            <w:noWrap/>
            <w:vAlign w:val="center"/>
            <w:hideMark/>
          </w:tcPr>
          <w:p w14:paraId="15E17D69" w14:textId="77777777" w:rsidR="00000000" w:rsidRDefault="00EB4933">
            <w:pPr>
              <w:pStyle w:val="NormalWeb"/>
              <w:spacing w:before="0" w:beforeAutospacing="0" w:after="0" w:afterAutospacing="0"/>
              <w:rPr>
                <w:sz w:val="20"/>
                <w:szCs w:val="20"/>
              </w:rPr>
            </w:pPr>
            <w:r>
              <w:rPr>
                <w:sz w:val="20"/>
                <w:szCs w:val="20"/>
              </w:rPr>
              <w:t> </w:t>
            </w:r>
          </w:p>
        </w:tc>
      </w:tr>
    </w:tbl>
    <w:p w14:paraId="17F395AD"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5417AE0" w14:textId="77777777">
        <w:trPr>
          <w:divId w:val="98525094"/>
          <w:trHeight w:val="225"/>
          <w:tblCellSpacing w:w="15" w:type="dxa"/>
        </w:trPr>
        <w:tc>
          <w:tcPr>
            <w:tcW w:w="0" w:type="auto"/>
            <w:vAlign w:val="center"/>
            <w:hideMark/>
          </w:tcPr>
          <w:p w14:paraId="76C1D627" w14:textId="77777777" w:rsidR="00000000" w:rsidRDefault="00EB4933">
            <w:pPr>
              <w:rPr>
                <w:rFonts w:eastAsia="Times New Roman"/>
                <w:sz w:val="20"/>
                <w:szCs w:val="20"/>
              </w:rPr>
            </w:pPr>
            <w:r>
              <w:rPr>
                <w:rFonts w:eastAsia="Times New Roman"/>
                <w:sz w:val="20"/>
                <w:szCs w:val="20"/>
              </w:rPr>
              <w:t> </w:t>
            </w:r>
          </w:p>
        </w:tc>
      </w:tr>
      <w:tr w:rsidR="00000000" w14:paraId="5746F297" w14:textId="77777777">
        <w:trPr>
          <w:divId w:val="98525094"/>
          <w:trHeight w:val="225"/>
          <w:tblCellSpacing w:w="15" w:type="dxa"/>
        </w:trPr>
        <w:tc>
          <w:tcPr>
            <w:tcW w:w="0" w:type="auto"/>
            <w:tcBorders>
              <w:bottom w:val="single" w:sz="6" w:space="0" w:color="000000"/>
            </w:tcBorders>
            <w:vAlign w:val="center"/>
            <w:hideMark/>
          </w:tcPr>
          <w:p w14:paraId="3C139BA6" w14:textId="77777777" w:rsidR="00000000" w:rsidRDefault="00EB4933">
            <w:pPr>
              <w:jc w:val="center"/>
              <w:rPr>
                <w:rFonts w:eastAsia="Times New Roman"/>
                <w:sz w:val="20"/>
                <w:szCs w:val="20"/>
              </w:rPr>
            </w:pPr>
            <w:r>
              <w:rPr>
                <w:rFonts w:eastAsia="Times New Roman"/>
                <w:sz w:val="20"/>
                <w:szCs w:val="20"/>
              </w:rPr>
              <w:t>F-51</w:t>
            </w:r>
          </w:p>
        </w:tc>
      </w:tr>
      <w:tr w:rsidR="00000000" w14:paraId="312B8AD6" w14:textId="77777777">
        <w:trPr>
          <w:divId w:val="98525094"/>
          <w:trHeight w:val="225"/>
          <w:tblCellSpacing w:w="15" w:type="dxa"/>
        </w:trPr>
        <w:tc>
          <w:tcPr>
            <w:tcW w:w="0" w:type="auto"/>
            <w:vAlign w:val="center"/>
            <w:hideMark/>
          </w:tcPr>
          <w:p w14:paraId="57D5690A" w14:textId="77777777" w:rsidR="00000000" w:rsidRDefault="00EB4933">
            <w:pPr>
              <w:rPr>
                <w:rFonts w:eastAsia="Times New Roman"/>
                <w:sz w:val="20"/>
                <w:szCs w:val="20"/>
              </w:rPr>
            </w:pPr>
          </w:p>
        </w:tc>
      </w:tr>
      <w:tr w:rsidR="00000000" w14:paraId="5A036ED6" w14:textId="77777777">
        <w:trPr>
          <w:divId w:val="98525094"/>
          <w:trHeight w:val="225"/>
          <w:tblCellSpacing w:w="15" w:type="dxa"/>
        </w:trPr>
        <w:tc>
          <w:tcPr>
            <w:tcW w:w="0" w:type="auto"/>
            <w:vAlign w:val="center"/>
            <w:hideMark/>
          </w:tcPr>
          <w:p w14:paraId="6E7A044A" w14:textId="77777777" w:rsidR="00000000" w:rsidRDefault="00EB4933">
            <w:pPr>
              <w:rPr>
                <w:rFonts w:eastAsia="Times New Roman"/>
                <w:sz w:val="20"/>
                <w:szCs w:val="20"/>
              </w:rPr>
            </w:pPr>
            <w:hyperlink r:id="rId268" w:anchor="finindex" w:history="1">
              <w:r>
                <w:rPr>
                  <w:rStyle w:val="Hyperlink"/>
                  <w:rFonts w:eastAsia="Times New Roman"/>
                  <w:i/>
                  <w:iCs/>
                  <w:sz w:val="20"/>
                  <w:szCs w:val="20"/>
                </w:rPr>
                <w:t>Table of Contents</w:t>
              </w:r>
            </w:hyperlink>
          </w:p>
        </w:tc>
      </w:tr>
    </w:tbl>
    <w:p w14:paraId="50BFED9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E09CE1B"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0934DA5F"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4BAA2C07"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FOR THE FINANCIAL YEAR ENDED 2017, 2018 AND 2019 </w:t>
      </w:r>
    </w:p>
    <w:p w14:paraId="5A67E74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F1F72DE" w14:textId="77777777" w:rsidR="00000000" w:rsidRDefault="00EB4933">
      <w:pPr>
        <w:pStyle w:val="NormalWeb"/>
        <w:spacing w:before="0" w:beforeAutospacing="0" w:after="0" w:afterAutospacing="0"/>
        <w:jc w:val="both"/>
        <w:divId w:val="98525094"/>
        <w:rPr>
          <w:sz w:val="20"/>
          <w:szCs w:val="20"/>
        </w:rPr>
      </w:pPr>
      <w:r>
        <w:rPr>
          <w:rStyle w:val="Strong"/>
          <w:sz w:val="20"/>
          <w:szCs w:val="20"/>
        </w:rPr>
        <w:t>13. Cash, cash equivalents and restricted cash</w:t>
      </w:r>
    </w:p>
    <w:p w14:paraId="548688B6"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6362"/>
        <w:gridCol w:w="113"/>
        <w:gridCol w:w="113"/>
        <w:gridCol w:w="778"/>
        <w:gridCol w:w="113"/>
        <w:gridCol w:w="113"/>
        <w:gridCol w:w="113"/>
        <w:gridCol w:w="778"/>
        <w:gridCol w:w="128"/>
      </w:tblGrid>
      <w:tr w:rsidR="00000000" w14:paraId="454CE599" w14:textId="77777777">
        <w:trPr>
          <w:divId w:val="98525094"/>
          <w:trHeight w:val="225"/>
          <w:tblCellSpacing w:w="15" w:type="dxa"/>
        </w:trPr>
        <w:tc>
          <w:tcPr>
            <w:tcW w:w="0" w:type="auto"/>
            <w:vAlign w:val="center"/>
            <w:hideMark/>
          </w:tcPr>
          <w:p w14:paraId="483794B2"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7503DB1"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000000"/>
            </w:tcBorders>
            <w:vAlign w:val="bottom"/>
            <w:hideMark/>
          </w:tcPr>
          <w:p w14:paraId="7C5B7EA6" w14:textId="77777777" w:rsidR="00000000" w:rsidRDefault="00EB4933">
            <w:pPr>
              <w:pStyle w:val="NormalWeb"/>
              <w:spacing w:before="0" w:beforeAutospacing="0" w:after="0" w:afterAutospacing="0"/>
              <w:jc w:val="center"/>
              <w:rPr>
                <w:sz w:val="20"/>
                <w:szCs w:val="20"/>
              </w:rPr>
            </w:pPr>
            <w:r>
              <w:rPr>
                <w:rStyle w:val="Strong"/>
                <w:sz w:val="20"/>
                <w:szCs w:val="20"/>
              </w:rPr>
              <w:t>As at December 31,</w:t>
            </w:r>
          </w:p>
        </w:tc>
        <w:tc>
          <w:tcPr>
            <w:tcW w:w="0" w:type="auto"/>
            <w:noWrap/>
            <w:vAlign w:val="center"/>
            <w:hideMark/>
          </w:tcPr>
          <w:p w14:paraId="5D168DDB" w14:textId="77777777" w:rsidR="00000000" w:rsidRDefault="00EB4933">
            <w:pPr>
              <w:pStyle w:val="NormalWeb"/>
              <w:spacing w:before="0" w:beforeAutospacing="0" w:after="0" w:afterAutospacing="0"/>
              <w:rPr>
                <w:sz w:val="20"/>
                <w:szCs w:val="20"/>
              </w:rPr>
            </w:pPr>
            <w:r>
              <w:rPr>
                <w:sz w:val="20"/>
                <w:szCs w:val="20"/>
              </w:rPr>
              <w:t> </w:t>
            </w:r>
          </w:p>
        </w:tc>
      </w:tr>
      <w:tr w:rsidR="00000000" w14:paraId="2EAD258B" w14:textId="77777777">
        <w:trPr>
          <w:divId w:val="98525094"/>
          <w:trHeight w:val="225"/>
          <w:tblCellSpacing w:w="15" w:type="dxa"/>
        </w:trPr>
        <w:tc>
          <w:tcPr>
            <w:tcW w:w="0" w:type="auto"/>
            <w:vAlign w:val="center"/>
            <w:hideMark/>
          </w:tcPr>
          <w:p w14:paraId="3210ECA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E53CD3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7FF464D5"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vAlign w:val="center"/>
            <w:hideMark/>
          </w:tcPr>
          <w:p w14:paraId="5DCD45E0"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6FE7E04"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0C35188D"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6BFB9C6E" w14:textId="77777777" w:rsidR="00000000" w:rsidRDefault="00EB4933">
            <w:pPr>
              <w:pStyle w:val="NormalWeb"/>
              <w:spacing w:before="0" w:beforeAutospacing="0" w:after="0" w:afterAutospacing="0"/>
              <w:rPr>
                <w:sz w:val="20"/>
                <w:szCs w:val="20"/>
              </w:rPr>
            </w:pPr>
            <w:r>
              <w:rPr>
                <w:sz w:val="20"/>
                <w:szCs w:val="20"/>
              </w:rPr>
              <w:t> </w:t>
            </w:r>
          </w:p>
        </w:tc>
      </w:tr>
      <w:tr w:rsidR="00000000" w14:paraId="1ABB0BFE" w14:textId="77777777">
        <w:trPr>
          <w:divId w:val="98525094"/>
          <w:trHeight w:val="225"/>
          <w:tblCellSpacing w:w="15" w:type="dxa"/>
        </w:trPr>
        <w:tc>
          <w:tcPr>
            <w:tcW w:w="0" w:type="auto"/>
            <w:vAlign w:val="center"/>
            <w:hideMark/>
          </w:tcPr>
          <w:p w14:paraId="43860975"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8259DAE"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261EDD53"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091D8D13"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DB9D62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6D59CEF0"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2964CA8B" w14:textId="77777777" w:rsidR="00000000" w:rsidRDefault="00EB4933">
            <w:pPr>
              <w:pStyle w:val="NormalWeb"/>
              <w:spacing w:before="0" w:beforeAutospacing="0" w:after="0" w:afterAutospacing="0"/>
              <w:rPr>
                <w:sz w:val="20"/>
                <w:szCs w:val="20"/>
              </w:rPr>
            </w:pPr>
            <w:r>
              <w:rPr>
                <w:sz w:val="20"/>
                <w:szCs w:val="20"/>
              </w:rPr>
              <w:t> </w:t>
            </w:r>
          </w:p>
        </w:tc>
      </w:tr>
      <w:tr w:rsidR="00000000" w14:paraId="26528A3D" w14:textId="77777777">
        <w:trPr>
          <w:divId w:val="98525094"/>
          <w:trHeight w:val="225"/>
          <w:tblCellSpacing w:w="15" w:type="dxa"/>
        </w:trPr>
        <w:tc>
          <w:tcPr>
            <w:tcW w:w="0" w:type="auto"/>
            <w:vAlign w:val="center"/>
            <w:hideMark/>
          </w:tcPr>
          <w:p w14:paraId="14C7CC6B"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FF9E0B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402F9185"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BEE7381"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5D2140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757F7AF"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4C5E0EC" w14:textId="77777777" w:rsidR="00000000" w:rsidRDefault="00EB4933">
            <w:pPr>
              <w:pStyle w:val="NormalWeb"/>
              <w:spacing w:before="0" w:beforeAutospacing="0" w:after="0" w:afterAutospacing="0"/>
              <w:rPr>
                <w:sz w:val="20"/>
                <w:szCs w:val="20"/>
              </w:rPr>
            </w:pPr>
            <w:r>
              <w:rPr>
                <w:sz w:val="20"/>
                <w:szCs w:val="20"/>
              </w:rPr>
              <w:t> </w:t>
            </w:r>
          </w:p>
        </w:tc>
      </w:tr>
      <w:tr w:rsidR="00000000" w14:paraId="350D654F" w14:textId="77777777">
        <w:trPr>
          <w:divId w:val="98525094"/>
          <w:trHeight w:val="225"/>
          <w:tblCellSpacing w:w="15" w:type="dxa"/>
        </w:trPr>
        <w:tc>
          <w:tcPr>
            <w:tcW w:w="0" w:type="auto"/>
            <w:shd w:val="clear" w:color="auto" w:fill="CCEEFF"/>
            <w:hideMark/>
          </w:tcPr>
          <w:p w14:paraId="478E0B18" w14:textId="77777777" w:rsidR="00000000" w:rsidRDefault="00EB4933">
            <w:pPr>
              <w:pStyle w:val="NormalWeb"/>
              <w:spacing w:before="0" w:beforeAutospacing="0" w:after="0" w:afterAutospacing="0"/>
              <w:rPr>
                <w:sz w:val="20"/>
                <w:szCs w:val="20"/>
              </w:rPr>
            </w:pPr>
            <w:r>
              <w:rPr>
                <w:sz w:val="20"/>
                <w:szCs w:val="20"/>
              </w:rPr>
              <w:t>Cash on hand</w:t>
            </w:r>
          </w:p>
        </w:tc>
        <w:tc>
          <w:tcPr>
            <w:tcW w:w="50" w:type="pct"/>
            <w:shd w:val="clear" w:color="auto" w:fill="CCEEFF"/>
            <w:noWrap/>
            <w:vAlign w:val="center"/>
            <w:hideMark/>
          </w:tcPr>
          <w:p w14:paraId="2F4C75C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4E456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CC87308" w14:textId="77777777" w:rsidR="00000000" w:rsidRDefault="00EB4933">
            <w:pPr>
              <w:jc w:val="right"/>
              <w:rPr>
                <w:rFonts w:eastAsia="Times New Roman"/>
                <w:sz w:val="20"/>
                <w:szCs w:val="20"/>
              </w:rPr>
            </w:pPr>
            <w:r>
              <w:rPr>
                <w:rFonts w:eastAsia="Times New Roman"/>
                <w:sz w:val="20"/>
                <w:szCs w:val="20"/>
              </w:rPr>
              <w:t>39</w:t>
            </w:r>
          </w:p>
        </w:tc>
        <w:tc>
          <w:tcPr>
            <w:tcW w:w="50" w:type="pct"/>
            <w:shd w:val="clear" w:color="auto" w:fill="CCEEFF"/>
            <w:noWrap/>
            <w:vAlign w:val="center"/>
            <w:hideMark/>
          </w:tcPr>
          <w:p w14:paraId="00F1B6C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FCAA1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16BD2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6636353"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DE63F0A" w14:textId="77777777" w:rsidR="00000000" w:rsidRDefault="00EB4933">
            <w:pPr>
              <w:pStyle w:val="NormalWeb"/>
              <w:spacing w:before="0" w:beforeAutospacing="0" w:after="0" w:afterAutospacing="0"/>
              <w:rPr>
                <w:sz w:val="20"/>
                <w:szCs w:val="20"/>
              </w:rPr>
            </w:pPr>
            <w:r>
              <w:rPr>
                <w:sz w:val="20"/>
                <w:szCs w:val="20"/>
              </w:rPr>
              <w:t> </w:t>
            </w:r>
          </w:p>
        </w:tc>
      </w:tr>
      <w:tr w:rsidR="00000000" w14:paraId="5D458C09" w14:textId="77777777">
        <w:trPr>
          <w:divId w:val="98525094"/>
          <w:trHeight w:val="225"/>
          <w:tblCellSpacing w:w="15" w:type="dxa"/>
        </w:trPr>
        <w:tc>
          <w:tcPr>
            <w:tcW w:w="0" w:type="auto"/>
            <w:shd w:val="clear" w:color="auto" w:fill="FFFFFF"/>
            <w:hideMark/>
          </w:tcPr>
          <w:p w14:paraId="5DF45925" w14:textId="77777777" w:rsidR="00000000" w:rsidRDefault="00EB4933">
            <w:pPr>
              <w:pStyle w:val="NormalWeb"/>
              <w:spacing w:before="0" w:beforeAutospacing="0" w:after="0" w:afterAutospacing="0"/>
              <w:rPr>
                <w:sz w:val="20"/>
                <w:szCs w:val="20"/>
              </w:rPr>
            </w:pPr>
            <w:r>
              <w:rPr>
                <w:sz w:val="20"/>
                <w:szCs w:val="20"/>
              </w:rPr>
              <w:lastRenderedPageBreak/>
              <w:t>Cash at bank</w:t>
            </w:r>
          </w:p>
        </w:tc>
        <w:tc>
          <w:tcPr>
            <w:tcW w:w="50" w:type="pct"/>
            <w:shd w:val="clear" w:color="auto" w:fill="FFFFFF"/>
            <w:noWrap/>
            <w:vAlign w:val="center"/>
            <w:hideMark/>
          </w:tcPr>
          <w:p w14:paraId="020CCB4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DFB07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381DC98" w14:textId="77777777" w:rsidR="00000000" w:rsidRDefault="00EB4933">
            <w:pPr>
              <w:jc w:val="right"/>
              <w:rPr>
                <w:rFonts w:eastAsia="Times New Roman"/>
                <w:sz w:val="20"/>
                <w:szCs w:val="20"/>
              </w:rPr>
            </w:pPr>
            <w:r>
              <w:rPr>
                <w:rFonts w:eastAsia="Times New Roman"/>
                <w:sz w:val="20"/>
                <w:szCs w:val="20"/>
              </w:rPr>
              <w:t>3,149</w:t>
            </w:r>
          </w:p>
        </w:tc>
        <w:tc>
          <w:tcPr>
            <w:tcW w:w="50" w:type="pct"/>
            <w:shd w:val="clear" w:color="auto" w:fill="FFFFFF"/>
            <w:noWrap/>
            <w:vAlign w:val="center"/>
            <w:hideMark/>
          </w:tcPr>
          <w:p w14:paraId="27F8540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BCCC8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FF99D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5BE4A96" w14:textId="77777777" w:rsidR="00000000" w:rsidRDefault="00EB4933">
            <w:pPr>
              <w:jc w:val="right"/>
              <w:rPr>
                <w:rFonts w:eastAsia="Times New Roman"/>
                <w:sz w:val="20"/>
                <w:szCs w:val="20"/>
              </w:rPr>
            </w:pPr>
            <w:r>
              <w:rPr>
                <w:rFonts w:eastAsia="Times New Roman"/>
                <w:sz w:val="20"/>
                <w:szCs w:val="20"/>
              </w:rPr>
              <w:t>67</w:t>
            </w:r>
          </w:p>
        </w:tc>
        <w:tc>
          <w:tcPr>
            <w:tcW w:w="50" w:type="pct"/>
            <w:shd w:val="clear" w:color="auto" w:fill="FFFFFF"/>
            <w:noWrap/>
            <w:vAlign w:val="center"/>
            <w:hideMark/>
          </w:tcPr>
          <w:p w14:paraId="20404937" w14:textId="77777777" w:rsidR="00000000" w:rsidRDefault="00EB4933">
            <w:pPr>
              <w:pStyle w:val="NormalWeb"/>
              <w:spacing w:before="0" w:beforeAutospacing="0" w:after="0" w:afterAutospacing="0"/>
              <w:rPr>
                <w:sz w:val="20"/>
                <w:szCs w:val="20"/>
              </w:rPr>
            </w:pPr>
            <w:r>
              <w:rPr>
                <w:sz w:val="20"/>
                <w:szCs w:val="20"/>
              </w:rPr>
              <w:t> </w:t>
            </w:r>
          </w:p>
        </w:tc>
      </w:tr>
      <w:tr w:rsidR="00000000" w14:paraId="1FCE11BF" w14:textId="77777777">
        <w:trPr>
          <w:divId w:val="98525094"/>
          <w:trHeight w:val="225"/>
          <w:tblCellSpacing w:w="15" w:type="dxa"/>
        </w:trPr>
        <w:tc>
          <w:tcPr>
            <w:tcW w:w="0" w:type="auto"/>
            <w:shd w:val="clear" w:color="auto" w:fill="CCEEFF"/>
            <w:hideMark/>
          </w:tcPr>
          <w:p w14:paraId="501A12EE" w14:textId="77777777" w:rsidR="00000000" w:rsidRDefault="00EB4933">
            <w:pPr>
              <w:pStyle w:val="NormalWeb"/>
              <w:spacing w:before="0" w:beforeAutospacing="0" w:after="0" w:afterAutospacing="0"/>
              <w:rPr>
                <w:sz w:val="20"/>
                <w:szCs w:val="20"/>
              </w:rPr>
            </w:pPr>
            <w:r>
              <w:rPr>
                <w:sz w:val="20"/>
                <w:szCs w:val="20"/>
              </w:rPr>
              <w:t>Restricted cash at bank</w:t>
            </w:r>
            <w:r>
              <w:rPr>
                <w:sz w:val="20"/>
                <w:szCs w:val="20"/>
                <w:vertAlign w:val="superscript"/>
              </w:rPr>
              <w:t>(1)</w:t>
            </w:r>
          </w:p>
        </w:tc>
        <w:tc>
          <w:tcPr>
            <w:tcW w:w="50" w:type="pct"/>
            <w:shd w:val="clear" w:color="auto" w:fill="CCEEFF"/>
            <w:noWrap/>
            <w:vAlign w:val="center"/>
            <w:hideMark/>
          </w:tcPr>
          <w:p w14:paraId="1355104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15D2E4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EC5617D"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6539D06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FBD62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95389D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4DC81C7" w14:textId="77777777" w:rsidR="00000000" w:rsidRDefault="00EB4933">
            <w:pPr>
              <w:jc w:val="right"/>
              <w:rPr>
                <w:rFonts w:eastAsia="Times New Roman"/>
                <w:sz w:val="20"/>
                <w:szCs w:val="20"/>
              </w:rPr>
            </w:pPr>
            <w:r>
              <w:rPr>
                <w:rFonts w:eastAsia="Times New Roman"/>
                <w:sz w:val="20"/>
                <w:szCs w:val="20"/>
              </w:rPr>
              <w:t>65</w:t>
            </w:r>
          </w:p>
        </w:tc>
        <w:tc>
          <w:tcPr>
            <w:tcW w:w="50" w:type="pct"/>
            <w:shd w:val="clear" w:color="auto" w:fill="CCEEFF"/>
            <w:noWrap/>
            <w:tcMar>
              <w:top w:w="0" w:type="dxa"/>
              <w:left w:w="0" w:type="dxa"/>
              <w:bottom w:w="15" w:type="dxa"/>
              <w:right w:w="0" w:type="dxa"/>
            </w:tcMar>
            <w:vAlign w:val="center"/>
            <w:hideMark/>
          </w:tcPr>
          <w:p w14:paraId="4A6BACB9" w14:textId="77777777" w:rsidR="00000000" w:rsidRDefault="00EB4933">
            <w:pPr>
              <w:pStyle w:val="NormalWeb"/>
              <w:spacing w:before="0" w:beforeAutospacing="0" w:after="0" w:afterAutospacing="0"/>
              <w:rPr>
                <w:sz w:val="20"/>
                <w:szCs w:val="20"/>
              </w:rPr>
            </w:pPr>
            <w:r>
              <w:rPr>
                <w:sz w:val="20"/>
                <w:szCs w:val="20"/>
              </w:rPr>
              <w:t> </w:t>
            </w:r>
          </w:p>
        </w:tc>
      </w:tr>
      <w:tr w:rsidR="00000000" w14:paraId="140A0DB8" w14:textId="77777777">
        <w:trPr>
          <w:divId w:val="98525094"/>
          <w:trHeight w:val="225"/>
          <w:tblCellSpacing w:w="15" w:type="dxa"/>
        </w:trPr>
        <w:tc>
          <w:tcPr>
            <w:tcW w:w="0" w:type="auto"/>
            <w:shd w:val="clear" w:color="auto" w:fill="FFFFFF"/>
            <w:hideMark/>
          </w:tcPr>
          <w:p w14:paraId="3F8B8C60" w14:textId="77777777" w:rsidR="00000000" w:rsidRDefault="00EB4933">
            <w:pPr>
              <w:pStyle w:val="NormalWeb"/>
              <w:spacing w:before="0" w:beforeAutospacing="0" w:after="0" w:afterAutospacing="0"/>
              <w:rPr>
                <w:sz w:val="20"/>
                <w:szCs w:val="20"/>
              </w:rPr>
            </w:pPr>
            <w:r>
              <w:rPr>
                <w:sz w:val="20"/>
                <w:szCs w:val="20"/>
              </w:rPr>
              <w:t>Cash, cash equivalents and restricted cash per consolidated statements of cash flow</w:t>
            </w:r>
          </w:p>
        </w:tc>
        <w:tc>
          <w:tcPr>
            <w:tcW w:w="50" w:type="pct"/>
            <w:shd w:val="clear" w:color="auto" w:fill="FFFFFF"/>
            <w:noWrap/>
            <w:vAlign w:val="center"/>
            <w:hideMark/>
          </w:tcPr>
          <w:p w14:paraId="67951D5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5E942E2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75BAB4C7" w14:textId="77777777" w:rsidR="00000000" w:rsidRDefault="00EB4933">
            <w:pPr>
              <w:jc w:val="right"/>
              <w:rPr>
                <w:rFonts w:eastAsia="Times New Roman"/>
                <w:sz w:val="20"/>
                <w:szCs w:val="20"/>
              </w:rPr>
            </w:pPr>
            <w:r>
              <w:rPr>
                <w:rFonts w:eastAsia="Times New Roman"/>
                <w:sz w:val="20"/>
                <w:szCs w:val="20"/>
              </w:rPr>
              <w:t>3,188</w:t>
            </w:r>
          </w:p>
        </w:tc>
        <w:tc>
          <w:tcPr>
            <w:tcW w:w="50" w:type="pct"/>
            <w:shd w:val="clear" w:color="auto" w:fill="FFFFFF"/>
            <w:noWrap/>
            <w:tcMar>
              <w:top w:w="0" w:type="dxa"/>
              <w:left w:w="0" w:type="dxa"/>
              <w:bottom w:w="45" w:type="dxa"/>
              <w:right w:w="0" w:type="dxa"/>
            </w:tcMar>
            <w:vAlign w:val="center"/>
            <w:hideMark/>
          </w:tcPr>
          <w:p w14:paraId="16B61BC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53462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0CB62E5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441D7F79" w14:textId="77777777" w:rsidR="00000000" w:rsidRDefault="00EB4933">
            <w:pPr>
              <w:jc w:val="right"/>
              <w:rPr>
                <w:rFonts w:eastAsia="Times New Roman"/>
                <w:sz w:val="20"/>
                <w:szCs w:val="20"/>
              </w:rPr>
            </w:pPr>
            <w:r>
              <w:rPr>
                <w:rFonts w:eastAsia="Times New Roman"/>
                <w:sz w:val="20"/>
                <w:szCs w:val="20"/>
              </w:rPr>
              <w:t>132</w:t>
            </w:r>
          </w:p>
        </w:tc>
        <w:tc>
          <w:tcPr>
            <w:tcW w:w="50" w:type="pct"/>
            <w:shd w:val="clear" w:color="auto" w:fill="FFFFFF"/>
            <w:noWrap/>
            <w:tcMar>
              <w:top w:w="0" w:type="dxa"/>
              <w:left w:w="0" w:type="dxa"/>
              <w:bottom w:w="45" w:type="dxa"/>
              <w:right w:w="0" w:type="dxa"/>
            </w:tcMar>
            <w:vAlign w:val="center"/>
            <w:hideMark/>
          </w:tcPr>
          <w:p w14:paraId="3AB02F0E" w14:textId="77777777" w:rsidR="00000000" w:rsidRDefault="00EB4933">
            <w:pPr>
              <w:pStyle w:val="NormalWeb"/>
              <w:spacing w:before="0" w:beforeAutospacing="0" w:after="0" w:afterAutospacing="0"/>
              <w:rPr>
                <w:sz w:val="20"/>
                <w:szCs w:val="20"/>
              </w:rPr>
            </w:pPr>
            <w:r>
              <w:rPr>
                <w:sz w:val="20"/>
                <w:szCs w:val="20"/>
              </w:rPr>
              <w:t> </w:t>
            </w:r>
          </w:p>
        </w:tc>
      </w:tr>
    </w:tbl>
    <w:p w14:paraId="60BD195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1813196" w14:textId="77777777" w:rsidR="00000000" w:rsidRDefault="00EB4933">
      <w:pPr>
        <w:pStyle w:val="NormalWeb"/>
        <w:spacing w:before="0" w:beforeAutospacing="0" w:after="0" w:afterAutospacing="0"/>
        <w:ind w:left="675"/>
        <w:jc w:val="both"/>
        <w:divId w:val="98525094"/>
        <w:rPr>
          <w:sz w:val="20"/>
          <w:szCs w:val="20"/>
        </w:rPr>
      </w:pPr>
      <w:r>
        <w:rPr>
          <w:sz w:val="20"/>
          <w:szCs w:val="20"/>
          <w:vertAlign w:val="superscript"/>
        </w:rPr>
        <w:t>(1)</w:t>
      </w:r>
      <w:r>
        <w:rPr>
          <w:sz w:val="20"/>
          <w:szCs w:val="20"/>
        </w:rPr>
        <w:t xml:space="preserve"> </w:t>
      </w:r>
      <w:r>
        <w:rPr>
          <w:sz w:val="20"/>
          <w:szCs w:val="20"/>
        </w:rPr>
        <w:t>This related to cash deposits in the bank accounts that are frozen by court order as Chutian was subject to multiple legal proceedings, administrative proceedings, claims and other litigation as a result of overdue payments to service providers and loans p</w:t>
      </w:r>
      <w:r>
        <w:rPr>
          <w:sz w:val="20"/>
          <w:szCs w:val="20"/>
        </w:rPr>
        <w:t>ayable to the lenders.</w:t>
      </w:r>
    </w:p>
    <w:p w14:paraId="6458165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25CFE90" w14:textId="77777777" w:rsidR="00000000" w:rsidRDefault="00EB4933">
      <w:pPr>
        <w:pStyle w:val="NormalWeb"/>
        <w:spacing w:before="0" w:beforeAutospacing="0" w:after="0" w:afterAutospacing="0"/>
        <w:jc w:val="both"/>
        <w:divId w:val="98525094"/>
        <w:rPr>
          <w:sz w:val="20"/>
          <w:szCs w:val="20"/>
        </w:rPr>
      </w:pPr>
      <w:r>
        <w:rPr>
          <w:rStyle w:val="Strong"/>
          <w:sz w:val="20"/>
          <w:szCs w:val="20"/>
        </w:rPr>
        <w:t>14. Interest receivables, net of credit impairment losses</w:t>
      </w:r>
    </w:p>
    <w:p w14:paraId="649EABAF"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6362"/>
        <w:gridCol w:w="113"/>
        <w:gridCol w:w="113"/>
        <w:gridCol w:w="778"/>
        <w:gridCol w:w="113"/>
        <w:gridCol w:w="113"/>
        <w:gridCol w:w="113"/>
        <w:gridCol w:w="778"/>
        <w:gridCol w:w="128"/>
      </w:tblGrid>
      <w:tr w:rsidR="00000000" w14:paraId="74F3E42E" w14:textId="77777777">
        <w:trPr>
          <w:divId w:val="98525094"/>
          <w:trHeight w:val="225"/>
          <w:tblCellSpacing w:w="15" w:type="dxa"/>
        </w:trPr>
        <w:tc>
          <w:tcPr>
            <w:tcW w:w="0" w:type="auto"/>
            <w:vAlign w:val="center"/>
            <w:hideMark/>
          </w:tcPr>
          <w:p w14:paraId="362D3C74"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0750CD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000000"/>
            </w:tcBorders>
            <w:vAlign w:val="bottom"/>
            <w:hideMark/>
          </w:tcPr>
          <w:p w14:paraId="257AD174" w14:textId="77777777" w:rsidR="00000000" w:rsidRDefault="00EB4933">
            <w:pPr>
              <w:pStyle w:val="NormalWeb"/>
              <w:spacing w:before="0" w:beforeAutospacing="0" w:after="0" w:afterAutospacing="0"/>
              <w:jc w:val="center"/>
              <w:rPr>
                <w:sz w:val="20"/>
                <w:szCs w:val="20"/>
              </w:rPr>
            </w:pPr>
            <w:r>
              <w:rPr>
                <w:rStyle w:val="Strong"/>
                <w:sz w:val="20"/>
                <w:szCs w:val="20"/>
              </w:rPr>
              <w:t>As at December 31,</w:t>
            </w:r>
          </w:p>
        </w:tc>
        <w:tc>
          <w:tcPr>
            <w:tcW w:w="0" w:type="auto"/>
            <w:noWrap/>
            <w:vAlign w:val="center"/>
            <w:hideMark/>
          </w:tcPr>
          <w:p w14:paraId="73C202D7" w14:textId="77777777" w:rsidR="00000000" w:rsidRDefault="00EB4933">
            <w:pPr>
              <w:pStyle w:val="NormalWeb"/>
              <w:spacing w:before="0" w:beforeAutospacing="0" w:after="0" w:afterAutospacing="0"/>
              <w:rPr>
                <w:sz w:val="20"/>
                <w:szCs w:val="20"/>
              </w:rPr>
            </w:pPr>
            <w:r>
              <w:rPr>
                <w:sz w:val="20"/>
                <w:szCs w:val="20"/>
              </w:rPr>
              <w:t> </w:t>
            </w:r>
          </w:p>
        </w:tc>
      </w:tr>
      <w:tr w:rsidR="00000000" w14:paraId="3631B2B0" w14:textId="77777777">
        <w:trPr>
          <w:divId w:val="98525094"/>
          <w:trHeight w:val="225"/>
          <w:tblCellSpacing w:w="15" w:type="dxa"/>
        </w:trPr>
        <w:tc>
          <w:tcPr>
            <w:tcW w:w="0" w:type="auto"/>
            <w:vAlign w:val="center"/>
            <w:hideMark/>
          </w:tcPr>
          <w:p w14:paraId="4B85BADC"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45E7764"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17171FA2"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vAlign w:val="center"/>
            <w:hideMark/>
          </w:tcPr>
          <w:p w14:paraId="6D253755"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7C89B8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7603A0B9"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0439BDC4" w14:textId="77777777" w:rsidR="00000000" w:rsidRDefault="00EB4933">
            <w:pPr>
              <w:pStyle w:val="NormalWeb"/>
              <w:spacing w:before="0" w:beforeAutospacing="0" w:after="0" w:afterAutospacing="0"/>
              <w:rPr>
                <w:sz w:val="20"/>
                <w:szCs w:val="20"/>
              </w:rPr>
            </w:pPr>
            <w:r>
              <w:rPr>
                <w:sz w:val="20"/>
                <w:szCs w:val="20"/>
              </w:rPr>
              <w:t> </w:t>
            </w:r>
          </w:p>
        </w:tc>
      </w:tr>
      <w:tr w:rsidR="00000000" w14:paraId="5F9EE51D" w14:textId="77777777">
        <w:trPr>
          <w:divId w:val="98525094"/>
          <w:trHeight w:val="225"/>
          <w:tblCellSpacing w:w="15" w:type="dxa"/>
        </w:trPr>
        <w:tc>
          <w:tcPr>
            <w:tcW w:w="0" w:type="auto"/>
            <w:vAlign w:val="center"/>
            <w:hideMark/>
          </w:tcPr>
          <w:p w14:paraId="2BA0E367"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640BB9C"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0C6A3DAC"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62CC957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D8F2051"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56D7A9B4"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2A9635E9" w14:textId="77777777" w:rsidR="00000000" w:rsidRDefault="00EB4933">
            <w:pPr>
              <w:pStyle w:val="NormalWeb"/>
              <w:spacing w:before="0" w:beforeAutospacing="0" w:after="0" w:afterAutospacing="0"/>
              <w:rPr>
                <w:sz w:val="20"/>
                <w:szCs w:val="20"/>
              </w:rPr>
            </w:pPr>
            <w:r>
              <w:rPr>
                <w:sz w:val="20"/>
                <w:szCs w:val="20"/>
              </w:rPr>
              <w:t> </w:t>
            </w:r>
          </w:p>
        </w:tc>
      </w:tr>
      <w:tr w:rsidR="00000000" w14:paraId="556C51A7" w14:textId="77777777">
        <w:trPr>
          <w:divId w:val="98525094"/>
          <w:trHeight w:val="225"/>
          <w:tblCellSpacing w:w="15" w:type="dxa"/>
        </w:trPr>
        <w:tc>
          <w:tcPr>
            <w:tcW w:w="0" w:type="auto"/>
            <w:vAlign w:val="center"/>
            <w:hideMark/>
          </w:tcPr>
          <w:p w14:paraId="6DC86F96"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D6DB678"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4FDDF81"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A741D66"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3989B1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0835ED5"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AD9ED2B" w14:textId="77777777" w:rsidR="00000000" w:rsidRDefault="00EB4933">
            <w:pPr>
              <w:pStyle w:val="NormalWeb"/>
              <w:spacing w:before="0" w:beforeAutospacing="0" w:after="0" w:afterAutospacing="0"/>
              <w:rPr>
                <w:sz w:val="20"/>
                <w:szCs w:val="20"/>
              </w:rPr>
            </w:pPr>
            <w:r>
              <w:rPr>
                <w:sz w:val="20"/>
                <w:szCs w:val="20"/>
              </w:rPr>
              <w:t> </w:t>
            </w:r>
          </w:p>
        </w:tc>
      </w:tr>
      <w:tr w:rsidR="00000000" w14:paraId="5A2C3CC4" w14:textId="77777777">
        <w:trPr>
          <w:divId w:val="98525094"/>
          <w:trHeight w:val="225"/>
          <w:tblCellSpacing w:w="15" w:type="dxa"/>
        </w:trPr>
        <w:tc>
          <w:tcPr>
            <w:tcW w:w="0" w:type="auto"/>
            <w:shd w:val="clear" w:color="auto" w:fill="CCEEFF"/>
            <w:hideMark/>
          </w:tcPr>
          <w:p w14:paraId="37855500" w14:textId="77777777" w:rsidR="00000000" w:rsidRDefault="00EB4933">
            <w:pPr>
              <w:pStyle w:val="NormalWeb"/>
              <w:spacing w:before="0" w:beforeAutospacing="0" w:after="0" w:afterAutospacing="0"/>
              <w:rPr>
                <w:sz w:val="20"/>
                <w:szCs w:val="20"/>
              </w:rPr>
            </w:pPr>
            <w:r>
              <w:rPr>
                <w:sz w:val="20"/>
                <w:szCs w:val="20"/>
              </w:rPr>
              <w:t>Interest receivables</w:t>
            </w:r>
          </w:p>
        </w:tc>
        <w:tc>
          <w:tcPr>
            <w:tcW w:w="50" w:type="pct"/>
            <w:shd w:val="clear" w:color="auto" w:fill="CCEEFF"/>
            <w:noWrap/>
            <w:vAlign w:val="center"/>
            <w:hideMark/>
          </w:tcPr>
          <w:p w14:paraId="111AB8F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36BF0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44AA36A" w14:textId="77777777" w:rsidR="00000000" w:rsidRDefault="00EB4933">
            <w:pPr>
              <w:jc w:val="right"/>
              <w:rPr>
                <w:rFonts w:eastAsia="Times New Roman"/>
                <w:sz w:val="20"/>
                <w:szCs w:val="20"/>
              </w:rPr>
            </w:pPr>
            <w:r>
              <w:rPr>
                <w:rFonts w:eastAsia="Times New Roman"/>
                <w:sz w:val="20"/>
                <w:szCs w:val="20"/>
              </w:rPr>
              <w:t>8,839</w:t>
            </w:r>
          </w:p>
        </w:tc>
        <w:tc>
          <w:tcPr>
            <w:tcW w:w="50" w:type="pct"/>
            <w:shd w:val="clear" w:color="auto" w:fill="CCEEFF"/>
            <w:noWrap/>
            <w:vAlign w:val="center"/>
            <w:hideMark/>
          </w:tcPr>
          <w:p w14:paraId="4E6C04B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FE510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76496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FEA3361"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6C1F6F8" w14:textId="77777777" w:rsidR="00000000" w:rsidRDefault="00EB4933">
            <w:pPr>
              <w:pStyle w:val="NormalWeb"/>
              <w:spacing w:before="0" w:beforeAutospacing="0" w:after="0" w:afterAutospacing="0"/>
              <w:rPr>
                <w:sz w:val="20"/>
                <w:szCs w:val="20"/>
              </w:rPr>
            </w:pPr>
            <w:r>
              <w:rPr>
                <w:sz w:val="20"/>
                <w:szCs w:val="20"/>
              </w:rPr>
              <w:t> </w:t>
            </w:r>
          </w:p>
        </w:tc>
      </w:tr>
      <w:tr w:rsidR="00000000" w14:paraId="4B5D4CE5" w14:textId="77777777">
        <w:trPr>
          <w:divId w:val="98525094"/>
          <w:trHeight w:val="225"/>
          <w:tblCellSpacing w:w="15" w:type="dxa"/>
        </w:trPr>
        <w:tc>
          <w:tcPr>
            <w:tcW w:w="0" w:type="auto"/>
            <w:shd w:val="clear" w:color="auto" w:fill="FFFFFF"/>
            <w:hideMark/>
          </w:tcPr>
          <w:p w14:paraId="6E241FA4" w14:textId="77777777" w:rsidR="00000000" w:rsidRDefault="00EB4933">
            <w:pPr>
              <w:pStyle w:val="NormalWeb"/>
              <w:spacing w:before="0" w:beforeAutospacing="0" w:after="0" w:afterAutospacing="0"/>
              <w:rPr>
                <w:sz w:val="20"/>
                <w:szCs w:val="20"/>
              </w:rPr>
            </w:pPr>
            <w:r>
              <w:rPr>
                <w:sz w:val="20"/>
                <w:szCs w:val="20"/>
              </w:rPr>
              <w:t>Less: credit impairment losses</w:t>
            </w:r>
          </w:p>
        </w:tc>
        <w:tc>
          <w:tcPr>
            <w:tcW w:w="50" w:type="pct"/>
            <w:shd w:val="clear" w:color="auto" w:fill="FFFFFF"/>
            <w:noWrap/>
            <w:vAlign w:val="center"/>
            <w:hideMark/>
          </w:tcPr>
          <w:p w14:paraId="7ADEBAC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DAF78C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FB904BE" w14:textId="77777777" w:rsidR="00000000" w:rsidRDefault="00EB4933">
            <w:pPr>
              <w:jc w:val="right"/>
              <w:rPr>
                <w:rFonts w:eastAsia="Times New Roman"/>
                <w:sz w:val="20"/>
                <w:szCs w:val="20"/>
              </w:rPr>
            </w:pPr>
            <w:r>
              <w:rPr>
                <w:rFonts w:eastAsia="Times New Roman"/>
                <w:sz w:val="20"/>
                <w:szCs w:val="20"/>
              </w:rPr>
              <w:t>(1,782</w:t>
            </w:r>
          </w:p>
        </w:tc>
        <w:tc>
          <w:tcPr>
            <w:tcW w:w="50" w:type="pct"/>
            <w:shd w:val="clear" w:color="auto" w:fill="FFFFFF"/>
            <w:noWrap/>
            <w:tcMar>
              <w:top w:w="0" w:type="dxa"/>
              <w:left w:w="0" w:type="dxa"/>
              <w:bottom w:w="15" w:type="dxa"/>
              <w:right w:w="0" w:type="dxa"/>
            </w:tcMar>
            <w:vAlign w:val="bottom"/>
            <w:hideMark/>
          </w:tcPr>
          <w:p w14:paraId="57F7CB6F"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844361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BDB14B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EB6E249"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3913E5A2" w14:textId="77777777" w:rsidR="00000000" w:rsidRDefault="00EB4933">
            <w:pPr>
              <w:pStyle w:val="NormalWeb"/>
              <w:spacing w:before="0" w:beforeAutospacing="0" w:after="0" w:afterAutospacing="0"/>
              <w:rPr>
                <w:sz w:val="20"/>
                <w:szCs w:val="20"/>
              </w:rPr>
            </w:pPr>
            <w:r>
              <w:rPr>
                <w:sz w:val="20"/>
                <w:szCs w:val="20"/>
              </w:rPr>
              <w:t> </w:t>
            </w:r>
          </w:p>
        </w:tc>
      </w:tr>
      <w:tr w:rsidR="00000000" w14:paraId="15B68F0B" w14:textId="77777777">
        <w:trPr>
          <w:divId w:val="98525094"/>
          <w:trHeight w:val="225"/>
          <w:tblCellSpacing w:w="15" w:type="dxa"/>
        </w:trPr>
        <w:tc>
          <w:tcPr>
            <w:tcW w:w="0" w:type="auto"/>
            <w:shd w:val="clear" w:color="auto" w:fill="CCEEFF"/>
            <w:hideMark/>
          </w:tcPr>
          <w:p w14:paraId="555BCD40" w14:textId="77777777" w:rsidR="00000000" w:rsidRDefault="00EB4933">
            <w:pPr>
              <w:pStyle w:val="NormalWeb"/>
              <w:spacing w:before="0" w:beforeAutospacing="0" w:after="0" w:afterAutospacing="0"/>
              <w:rPr>
                <w:sz w:val="20"/>
                <w:szCs w:val="20"/>
              </w:rPr>
            </w:pPr>
            <w:r>
              <w:rPr>
                <w:sz w:val="20"/>
                <w:szCs w:val="20"/>
              </w:rPr>
              <w:t>Interest receivable, net of credit impairment losses</w:t>
            </w:r>
          </w:p>
        </w:tc>
        <w:tc>
          <w:tcPr>
            <w:tcW w:w="50" w:type="pct"/>
            <w:shd w:val="clear" w:color="auto" w:fill="CCEEFF"/>
            <w:noWrap/>
            <w:vAlign w:val="center"/>
            <w:hideMark/>
          </w:tcPr>
          <w:p w14:paraId="3DDDE4D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4A10F1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31CC5F96" w14:textId="77777777" w:rsidR="00000000" w:rsidRDefault="00EB4933">
            <w:pPr>
              <w:jc w:val="right"/>
              <w:rPr>
                <w:rFonts w:eastAsia="Times New Roman"/>
                <w:sz w:val="20"/>
                <w:szCs w:val="20"/>
              </w:rPr>
            </w:pPr>
            <w:r>
              <w:rPr>
                <w:rFonts w:eastAsia="Times New Roman"/>
                <w:sz w:val="20"/>
                <w:szCs w:val="20"/>
              </w:rPr>
              <w:t>7,057</w:t>
            </w:r>
          </w:p>
        </w:tc>
        <w:tc>
          <w:tcPr>
            <w:tcW w:w="50" w:type="pct"/>
            <w:shd w:val="clear" w:color="auto" w:fill="CCEEFF"/>
            <w:noWrap/>
            <w:tcMar>
              <w:top w:w="0" w:type="dxa"/>
              <w:left w:w="0" w:type="dxa"/>
              <w:bottom w:w="45" w:type="dxa"/>
              <w:right w:w="0" w:type="dxa"/>
            </w:tcMar>
            <w:vAlign w:val="center"/>
            <w:hideMark/>
          </w:tcPr>
          <w:p w14:paraId="087BD7D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14C8A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26244D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4EF809AE"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45" w:type="dxa"/>
              <w:right w:w="0" w:type="dxa"/>
            </w:tcMar>
            <w:vAlign w:val="center"/>
            <w:hideMark/>
          </w:tcPr>
          <w:p w14:paraId="1C9831AE" w14:textId="77777777" w:rsidR="00000000" w:rsidRDefault="00EB4933">
            <w:pPr>
              <w:pStyle w:val="NormalWeb"/>
              <w:spacing w:before="0" w:beforeAutospacing="0" w:after="0" w:afterAutospacing="0"/>
              <w:rPr>
                <w:sz w:val="20"/>
                <w:szCs w:val="20"/>
              </w:rPr>
            </w:pPr>
            <w:r>
              <w:rPr>
                <w:sz w:val="20"/>
                <w:szCs w:val="20"/>
              </w:rPr>
              <w:t> </w:t>
            </w:r>
          </w:p>
        </w:tc>
      </w:tr>
    </w:tbl>
    <w:p w14:paraId="179A60A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879CCD8" w14:textId="77777777" w:rsidR="00000000" w:rsidRDefault="00EB4933">
      <w:pPr>
        <w:pStyle w:val="NormalWeb"/>
        <w:spacing w:before="0" w:beforeAutospacing="0" w:after="0" w:afterAutospacing="0"/>
        <w:ind w:left="675"/>
        <w:jc w:val="both"/>
        <w:divId w:val="98525094"/>
        <w:rPr>
          <w:sz w:val="20"/>
          <w:szCs w:val="20"/>
        </w:rPr>
      </w:pPr>
      <w:r>
        <w:rPr>
          <w:sz w:val="20"/>
          <w:szCs w:val="20"/>
        </w:rPr>
        <w:t>As of December 31, 2019, the interest receivables are nil as the Group does not have any loans receivable that is not credit-impaired.</w:t>
      </w:r>
    </w:p>
    <w:p w14:paraId="13B43178"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02DA8883" w14:textId="77777777" w:rsidR="00000000" w:rsidRDefault="00EB4933">
      <w:pPr>
        <w:pStyle w:val="NormalWeb"/>
        <w:spacing w:before="0" w:beforeAutospacing="0" w:after="0" w:afterAutospacing="0"/>
        <w:ind w:left="675"/>
        <w:jc w:val="both"/>
        <w:divId w:val="98525094"/>
        <w:rPr>
          <w:sz w:val="20"/>
          <w:szCs w:val="20"/>
        </w:rPr>
      </w:pPr>
      <w:r>
        <w:rPr>
          <w:sz w:val="20"/>
          <w:szCs w:val="20"/>
        </w:rPr>
        <w:t>The table below provides the changes in credit impairment losses between the beginning and the end of the annual period:</w:t>
      </w:r>
    </w:p>
    <w:p w14:paraId="14B3BABF"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6362"/>
        <w:gridCol w:w="113"/>
        <w:gridCol w:w="113"/>
        <w:gridCol w:w="778"/>
        <w:gridCol w:w="113"/>
        <w:gridCol w:w="113"/>
        <w:gridCol w:w="113"/>
        <w:gridCol w:w="778"/>
        <w:gridCol w:w="128"/>
      </w:tblGrid>
      <w:tr w:rsidR="00000000" w14:paraId="094A8DE5" w14:textId="77777777">
        <w:trPr>
          <w:divId w:val="98525094"/>
          <w:trHeight w:val="225"/>
          <w:tblCellSpacing w:w="15" w:type="dxa"/>
        </w:trPr>
        <w:tc>
          <w:tcPr>
            <w:tcW w:w="0" w:type="auto"/>
            <w:vAlign w:val="center"/>
            <w:hideMark/>
          </w:tcPr>
          <w:p w14:paraId="4E0FEADC"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3B1D09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000000"/>
            </w:tcBorders>
            <w:vAlign w:val="bottom"/>
            <w:hideMark/>
          </w:tcPr>
          <w:p w14:paraId="679CF6F1" w14:textId="77777777" w:rsidR="00000000" w:rsidRDefault="00EB4933">
            <w:pPr>
              <w:pStyle w:val="NormalWeb"/>
              <w:spacing w:before="0" w:beforeAutospacing="0" w:after="0" w:afterAutospacing="0"/>
              <w:jc w:val="center"/>
              <w:rPr>
                <w:sz w:val="20"/>
                <w:szCs w:val="20"/>
              </w:rPr>
            </w:pPr>
            <w:r>
              <w:rPr>
                <w:rStyle w:val="Strong"/>
                <w:sz w:val="20"/>
                <w:szCs w:val="20"/>
              </w:rPr>
              <w:t>As at December 31,</w:t>
            </w:r>
          </w:p>
        </w:tc>
        <w:tc>
          <w:tcPr>
            <w:tcW w:w="0" w:type="auto"/>
            <w:noWrap/>
            <w:vAlign w:val="center"/>
            <w:hideMark/>
          </w:tcPr>
          <w:p w14:paraId="0BBA6893" w14:textId="77777777" w:rsidR="00000000" w:rsidRDefault="00EB4933">
            <w:pPr>
              <w:pStyle w:val="NormalWeb"/>
              <w:spacing w:before="0" w:beforeAutospacing="0" w:after="0" w:afterAutospacing="0"/>
              <w:rPr>
                <w:sz w:val="20"/>
                <w:szCs w:val="20"/>
              </w:rPr>
            </w:pPr>
            <w:r>
              <w:rPr>
                <w:sz w:val="20"/>
                <w:szCs w:val="20"/>
              </w:rPr>
              <w:t> </w:t>
            </w:r>
          </w:p>
        </w:tc>
      </w:tr>
      <w:tr w:rsidR="00000000" w14:paraId="524B2C47" w14:textId="77777777">
        <w:trPr>
          <w:divId w:val="98525094"/>
          <w:trHeight w:val="225"/>
          <w:tblCellSpacing w:w="15" w:type="dxa"/>
        </w:trPr>
        <w:tc>
          <w:tcPr>
            <w:tcW w:w="0" w:type="auto"/>
            <w:vAlign w:val="center"/>
            <w:hideMark/>
          </w:tcPr>
          <w:p w14:paraId="0C325067"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1433A7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0B269FCE"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vAlign w:val="center"/>
            <w:hideMark/>
          </w:tcPr>
          <w:p w14:paraId="63CD5AA2"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81AD20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17F9331D"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4E2A92B6" w14:textId="77777777" w:rsidR="00000000" w:rsidRDefault="00EB4933">
            <w:pPr>
              <w:pStyle w:val="NormalWeb"/>
              <w:spacing w:before="0" w:beforeAutospacing="0" w:after="0" w:afterAutospacing="0"/>
              <w:rPr>
                <w:sz w:val="20"/>
                <w:szCs w:val="20"/>
              </w:rPr>
            </w:pPr>
            <w:r>
              <w:rPr>
                <w:sz w:val="20"/>
                <w:szCs w:val="20"/>
              </w:rPr>
              <w:t> </w:t>
            </w:r>
          </w:p>
        </w:tc>
      </w:tr>
      <w:tr w:rsidR="00000000" w14:paraId="4F23B33D" w14:textId="77777777">
        <w:trPr>
          <w:divId w:val="98525094"/>
          <w:trHeight w:val="225"/>
          <w:tblCellSpacing w:w="15" w:type="dxa"/>
        </w:trPr>
        <w:tc>
          <w:tcPr>
            <w:tcW w:w="0" w:type="auto"/>
            <w:vAlign w:val="center"/>
            <w:hideMark/>
          </w:tcPr>
          <w:p w14:paraId="28EE89AB"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22431D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21992BAC"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0C2D372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DA9D2EC"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370D75F6" w14:textId="77777777" w:rsidR="00000000" w:rsidRDefault="00EB4933">
            <w:pPr>
              <w:pStyle w:val="NormalWeb"/>
              <w:spacing w:before="0" w:beforeAutospacing="0" w:after="0" w:afterAutospacing="0"/>
              <w:ind w:left="-105"/>
              <w:jc w:val="center"/>
              <w:rPr>
                <w:sz w:val="20"/>
                <w:szCs w:val="20"/>
              </w:rPr>
            </w:pPr>
            <w:r>
              <w:rPr>
                <w:rStyle w:val="Strong"/>
                <w:sz w:val="20"/>
                <w:szCs w:val="20"/>
              </w:rPr>
              <w:t>RMB’000</w:t>
            </w:r>
          </w:p>
        </w:tc>
        <w:tc>
          <w:tcPr>
            <w:tcW w:w="0" w:type="auto"/>
            <w:noWrap/>
            <w:vAlign w:val="center"/>
            <w:hideMark/>
          </w:tcPr>
          <w:p w14:paraId="1A732A1F" w14:textId="77777777" w:rsidR="00000000" w:rsidRDefault="00EB4933">
            <w:pPr>
              <w:pStyle w:val="NormalWeb"/>
              <w:spacing w:before="0" w:beforeAutospacing="0" w:after="0" w:afterAutospacing="0"/>
              <w:rPr>
                <w:sz w:val="20"/>
                <w:szCs w:val="20"/>
              </w:rPr>
            </w:pPr>
            <w:r>
              <w:rPr>
                <w:sz w:val="20"/>
                <w:szCs w:val="20"/>
              </w:rPr>
              <w:t> </w:t>
            </w:r>
          </w:p>
        </w:tc>
      </w:tr>
      <w:tr w:rsidR="00000000" w14:paraId="79A65EF0" w14:textId="77777777">
        <w:trPr>
          <w:divId w:val="98525094"/>
          <w:trHeight w:val="225"/>
          <w:tblCellSpacing w:w="15" w:type="dxa"/>
        </w:trPr>
        <w:tc>
          <w:tcPr>
            <w:tcW w:w="0" w:type="auto"/>
            <w:vAlign w:val="center"/>
            <w:hideMark/>
          </w:tcPr>
          <w:p w14:paraId="27A00C0B"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1FAD684"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4F045B98"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53AC7A8"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B0A786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0BB9274A"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924F3B5" w14:textId="77777777" w:rsidR="00000000" w:rsidRDefault="00EB4933">
            <w:pPr>
              <w:pStyle w:val="NormalWeb"/>
              <w:spacing w:before="0" w:beforeAutospacing="0" w:after="0" w:afterAutospacing="0"/>
              <w:rPr>
                <w:sz w:val="20"/>
                <w:szCs w:val="20"/>
              </w:rPr>
            </w:pPr>
            <w:r>
              <w:rPr>
                <w:sz w:val="20"/>
                <w:szCs w:val="20"/>
              </w:rPr>
              <w:t> </w:t>
            </w:r>
          </w:p>
        </w:tc>
      </w:tr>
      <w:tr w:rsidR="00000000" w14:paraId="7B0C7363" w14:textId="77777777">
        <w:trPr>
          <w:divId w:val="98525094"/>
          <w:trHeight w:val="225"/>
          <w:tblCellSpacing w:w="15" w:type="dxa"/>
        </w:trPr>
        <w:tc>
          <w:tcPr>
            <w:tcW w:w="0" w:type="auto"/>
            <w:shd w:val="clear" w:color="auto" w:fill="CCEEFF"/>
            <w:hideMark/>
          </w:tcPr>
          <w:p w14:paraId="7E950483" w14:textId="77777777" w:rsidR="00000000" w:rsidRDefault="00EB4933">
            <w:pPr>
              <w:pStyle w:val="NormalWeb"/>
              <w:spacing w:before="0" w:beforeAutospacing="0" w:after="0" w:afterAutospacing="0"/>
              <w:rPr>
                <w:sz w:val="20"/>
                <w:szCs w:val="20"/>
              </w:rPr>
            </w:pPr>
            <w:r>
              <w:rPr>
                <w:sz w:val="20"/>
                <w:szCs w:val="20"/>
              </w:rPr>
              <w:t>Credit impairment losses as at January 1</w:t>
            </w:r>
          </w:p>
        </w:tc>
        <w:tc>
          <w:tcPr>
            <w:tcW w:w="50" w:type="pct"/>
            <w:shd w:val="clear" w:color="auto" w:fill="CCEEFF"/>
            <w:noWrap/>
            <w:vAlign w:val="center"/>
            <w:hideMark/>
          </w:tcPr>
          <w:p w14:paraId="35DB020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E900A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ECA34FF" w14:textId="77777777" w:rsidR="00000000" w:rsidRDefault="00EB4933">
            <w:pPr>
              <w:jc w:val="right"/>
              <w:rPr>
                <w:rFonts w:eastAsia="Times New Roman"/>
                <w:sz w:val="20"/>
                <w:szCs w:val="20"/>
              </w:rPr>
            </w:pPr>
            <w:r>
              <w:rPr>
                <w:rFonts w:eastAsia="Times New Roman"/>
                <w:sz w:val="20"/>
                <w:szCs w:val="20"/>
              </w:rPr>
              <w:t>508</w:t>
            </w:r>
          </w:p>
        </w:tc>
        <w:tc>
          <w:tcPr>
            <w:tcW w:w="50" w:type="pct"/>
            <w:shd w:val="clear" w:color="auto" w:fill="CCEEFF"/>
            <w:noWrap/>
            <w:vAlign w:val="center"/>
            <w:hideMark/>
          </w:tcPr>
          <w:p w14:paraId="0E5FF4E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43FD3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560E0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1643333" w14:textId="77777777" w:rsidR="00000000" w:rsidRDefault="00EB4933">
            <w:pPr>
              <w:jc w:val="right"/>
              <w:rPr>
                <w:rFonts w:eastAsia="Times New Roman"/>
                <w:sz w:val="20"/>
                <w:szCs w:val="20"/>
              </w:rPr>
            </w:pPr>
            <w:r>
              <w:rPr>
                <w:rFonts w:eastAsia="Times New Roman"/>
                <w:sz w:val="20"/>
                <w:szCs w:val="20"/>
              </w:rPr>
              <w:t>1,782</w:t>
            </w:r>
          </w:p>
        </w:tc>
        <w:tc>
          <w:tcPr>
            <w:tcW w:w="50" w:type="pct"/>
            <w:shd w:val="clear" w:color="auto" w:fill="CCEEFF"/>
            <w:noWrap/>
            <w:vAlign w:val="center"/>
            <w:hideMark/>
          </w:tcPr>
          <w:p w14:paraId="5C0D0883" w14:textId="77777777" w:rsidR="00000000" w:rsidRDefault="00EB4933">
            <w:pPr>
              <w:pStyle w:val="NormalWeb"/>
              <w:spacing w:before="0" w:beforeAutospacing="0" w:after="0" w:afterAutospacing="0"/>
              <w:rPr>
                <w:sz w:val="20"/>
                <w:szCs w:val="20"/>
              </w:rPr>
            </w:pPr>
            <w:r>
              <w:rPr>
                <w:sz w:val="20"/>
                <w:szCs w:val="20"/>
              </w:rPr>
              <w:t> </w:t>
            </w:r>
          </w:p>
        </w:tc>
      </w:tr>
      <w:tr w:rsidR="00000000" w14:paraId="550C44D7" w14:textId="77777777">
        <w:trPr>
          <w:divId w:val="98525094"/>
          <w:trHeight w:val="225"/>
          <w:tblCellSpacing w:w="15" w:type="dxa"/>
        </w:trPr>
        <w:tc>
          <w:tcPr>
            <w:tcW w:w="0" w:type="auto"/>
            <w:shd w:val="clear" w:color="auto" w:fill="FFFFFF"/>
            <w:hideMark/>
          </w:tcPr>
          <w:p w14:paraId="27B38917" w14:textId="77777777" w:rsidR="00000000" w:rsidRDefault="00EB4933">
            <w:pPr>
              <w:pStyle w:val="NormalWeb"/>
              <w:spacing w:before="0" w:beforeAutospacing="0" w:after="0" w:afterAutospacing="0"/>
              <w:rPr>
                <w:sz w:val="20"/>
                <w:szCs w:val="20"/>
              </w:rPr>
            </w:pPr>
            <w:r>
              <w:rPr>
                <w:sz w:val="20"/>
                <w:szCs w:val="20"/>
              </w:rPr>
              <w:t>Changes on initial application of IFRS 9</w:t>
            </w:r>
          </w:p>
        </w:tc>
        <w:tc>
          <w:tcPr>
            <w:tcW w:w="50" w:type="pct"/>
            <w:shd w:val="clear" w:color="auto" w:fill="FFFFFF"/>
            <w:noWrap/>
            <w:vAlign w:val="center"/>
            <w:hideMark/>
          </w:tcPr>
          <w:p w14:paraId="2D9EEF0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44B7C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84C58FC" w14:textId="77777777" w:rsidR="00000000" w:rsidRDefault="00EB4933">
            <w:pPr>
              <w:jc w:val="right"/>
              <w:rPr>
                <w:rFonts w:eastAsia="Times New Roman"/>
                <w:sz w:val="20"/>
                <w:szCs w:val="20"/>
              </w:rPr>
            </w:pPr>
            <w:r>
              <w:rPr>
                <w:rFonts w:eastAsia="Times New Roman"/>
                <w:sz w:val="20"/>
                <w:szCs w:val="20"/>
              </w:rPr>
              <w:t>1,944</w:t>
            </w:r>
          </w:p>
        </w:tc>
        <w:tc>
          <w:tcPr>
            <w:tcW w:w="50" w:type="pct"/>
            <w:shd w:val="clear" w:color="auto" w:fill="FFFFFF"/>
            <w:noWrap/>
            <w:vAlign w:val="center"/>
            <w:hideMark/>
          </w:tcPr>
          <w:p w14:paraId="23FEC51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DCD64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146AF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8580FD8"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564BF51" w14:textId="77777777" w:rsidR="00000000" w:rsidRDefault="00EB4933">
            <w:pPr>
              <w:pStyle w:val="NormalWeb"/>
              <w:spacing w:before="0" w:beforeAutospacing="0" w:after="0" w:afterAutospacing="0"/>
              <w:rPr>
                <w:sz w:val="20"/>
                <w:szCs w:val="20"/>
              </w:rPr>
            </w:pPr>
            <w:r>
              <w:rPr>
                <w:sz w:val="20"/>
                <w:szCs w:val="20"/>
              </w:rPr>
              <w:t> </w:t>
            </w:r>
          </w:p>
        </w:tc>
      </w:tr>
      <w:tr w:rsidR="00000000" w14:paraId="7F745562" w14:textId="77777777">
        <w:trPr>
          <w:divId w:val="98525094"/>
          <w:trHeight w:val="225"/>
          <w:tblCellSpacing w:w="15" w:type="dxa"/>
        </w:trPr>
        <w:tc>
          <w:tcPr>
            <w:tcW w:w="0" w:type="auto"/>
            <w:shd w:val="clear" w:color="auto" w:fill="CCEEFF"/>
            <w:hideMark/>
          </w:tcPr>
          <w:p w14:paraId="52B9D1B5" w14:textId="77777777" w:rsidR="00000000" w:rsidRDefault="00EB4933">
            <w:pPr>
              <w:pStyle w:val="NormalWeb"/>
              <w:spacing w:before="0" w:beforeAutospacing="0" w:after="0" w:afterAutospacing="0"/>
              <w:rPr>
                <w:sz w:val="20"/>
                <w:szCs w:val="20"/>
              </w:rPr>
            </w:pPr>
            <w:r>
              <w:rPr>
                <w:sz w:val="20"/>
                <w:szCs w:val="20"/>
              </w:rPr>
              <w:t xml:space="preserve">Transfer to loans receivable credit impairment losses </w:t>
            </w:r>
          </w:p>
        </w:tc>
        <w:tc>
          <w:tcPr>
            <w:tcW w:w="50" w:type="pct"/>
            <w:shd w:val="clear" w:color="auto" w:fill="CCEEFF"/>
            <w:noWrap/>
            <w:vAlign w:val="center"/>
            <w:hideMark/>
          </w:tcPr>
          <w:p w14:paraId="3DAEF24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B9192B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AB6592A" w14:textId="77777777" w:rsidR="00000000" w:rsidRDefault="00EB4933">
            <w:pPr>
              <w:jc w:val="right"/>
              <w:rPr>
                <w:rFonts w:eastAsia="Times New Roman"/>
                <w:sz w:val="20"/>
                <w:szCs w:val="20"/>
              </w:rPr>
            </w:pPr>
            <w:r>
              <w:rPr>
                <w:rFonts w:eastAsia="Times New Roman"/>
                <w:sz w:val="20"/>
                <w:szCs w:val="20"/>
              </w:rPr>
              <w:t>(670</w:t>
            </w:r>
          </w:p>
        </w:tc>
        <w:tc>
          <w:tcPr>
            <w:tcW w:w="50" w:type="pct"/>
            <w:shd w:val="clear" w:color="auto" w:fill="CCEEFF"/>
            <w:noWrap/>
            <w:tcMar>
              <w:top w:w="0" w:type="dxa"/>
              <w:left w:w="0" w:type="dxa"/>
              <w:bottom w:w="15" w:type="dxa"/>
              <w:right w:w="0" w:type="dxa"/>
            </w:tcMar>
            <w:vAlign w:val="bottom"/>
            <w:hideMark/>
          </w:tcPr>
          <w:p w14:paraId="60875C46"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3EBD63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9863F0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E2C7563" w14:textId="77777777" w:rsidR="00000000" w:rsidRDefault="00EB4933">
            <w:pPr>
              <w:jc w:val="right"/>
              <w:rPr>
                <w:rFonts w:eastAsia="Times New Roman"/>
                <w:sz w:val="20"/>
                <w:szCs w:val="20"/>
              </w:rPr>
            </w:pPr>
            <w:r>
              <w:rPr>
                <w:rFonts w:eastAsia="Times New Roman"/>
                <w:sz w:val="20"/>
                <w:szCs w:val="20"/>
              </w:rPr>
              <w:t>(1,782</w:t>
            </w:r>
          </w:p>
        </w:tc>
        <w:tc>
          <w:tcPr>
            <w:tcW w:w="50" w:type="pct"/>
            <w:shd w:val="clear" w:color="auto" w:fill="CCEEFF"/>
            <w:noWrap/>
            <w:tcMar>
              <w:top w:w="0" w:type="dxa"/>
              <w:left w:w="0" w:type="dxa"/>
              <w:bottom w:w="15" w:type="dxa"/>
              <w:right w:w="0" w:type="dxa"/>
            </w:tcMar>
            <w:vAlign w:val="bottom"/>
            <w:hideMark/>
          </w:tcPr>
          <w:p w14:paraId="4AA0373F" w14:textId="77777777" w:rsidR="00000000" w:rsidRDefault="00EB4933">
            <w:pPr>
              <w:rPr>
                <w:rFonts w:eastAsia="Times New Roman"/>
                <w:sz w:val="20"/>
                <w:szCs w:val="20"/>
              </w:rPr>
            </w:pPr>
            <w:r>
              <w:rPr>
                <w:rFonts w:eastAsia="Times New Roman"/>
                <w:sz w:val="20"/>
                <w:szCs w:val="20"/>
              </w:rPr>
              <w:t>)</w:t>
            </w:r>
          </w:p>
        </w:tc>
      </w:tr>
      <w:tr w:rsidR="00000000" w14:paraId="70B1D2B7" w14:textId="77777777">
        <w:trPr>
          <w:divId w:val="98525094"/>
          <w:trHeight w:val="225"/>
          <w:tblCellSpacing w:w="15" w:type="dxa"/>
        </w:trPr>
        <w:tc>
          <w:tcPr>
            <w:tcW w:w="0" w:type="auto"/>
            <w:shd w:val="clear" w:color="auto" w:fill="FFFFFF"/>
            <w:hideMark/>
          </w:tcPr>
          <w:p w14:paraId="2CFC8737" w14:textId="77777777" w:rsidR="00000000" w:rsidRDefault="00EB4933">
            <w:pPr>
              <w:pStyle w:val="NormalWeb"/>
              <w:spacing w:before="0" w:beforeAutospacing="0" w:after="0" w:afterAutospacing="0"/>
              <w:rPr>
                <w:sz w:val="20"/>
                <w:szCs w:val="20"/>
              </w:rPr>
            </w:pPr>
            <w:r>
              <w:rPr>
                <w:sz w:val="20"/>
                <w:szCs w:val="20"/>
              </w:rPr>
              <w:t>Credit impairment losses as at December 31</w:t>
            </w:r>
          </w:p>
        </w:tc>
        <w:tc>
          <w:tcPr>
            <w:tcW w:w="50" w:type="pct"/>
            <w:shd w:val="clear" w:color="auto" w:fill="FFFFFF"/>
            <w:noWrap/>
            <w:vAlign w:val="center"/>
            <w:hideMark/>
          </w:tcPr>
          <w:p w14:paraId="6EDC112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0B8A427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52254FB6" w14:textId="77777777" w:rsidR="00000000" w:rsidRDefault="00EB4933">
            <w:pPr>
              <w:jc w:val="right"/>
              <w:rPr>
                <w:rFonts w:eastAsia="Times New Roman"/>
                <w:sz w:val="20"/>
                <w:szCs w:val="20"/>
              </w:rPr>
            </w:pPr>
            <w:r>
              <w:rPr>
                <w:rFonts w:eastAsia="Times New Roman"/>
                <w:sz w:val="20"/>
                <w:szCs w:val="20"/>
              </w:rPr>
              <w:t>1,782</w:t>
            </w:r>
          </w:p>
        </w:tc>
        <w:tc>
          <w:tcPr>
            <w:tcW w:w="50" w:type="pct"/>
            <w:shd w:val="clear" w:color="auto" w:fill="FFFFFF"/>
            <w:noWrap/>
            <w:tcMar>
              <w:top w:w="0" w:type="dxa"/>
              <w:left w:w="0" w:type="dxa"/>
              <w:bottom w:w="45" w:type="dxa"/>
              <w:right w:w="0" w:type="dxa"/>
            </w:tcMar>
            <w:vAlign w:val="center"/>
            <w:hideMark/>
          </w:tcPr>
          <w:p w14:paraId="7C6FC99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9582D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6DC95BF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60DA78E9"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385D5C7C" w14:textId="77777777" w:rsidR="00000000" w:rsidRDefault="00EB4933">
            <w:pPr>
              <w:pStyle w:val="NormalWeb"/>
              <w:spacing w:before="0" w:beforeAutospacing="0" w:after="0" w:afterAutospacing="0"/>
              <w:rPr>
                <w:sz w:val="20"/>
                <w:szCs w:val="20"/>
              </w:rPr>
            </w:pPr>
            <w:r>
              <w:rPr>
                <w:sz w:val="20"/>
                <w:szCs w:val="20"/>
              </w:rPr>
              <w:t> </w:t>
            </w:r>
          </w:p>
        </w:tc>
      </w:tr>
    </w:tbl>
    <w:p w14:paraId="70EDB63B"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24593E1" w14:textId="77777777">
        <w:trPr>
          <w:divId w:val="98525094"/>
          <w:trHeight w:val="225"/>
          <w:tblCellSpacing w:w="15" w:type="dxa"/>
        </w:trPr>
        <w:tc>
          <w:tcPr>
            <w:tcW w:w="0" w:type="auto"/>
            <w:vAlign w:val="center"/>
            <w:hideMark/>
          </w:tcPr>
          <w:p w14:paraId="6A74EA18" w14:textId="77777777" w:rsidR="00000000" w:rsidRDefault="00EB4933">
            <w:pPr>
              <w:rPr>
                <w:rFonts w:eastAsia="Times New Roman"/>
                <w:sz w:val="20"/>
                <w:szCs w:val="20"/>
              </w:rPr>
            </w:pPr>
            <w:r>
              <w:rPr>
                <w:rFonts w:eastAsia="Times New Roman"/>
                <w:sz w:val="20"/>
                <w:szCs w:val="20"/>
              </w:rPr>
              <w:t> </w:t>
            </w:r>
          </w:p>
        </w:tc>
      </w:tr>
      <w:tr w:rsidR="00000000" w14:paraId="56148A73" w14:textId="77777777">
        <w:trPr>
          <w:divId w:val="98525094"/>
          <w:trHeight w:val="225"/>
          <w:tblCellSpacing w:w="15" w:type="dxa"/>
        </w:trPr>
        <w:tc>
          <w:tcPr>
            <w:tcW w:w="0" w:type="auto"/>
            <w:tcBorders>
              <w:bottom w:val="single" w:sz="6" w:space="0" w:color="000000"/>
            </w:tcBorders>
            <w:vAlign w:val="center"/>
            <w:hideMark/>
          </w:tcPr>
          <w:p w14:paraId="6246ED90" w14:textId="77777777" w:rsidR="00000000" w:rsidRDefault="00EB4933">
            <w:pPr>
              <w:jc w:val="center"/>
              <w:rPr>
                <w:rFonts w:eastAsia="Times New Roman"/>
                <w:sz w:val="20"/>
                <w:szCs w:val="20"/>
              </w:rPr>
            </w:pPr>
            <w:r>
              <w:rPr>
                <w:rFonts w:eastAsia="Times New Roman"/>
                <w:sz w:val="20"/>
                <w:szCs w:val="20"/>
              </w:rPr>
              <w:t>F-52</w:t>
            </w:r>
          </w:p>
        </w:tc>
      </w:tr>
      <w:tr w:rsidR="00000000" w14:paraId="20EDA8B0" w14:textId="77777777">
        <w:trPr>
          <w:divId w:val="98525094"/>
          <w:trHeight w:val="225"/>
          <w:tblCellSpacing w:w="15" w:type="dxa"/>
        </w:trPr>
        <w:tc>
          <w:tcPr>
            <w:tcW w:w="0" w:type="auto"/>
            <w:vAlign w:val="center"/>
            <w:hideMark/>
          </w:tcPr>
          <w:p w14:paraId="6D102F26" w14:textId="77777777" w:rsidR="00000000" w:rsidRDefault="00EB4933">
            <w:pPr>
              <w:rPr>
                <w:rFonts w:eastAsia="Times New Roman"/>
                <w:sz w:val="20"/>
                <w:szCs w:val="20"/>
              </w:rPr>
            </w:pPr>
          </w:p>
        </w:tc>
      </w:tr>
      <w:tr w:rsidR="00000000" w14:paraId="6D7F3AA4" w14:textId="77777777">
        <w:trPr>
          <w:divId w:val="98525094"/>
          <w:trHeight w:val="225"/>
          <w:tblCellSpacing w:w="15" w:type="dxa"/>
        </w:trPr>
        <w:tc>
          <w:tcPr>
            <w:tcW w:w="0" w:type="auto"/>
            <w:vAlign w:val="center"/>
            <w:hideMark/>
          </w:tcPr>
          <w:p w14:paraId="586D205B" w14:textId="77777777" w:rsidR="00000000" w:rsidRDefault="00EB4933">
            <w:pPr>
              <w:rPr>
                <w:rFonts w:eastAsia="Times New Roman"/>
                <w:sz w:val="20"/>
                <w:szCs w:val="20"/>
              </w:rPr>
            </w:pPr>
            <w:hyperlink r:id="rId269" w:anchor="finindex" w:history="1">
              <w:r>
                <w:rPr>
                  <w:rStyle w:val="Hyperlink"/>
                  <w:rFonts w:eastAsia="Times New Roman"/>
                  <w:i/>
                  <w:iCs/>
                  <w:sz w:val="20"/>
                  <w:szCs w:val="20"/>
                </w:rPr>
                <w:t>Table of Contents</w:t>
              </w:r>
            </w:hyperlink>
          </w:p>
        </w:tc>
      </w:tr>
    </w:tbl>
    <w:p w14:paraId="44F9A1E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7C44221"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7F29BC75"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7F2FD7DA"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FOR THE FINANCIAL YEAR ENDED 2017, 2018 AND 2019 </w:t>
      </w:r>
    </w:p>
    <w:p w14:paraId="6978B01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6076F57"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15. Loans receivable, net of credit impairment losses </w:t>
      </w:r>
    </w:p>
    <w:p w14:paraId="76473D6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60BD90F" w14:textId="77777777" w:rsidR="00000000" w:rsidRDefault="00EB4933">
      <w:pPr>
        <w:pStyle w:val="NormalWeb"/>
        <w:spacing w:before="0" w:beforeAutospacing="0" w:after="0" w:afterAutospacing="0"/>
        <w:ind w:left="675"/>
        <w:jc w:val="both"/>
        <w:divId w:val="98525094"/>
        <w:rPr>
          <w:sz w:val="20"/>
          <w:szCs w:val="20"/>
        </w:rPr>
      </w:pPr>
      <w:r>
        <w:rPr>
          <w:sz w:val="20"/>
          <w:szCs w:val="20"/>
        </w:rPr>
        <w:t>The total loans receivable are comprised of the following:</w:t>
      </w:r>
    </w:p>
    <w:p w14:paraId="2F92EE4A"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6354"/>
        <w:gridCol w:w="106"/>
        <w:gridCol w:w="111"/>
        <w:gridCol w:w="767"/>
        <w:gridCol w:w="107"/>
        <w:gridCol w:w="107"/>
        <w:gridCol w:w="107"/>
        <w:gridCol w:w="830"/>
        <w:gridCol w:w="122"/>
      </w:tblGrid>
      <w:tr w:rsidR="00000000" w14:paraId="0FACE797" w14:textId="77777777">
        <w:trPr>
          <w:divId w:val="98525094"/>
          <w:trHeight w:val="225"/>
          <w:tblCellSpacing w:w="15" w:type="dxa"/>
        </w:trPr>
        <w:tc>
          <w:tcPr>
            <w:tcW w:w="0" w:type="auto"/>
            <w:vAlign w:val="center"/>
            <w:hideMark/>
          </w:tcPr>
          <w:p w14:paraId="32CC5E8E"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55446F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000000"/>
            </w:tcBorders>
            <w:vAlign w:val="bottom"/>
            <w:hideMark/>
          </w:tcPr>
          <w:p w14:paraId="6D33B30B" w14:textId="77777777" w:rsidR="00000000" w:rsidRDefault="00EB4933">
            <w:pPr>
              <w:pStyle w:val="NormalWeb"/>
              <w:spacing w:before="0" w:beforeAutospacing="0" w:after="0" w:afterAutospacing="0"/>
              <w:jc w:val="center"/>
              <w:rPr>
                <w:sz w:val="20"/>
                <w:szCs w:val="20"/>
              </w:rPr>
            </w:pPr>
            <w:r>
              <w:rPr>
                <w:rStyle w:val="Strong"/>
                <w:sz w:val="20"/>
                <w:szCs w:val="20"/>
              </w:rPr>
              <w:t>As at December 31,</w:t>
            </w:r>
          </w:p>
        </w:tc>
        <w:tc>
          <w:tcPr>
            <w:tcW w:w="0" w:type="auto"/>
            <w:noWrap/>
            <w:vAlign w:val="center"/>
            <w:hideMark/>
          </w:tcPr>
          <w:p w14:paraId="73689F1C" w14:textId="77777777" w:rsidR="00000000" w:rsidRDefault="00EB4933">
            <w:pPr>
              <w:pStyle w:val="NormalWeb"/>
              <w:spacing w:before="0" w:beforeAutospacing="0" w:after="0" w:afterAutospacing="0"/>
              <w:rPr>
                <w:sz w:val="20"/>
                <w:szCs w:val="20"/>
              </w:rPr>
            </w:pPr>
            <w:r>
              <w:rPr>
                <w:sz w:val="20"/>
                <w:szCs w:val="20"/>
              </w:rPr>
              <w:t> </w:t>
            </w:r>
          </w:p>
        </w:tc>
      </w:tr>
      <w:tr w:rsidR="00000000" w14:paraId="00511DBD" w14:textId="77777777">
        <w:trPr>
          <w:divId w:val="98525094"/>
          <w:trHeight w:val="225"/>
          <w:tblCellSpacing w:w="15" w:type="dxa"/>
        </w:trPr>
        <w:tc>
          <w:tcPr>
            <w:tcW w:w="0" w:type="auto"/>
            <w:vAlign w:val="center"/>
            <w:hideMark/>
          </w:tcPr>
          <w:p w14:paraId="773D4D6A"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5CFD93E"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11CDCB36"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vAlign w:val="center"/>
            <w:hideMark/>
          </w:tcPr>
          <w:p w14:paraId="1EF98620"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59B333E"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0E09C584"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27EB1353" w14:textId="77777777" w:rsidR="00000000" w:rsidRDefault="00EB4933">
            <w:pPr>
              <w:pStyle w:val="NormalWeb"/>
              <w:spacing w:before="0" w:beforeAutospacing="0" w:after="0" w:afterAutospacing="0"/>
              <w:rPr>
                <w:sz w:val="20"/>
                <w:szCs w:val="20"/>
              </w:rPr>
            </w:pPr>
            <w:r>
              <w:rPr>
                <w:sz w:val="20"/>
                <w:szCs w:val="20"/>
              </w:rPr>
              <w:t> </w:t>
            </w:r>
          </w:p>
        </w:tc>
      </w:tr>
      <w:tr w:rsidR="00000000" w14:paraId="442E603C" w14:textId="77777777">
        <w:trPr>
          <w:divId w:val="98525094"/>
          <w:trHeight w:val="225"/>
          <w:tblCellSpacing w:w="15" w:type="dxa"/>
        </w:trPr>
        <w:tc>
          <w:tcPr>
            <w:tcW w:w="0" w:type="auto"/>
            <w:vAlign w:val="center"/>
            <w:hideMark/>
          </w:tcPr>
          <w:p w14:paraId="42EE932F"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5913C6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3FC72AD6"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56C33167"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94B1835"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70EC7049"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399C81DA" w14:textId="77777777" w:rsidR="00000000" w:rsidRDefault="00EB4933">
            <w:pPr>
              <w:pStyle w:val="NormalWeb"/>
              <w:spacing w:before="0" w:beforeAutospacing="0" w:after="0" w:afterAutospacing="0"/>
              <w:rPr>
                <w:sz w:val="20"/>
                <w:szCs w:val="20"/>
              </w:rPr>
            </w:pPr>
            <w:r>
              <w:rPr>
                <w:sz w:val="20"/>
                <w:szCs w:val="20"/>
              </w:rPr>
              <w:t> </w:t>
            </w:r>
          </w:p>
        </w:tc>
      </w:tr>
      <w:tr w:rsidR="00000000" w14:paraId="31E64CB8" w14:textId="77777777">
        <w:trPr>
          <w:divId w:val="98525094"/>
          <w:trHeight w:val="225"/>
          <w:tblCellSpacing w:w="15" w:type="dxa"/>
        </w:trPr>
        <w:tc>
          <w:tcPr>
            <w:tcW w:w="0" w:type="auto"/>
            <w:vAlign w:val="center"/>
            <w:hideMark/>
          </w:tcPr>
          <w:p w14:paraId="422EC80C"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7BD3D91"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51EFA8E9"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22FC630"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DD30D95"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4BCE792"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E0C88BB" w14:textId="77777777" w:rsidR="00000000" w:rsidRDefault="00EB4933">
            <w:pPr>
              <w:pStyle w:val="NormalWeb"/>
              <w:spacing w:before="0" w:beforeAutospacing="0" w:after="0" w:afterAutospacing="0"/>
              <w:rPr>
                <w:sz w:val="20"/>
                <w:szCs w:val="20"/>
              </w:rPr>
            </w:pPr>
            <w:r>
              <w:rPr>
                <w:sz w:val="20"/>
                <w:szCs w:val="20"/>
              </w:rPr>
              <w:t> </w:t>
            </w:r>
          </w:p>
        </w:tc>
      </w:tr>
      <w:tr w:rsidR="00000000" w14:paraId="0C6EFB12" w14:textId="77777777">
        <w:trPr>
          <w:divId w:val="98525094"/>
          <w:trHeight w:val="225"/>
          <w:tblCellSpacing w:w="15" w:type="dxa"/>
        </w:trPr>
        <w:tc>
          <w:tcPr>
            <w:tcW w:w="0" w:type="auto"/>
            <w:shd w:val="clear" w:color="auto" w:fill="CCEEFF"/>
            <w:hideMark/>
          </w:tcPr>
          <w:p w14:paraId="6B1A0010" w14:textId="77777777" w:rsidR="00000000" w:rsidRDefault="00EB4933">
            <w:pPr>
              <w:pStyle w:val="NormalWeb"/>
              <w:spacing w:before="0" w:beforeAutospacing="0" w:after="0" w:afterAutospacing="0"/>
              <w:rPr>
                <w:sz w:val="20"/>
                <w:szCs w:val="20"/>
              </w:rPr>
            </w:pPr>
            <w:r>
              <w:rPr>
                <w:sz w:val="20"/>
                <w:szCs w:val="20"/>
              </w:rPr>
              <w:lastRenderedPageBreak/>
              <w:t>Loans receivable at amortized cost</w:t>
            </w:r>
            <w:r>
              <w:rPr>
                <w:sz w:val="20"/>
                <w:szCs w:val="20"/>
                <w:vertAlign w:val="superscript"/>
              </w:rPr>
              <w:t>(1)</w:t>
            </w:r>
          </w:p>
        </w:tc>
        <w:tc>
          <w:tcPr>
            <w:tcW w:w="50" w:type="pct"/>
            <w:shd w:val="clear" w:color="auto" w:fill="CCEEFF"/>
            <w:noWrap/>
            <w:vAlign w:val="center"/>
            <w:hideMark/>
          </w:tcPr>
          <w:p w14:paraId="5F81621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9DFFE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56FF793" w14:textId="77777777" w:rsidR="00000000" w:rsidRDefault="00EB4933">
            <w:pPr>
              <w:jc w:val="right"/>
              <w:rPr>
                <w:rFonts w:eastAsia="Times New Roman"/>
                <w:sz w:val="20"/>
                <w:szCs w:val="20"/>
              </w:rPr>
            </w:pPr>
            <w:r>
              <w:rPr>
                <w:rFonts w:eastAsia="Times New Roman"/>
                <w:sz w:val="20"/>
                <w:szCs w:val="20"/>
              </w:rPr>
              <w:t>823,770</w:t>
            </w:r>
          </w:p>
        </w:tc>
        <w:tc>
          <w:tcPr>
            <w:tcW w:w="50" w:type="pct"/>
            <w:shd w:val="clear" w:color="auto" w:fill="CCEEFF"/>
            <w:noWrap/>
            <w:vAlign w:val="center"/>
            <w:hideMark/>
          </w:tcPr>
          <w:p w14:paraId="5379790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24D07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5ED30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9D387F1" w14:textId="77777777" w:rsidR="00000000" w:rsidRDefault="00EB4933">
            <w:pPr>
              <w:jc w:val="right"/>
              <w:rPr>
                <w:rFonts w:eastAsia="Times New Roman"/>
                <w:sz w:val="20"/>
                <w:szCs w:val="20"/>
              </w:rPr>
            </w:pPr>
            <w:r>
              <w:rPr>
                <w:rFonts w:eastAsia="Times New Roman"/>
                <w:sz w:val="20"/>
                <w:szCs w:val="20"/>
              </w:rPr>
              <w:t>765,034</w:t>
            </w:r>
          </w:p>
        </w:tc>
        <w:tc>
          <w:tcPr>
            <w:tcW w:w="50" w:type="pct"/>
            <w:shd w:val="clear" w:color="auto" w:fill="CCEEFF"/>
            <w:noWrap/>
            <w:vAlign w:val="center"/>
            <w:hideMark/>
          </w:tcPr>
          <w:p w14:paraId="031309E3" w14:textId="77777777" w:rsidR="00000000" w:rsidRDefault="00EB4933">
            <w:pPr>
              <w:pStyle w:val="NormalWeb"/>
              <w:spacing w:before="0" w:beforeAutospacing="0" w:after="0" w:afterAutospacing="0"/>
              <w:rPr>
                <w:sz w:val="20"/>
                <w:szCs w:val="20"/>
              </w:rPr>
            </w:pPr>
            <w:r>
              <w:rPr>
                <w:sz w:val="20"/>
                <w:szCs w:val="20"/>
              </w:rPr>
              <w:t> </w:t>
            </w:r>
          </w:p>
        </w:tc>
      </w:tr>
      <w:tr w:rsidR="00000000" w14:paraId="5BE0E6E6" w14:textId="77777777">
        <w:trPr>
          <w:divId w:val="98525094"/>
          <w:trHeight w:val="225"/>
          <w:tblCellSpacing w:w="15" w:type="dxa"/>
        </w:trPr>
        <w:tc>
          <w:tcPr>
            <w:tcW w:w="0" w:type="auto"/>
            <w:shd w:val="clear" w:color="auto" w:fill="FFFFFF"/>
            <w:hideMark/>
          </w:tcPr>
          <w:p w14:paraId="18A29E76" w14:textId="77777777" w:rsidR="00000000" w:rsidRDefault="00EB4933">
            <w:pPr>
              <w:pStyle w:val="NormalWeb"/>
              <w:spacing w:before="0" w:beforeAutospacing="0" w:after="0" w:afterAutospacing="0"/>
              <w:rPr>
                <w:sz w:val="20"/>
                <w:szCs w:val="20"/>
              </w:rPr>
            </w:pPr>
            <w:r>
              <w:rPr>
                <w:sz w:val="20"/>
                <w:szCs w:val="20"/>
              </w:rPr>
              <w:t>Accrued interest</w:t>
            </w:r>
          </w:p>
        </w:tc>
        <w:tc>
          <w:tcPr>
            <w:tcW w:w="50" w:type="pct"/>
            <w:shd w:val="clear" w:color="auto" w:fill="FFFFFF"/>
            <w:noWrap/>
            <w:vAlign w:val="center"/>
            <w:hideMark/>
          </w:tcPr>
          <w:p w14:paraId="31A5D2D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195BB9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8494969" w14:textId="77777777" w:rsidR="00000000" w:rsidRDefault="00EB4933">
            <w:pPr>
              <w:jc w:val="right"/>
              <w:rPr>
                <w:rFonts w:eastAsia="Times New Roman"/>
                <w:sz w:val="20"/>
                <w:szCs w:val="20"/>
              </w:rPr>
            </w:pPr>
            <w:r>
              <w:rPr>
                <w:rFonts w:eastAsia="Times New Roman"/>
                <w:sz w:val="20"/>
                <w:szCs w:val="20"/>
              </w:rPr>
              <w:t>153,181</w:t>
            </w:r>
          </w:p>
        </w:tc>
        <w:tc>
          <w:tcPr>
            <w:tcW w:w="50" w:type="pct"/>
            <w:shd w:val="clear" w:color="auto" w:fill="FFFFFF"/>
            <w:noWrap/>
            <w:tcMar>
              <w:top w:w="0" w:type="dxa"/>
              <w:left w:w="0" w:type="dxa"/>
              <w:bottom w:w="15" w:type="dxa"/>
              <w:right w:w="0" w:type="dxa"/>
            </w:tcMar>
            <w:vAlign w:val="center"/>
            <w:hideMark/>
          </w:tcPr>
          <w:p w14:paraId="1E9204E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D20D5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F57C2F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4E036B4" w14:textId="77777777" w:rsidR="00000000" w:rsidRDefault="00EB4933">
            <w:pPr>
              <w:jc w:val="right"/>
              <w:rPr>
                <w:rFonts w:eastAsia="Times New Roman"/>
                <w:sz w:val="20"/>
                <w:szCs w:val="20"/>
              </w:rPr>
            </w:pPr>
            <w:r>
              <w:rPr>
                <w:rFonts w:eastAsia="Times New Roman"/>
                <w:sz w:val="20"/>
                <w:szCs w:val="20"/>
              </w:rPr>
              <w:t>273,923</w:t>
            </w:r>
          </w:p>
        </w:tc>
        <w:tc>
          <w:tcPr>
            <w:tcW w:w="50" w:type="pct"/>
            <w:shd w:val="clear" w:color="auto" w:fill="FFFFFF"/>
            <w:noWrap/>
            <w:tcMar>
              <w:top w:w="0" w:type="dxa"/>
              <w:left w:w="0" w:type="dxa"/>
              <w:bottom w:w="15" w:type="dxa"/>
              <w:right w:w="0" w:type="dxa"/>
            </w:tcMar>
            <w:vAlign w:val="center"/>
            <w:hideMark/>
          </w:tcPr>
          <w:p w14:paraId="389F8C94" w14:textId="77777777" w:rsidR="00000000" w:rsidRDefault="00EB4933">
            <w:pPr>
              <w:pStyle w:val="NormalWeb"/>
              <w:spacing w:before="0" w:beforeAutospacing="0" w:after="0" w:afterAutospacing="0"/>
              <w:rPr>
                <w:sz w:val="20"/>
                <w:szCs w:val="20"/>
              </w:rPr>
            </w:pPr>
            <w:r>
              <w:rPr>
                <w:sz w:val="20"/>
                <w:szCs w:val="20"/>
              </w:rPr>
              <w:t> </w:t>
            </w:r>
          </w:p>
        </w:tc>
      </w:tr>
      <w:tr w:rsidR="00000000" w14:paraId="31C812AF" w14:textId="77777777">
        <w:trPr>
          <w:divId w:val="98525094"/>
          <w:trHeight w:val="225"/>
          <w:tblCellSpacing w:w="15" w:type="dxa"/>
        </w:trPr>
        <w:tc>
          <w:tcPr>
            <w:tcW w:w="0" w:type="auto"/>
            <w:shd w:val="clear" w:color="auto" w:fill="CCEEFF"/>
            <w:hideMark/>
          </w:tcPr>
          <w:p w14:paraId="5E06FD4A" w14:textId="77777777" w:rsidR="00000000" w:rsidRDefault="00EB4933">
            <w:pPr>
              <w:pStyle w:val="NormalWeb"/>
              <w:spacing w:before="0" w:beforeAutospacing="0" w:after="0" w:afterAutospacing="0"/>
              <w:rPr>
                <w:sz w:val="20"/>
                <w:szCs w:val="20"/>
              </w:rPr>
            </w:pPr>
            <w:r>
              <w:rPr>
                <w:sz w:val="20"/>
                <w:szCs w:val="20"/>
              </w:rPr>
              <w:t>Gross loans receivable</w:t>
            </w:r>
          </w:p>
        </w:tc>
        <w:tc>
          <w:tcPr>
            <w:tcW w:w="50" w:type="pct"/>
            <w:shd w:val="clear" w:color="auto" w:fill="CCEEFF"/>
            <w:noWrap/>
            <w:vAlign w:val="center"/>
            <w:hideMark/>
          </w:tcPr>
          <w:p w14:paraId="4D2FE3C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418E8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B06817B" w14:textId="77777777" w:rsidR="00000000" w:rsidRDefault="00EB4933">
            <w:pPr>
              <w:jc w:val="right"/>
              <w:rPr>
                <w:rFonts w:eastAsia="Times New Roman"/>
                <w:sz w:val="20"/>
                <w:szCs w:val="20"/>
              </w:rPr>
            </w:pPr>
            <w:r>
              <w:rPr>
                <w:rFonts w:eastAsia="Times New Roman"/>
                <w:sz w:val="20"/>
                <w:szCs w:val="20"/>
              </w:rPr>
              <w:t>976,951</w:t>
            </w:r>
          </w:p>
        </w:tc>
        <w:tc>
          <w:tcPr>
            <w:tcW w:w="50" w:type="pct"/>
            <w:shd w:val="clear" w:color="auto" w:fill="CCEEFF"/>
            <w:noWrap/>
            <w:vAlign w:val="center"/>
            <w:hideMark/>
          </w:tcPr>
          <w:p w14:paraId="13A1FF6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CF392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D166B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C5F3003" w14:textId="77777777" w:rsidR="00000000" w:rsidRDefault="00EB4933">
            <w:pPr>
              <w:jc w:val="right"/>
              <w:rPr>
                <w:rFonts w:eastAsia="Times New Roman"/>
                <w:sz w:val="20"/>
                <w:szCs w:val="20"/>
              </w:rPr>
            </w:pPr>
            <w:r>
              <w:rPr>
                <w:rFonts w:eastAsia="Times New Roman"/>
                <w:sz w:val="20"/>
                <w:szCs w:val="20"/>
              </w:rPr>
              <w:t>1,038,957</w:t>
            </w:r>
          </w:p>
        </w:tc>
        <w:tc>
          <w:tcPr>
            <w:tcW w:w="50" w:type="pct"/>
            <w:shd w:val="clear" w:color="auto" w:fill="CCEEFF"/>
            <w:noWrap/>
            <w:vAlign w:val="center"/>
            <w:hideMark/>
          </w:tcPr>
          <w:p w14:paraId="3AC1A447" w14:textId="77777777" w:rsidR="00000000" w:rsidRDefault="00EB4933">
            <w:pPr>
              <w:pStyle w:val="NormalWeb"/>
              <w:spacing w:before="0" w:beforeAutospacing="0" w:after="0" w:afterAutospacing="0"/>
              <w:rPr>
                <w:sz w:val="20"/>
                <w:szCs w:val="20"/>
              </w:rPr>
            </w:pPr>
            <w:r>
              <w:rPr>
                <w:sz w:val="20"/>
                <w:szCs w:val="20"/>
              </w:rPr>
              <w:t> </w:t>
            </w:r>
          </w:p>
        </w:tc>
      </w:tr>
      <w:tr w:rsidR="00000000" w14:paraId="4EDFD7C0" w14:textId="77777777">
        <w:trPr>
          <w:divId w:val="98525094"/>
          <w:trHeight w:val="225"/>
          <w:tblCellSpacing w:w="15" w:type="dxa"/>
        </w:trPr>
        <w:tc>
          <w:tcPr>
            <w:tcW w:w="0" w:type="auto"/>
            <w:shd w:val="clear" w:color="auto" w:fill="FFFFFF"/>
            <w:hideMark/>
          </w:tcPr>
          <w:p w14:paraId="638183B6" w14:textId="77777777" w:rsidR="00000000" w:rsidRDefault="00EB4933">
            <w:pPr>
              <w:pStyle w:val="NormalWeb"/>
              <w:spacing w:before="0" w:beforeAutospacing="0" w:after="0" w:afterAutospacing="0"/>
              <w:rPr>
                <w:sz w:val="20"/>
                <w:szCs w:val="20"/>
              </w:rPr>
            </w:pPr>
            <w:r>
              <w:rPr>
                <w:sz w:val="20"/>
                <w:szCs w:val="20"/>
              </w:rPr>
              <w:t>Less: Credit impairment losses</w:t>
            </w:r>
          </w:p>
        </w:tc>
        <w:tc>
          <w:tcPr>
            <w:tcW w:w="50" w:type="pct"/>
            <w:shd w:val="clear" w:color="auto" w:fill="FFFFFF"/>
            <w:noWrap/>
            <w:vAlign w:val="center"/>
            <w:hideMark/>
          </w:tcPr>
          <w:p w14:paraId="7AA6C98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B8E869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5CEA945" w14:textId="77777777" w:rsidR="00000000" w:rsidRDefault="00EB4933">
            <w:pPr>
              <w:jc w:val="right"/>
              <w:rPr>
                <w:rFonts w:eastAsia="Times New Roman"/>
                <w:sz w:val="20"/>
                <w:szCs w:val="20"/>
              </w:rPr>
            </w:pPr>
            <w:r>
              <w:rPr>
                <w:rFonts w:eastAsia="Times New Roman"/>
                <w:sz w:val="20"/>
                <w:szCs w:val="20"/>
              </w:rPr>
              <w:t>(397,297</w:t>
            </w:r>
          </w:p>
        </w:tc>
        <w:tc>
          <w:tcPr>
            <w:tcW w:w="50" w:type="pct"/>
            <w:shd w:val="clear" w:color="auto" w:fill="FFFFFF"/>
            <w:noWrap/>
            <w:tcMar>
              <w:top w:w="0" w:type="dxa"/>
              <w:left w:w="0" w:type="dxa"/>
              <w:bottom w:w="15" w:type="dxa"/>
              <w:right w:w="0" w:type="dxa"/>
            </w:tcMar>
            <w:vAlign w:val="bottom"/>
            <w:hideMark/>
          </w:tcPr>
          <w:p w14:paraId="7440A87C"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F8C96E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F851D1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0B8DB3C" w14:textId="77777777" w:rsidR="00000000" w:rsidRDefault="00EB4933">
            <w:pPr>
              <w:jc w:val="right"/>
              <w:rPr>
                <w:rFonts w:eastAsia="Times New Roman"/>
                <w:sz w:val="20"/>
                <w:szCs w:val="20"/>
              </w:rPr>
            </w:pPr>
            <w:r>
              <w:rPr>
                <w:rFonts w:eastAsia="Times New Roman"/>
                <w:sz w:val="20"/>
                <w:szCs w:val="20"/>
              </w:rPr>
              <w:t>(423,773</w:t>
            </w:r>
          </w:p>
        </w:tc>
        <w:tc>
          <w:tcPr>
            <w:tcW w:w="50" w:type="pct"/>
            <w:shd w:val="clear" w:color="auto" w:fill="FFFFFF"/>
            <w:noWrap/>
            <w:tcMar>
              <w:top w:w="0" w:type="dxa"/>
              <w:left w:w="0" w:type="dxa"/>
              <w:bottom w:w="15" w:type="dxa"/>
              <w:right w:w="0" w:type="dxa"/>
            </w:tcMar>
            <w:vAlign w:val="bottom"/>
            <w:hideMark/>
          </w:tcPr>
          <w:p w14:paraId="3EBF6058" w14:textId="77777777" w:rsidR="00000000" w:rsidRDefault="00EB4933">
            <w:pPr>
              <w:rPr>
                <w:rFonts w:eastAsia="Times New Roman"/>
                <w:sz w:val="20"/>
                <w:szCs w:val="20"/>
              </w:rPr>
            </w:pPr>
            <w:r>
              <w:rPr>
                <w:rFonts w:eastAsia="Times New Roman"/>
                <w:sz w:val="20"/>
                <w:szCs w:val="20"/>
              </w:rPr>
              <w:t>)</w:t>
            </w:r>
          </w:p>
        </w:tc>
      </w:tr>
      <w:tr w:rsidR="00000000" w14:paraId="25FAE343" w14:textId="77777777">
        <w:trPr>
          <w:divId w:val="98525094"/>
          <w:trHeight w:val="225"/>
          <w:tblCellSpacing w:w="15" w:type="dxa"/>
        </w:trPr>
        <w:tc>
          <w:tcPr>
            <w:tcW w:w="0" w:type="auto"/>
            <w:shd w:val="clear" w:color="auto" w:fill="CCEEFF"/>
            <w:hideMark/>
          </w:tcPr>
          <w:p w14:paraId="7C64BB09" w14:textId="77777777" w:rsidR="00000000" w:rsidRDefault="00EB4933">
            <w:pPr>
              <w:pStyle w:val="NormalWeb"/>
              <w:spacing w:before="0" w:beforeAutospacing="0" w:after="0" w:afterAutospacing="0"/>
              <w:rPr>
                <w:sz w:val="20"/>
                <w:szCs w:val="20"/>
              </w:rPr>
            </w:pPr>
            <w:r>
              <w:rPr>
                <w:sz w:val="20"/>
                <w:szCs w:val="20"/>
              </w:rPr>
              <w:t xml:space="preserve">Loans receivable, net of credit impairment losses </w:t>
            </w:r>
          </w:p>
        </w:tc>
        <w:tc>
          <w:tcPr>
            <w:tcW w:w="50" w:type="pct"/>
            <w:shd w:val="clear" w:color="auto" w:fill="CCEEFF"/>
            <w:noWrap/>
            <w:vAlign w:val="center"/>
            <w:hideMark/>
          </w:tcPr>
          <w:p w14:paraId="3F6843C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DFC03C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6829B9C4" w14:textId="77777777" w:rsidR="00000000" w:rsidRDefault="00EB4933">
            <w:pPr>
              <w:jc w:val="right"/>
              <w:rPr>
                <w:rFonts w:eastAsia="Times New Roman"/>
                <w:sz w:val="20"/>
                <w:szCs w:val="20"/>
              </w:rPr>
            </w:pPr>
            <w:r>
              <w:rPr>
                <w:rFonts w:eastAsia="Times New Roman"/>
                <w:sz w:val="20"/>
                <w:szCs w:val="20"/>
              </w:rPr>
              <w:t>579,654</w:t>
            </w:r>
          </w:p>
        </w:tc>
        <w:tc>
          <w:tcPr>
            <w:tcW w:w="50" w:type="pct"/>
            <w:shd w:val="clear" w:color="auto" w:fill="CCEEFF"/>
            <w:noWrap/>
            <w:tcMar>
              <w:top w:w="0" w:type="dxa"/>
              <w:left w:w="0" w:type="dxa"/>
              <w:bottom w:w="45" w:type="dxa"/>
              <w:right w:w="0" w:type="dxa"/>
            </w:tcMar>
            <w:vAlign w:val="center"/>
            <w:hideMark/>
          </w:tcPr>
          <w:p w14:paraId="23C8713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AB283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03371E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60A62254" w14:textId="77777777" w:rsidR="00000000" w:rsidRDefault="00EB4933">
            <w:pPr>
              <w:jc w:val="right"/>
              <w:rPr>
                <w:rFonts w:eastAsia="Times New Roman"/>
                <w:sz w:val="20"/>
                <w:szCs w:val="20"/>
              </w:rPr>
            </w:pPr>
            <w:r>
              <w:rPr>
                <w:rFonts w:eastAsia="Times New Roman"/>
                <w:sz w:val="20"/>
                <w:szCs w:val="20"/>
              </w:rPr>
              <w:t>615,184</w:t>
            </w:r>
          </w:p>
        </w:tc>
        <w:tc>
          <w:tcPr>
            <w:tcW w:w="50" w:type="pct"/>
            <w:shd w:val="clear" w:color="auto" w:fill="CCEEFF"/>
            <w:noWrap/>
            <w:tcMar>
              <w:top w:w="0" w:type="dxa"/>
              <w:left w:w="0" w:type="dxa"/>
              <w:bottom w:w="45" w:type="dxa"/>
              <w:right w:w="0" w:type="dxa"/>
            </w:tcMar>
            <w:vAlign w:val="center"/>
            <w:hideMark/>
          </w:tcPr>
          <w:p w14:paraId="607FE82D" w14:textId="77777777" w:rsidR="00000000" w:rsidRDefault="00EB4933">
            <w:pPr>
              <w:pStyle w:val="NormalWeb"/>
              <w:spacing w:before="0" w:beforeAutospacing="0" w:after="0" w:afterAutospacing="0"/>
              <w:rPr>
                <w:sz w:val="20"/>
                <w:szCs w:val="20"/>
              </w:rPr>
            </w:pPr>
            <w:r>
              <w:rPr>
                <w:sz w:val="20"/>
                <w:szCs w:val="20"/>
              </w:rPr>
              <w:t> </w:t>
            </w:r>
          </w:p>
        </w:tc>
      </w:tr>
    </w:tbl>
    <w:p w14:paraId="24ED3DC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C68F814" w14:textId="77777777" w:rsidR="00000000" w:rsidRDefault="00EB4933">
      <w:pPr>
        <w:pStyle w:val="NormalWeb"/>
        <w:spacing w:before="0" w:beforeAutospacing="0" w:after="0" w:afterAutospacing="0"/>
        <w:ind w:left="675"/>
        <w:jc w:val="both"/>
        <w:divId w:val="98525094"/>
        <w:rPr>
          <w:sz w:val="20"/>
          <w:szCs w:val="20"/>
        </w:rPr>
      </w:pPr>
      <w:r>
        <w:rPr>
          <w:sz w:val="20"/>
          <w:szCs w:val="20"/>
          <w:vertAlign w:val="superscript"/>
        </w:rPr>
        <w:t>(1)</w:t>
      </w:r>
      <w:r>
        <w:rPr>
          <w:sz w:val="20"/>
          <w:szCs w:val="20"/>
        </w:rPr>
        <w:t xml:space="preserve"> </w:t>
      </w:r>
      <w:r>
        <w:rPr>
          <w:sz w:val="20"/>
          <w:szCs w:val="20"/>
        </w:rPr>
        <w:t xml:space="preserve">See Note 27 of Notes to the Consolidated Financial Statements, Section 11 for detailed disclosure. </w:t>
      </w:r>
    </w:p>
    <w:p w14:paraId="2201F4DA"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401B2404" w14:textId="77777777" w:rsidR="00000000" w:rsidRDefault="00EB4933">
      <w:pPr>
        <w:pStyle w:val="NormalWeb"/>
        <w:spacing w:before="0" w:beforeAutospacing="0" w:after="0" w:afterAutospacing="0"/>
        <w:ind w:left="675"/>
        <w:jc w:val="both"/>
        <w:divId w:val="98525094"/>
        <w:rPr>
          <w:sz w:val="20"/>
          <w:szCs w:val="20"/>
        </w:rPr>
      </w:pPr>
      <w:r>
        <w:rPr>
          <w:sz w:val="20"/>
          <w:szCs w:val="20"/>
        </w:rPr>
        <w:t>The following table provides the changes in credit impairment losses between the beginning and the end of the annual period:</w:t>
      </w:r>
    </w:p>
    <w:p w14:paraId="6C41789B"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6362"/>
        <w:gridCol w:w="113"/>
        <w:gridCol w:w="113"/>
        <w:gridCol w:w="778"/>
        <w:gridCol w:w="113"/>
        <w:gridCol w:w="113"/>
        <w:gridCol w:w="113"/>
        <w:gridCol w:w="778"/>
        <w:gridCol w:w="128"/>
      </w:tblGrid>
      <w:tr w:rsidR="00000000" w14:paraId="4DA8B02E" w14:textId="77777777">
        <w:trPr>
          <w:divId w:val="98525094"/>
          <w:trHeight w:val="225"/>
          <w:tblCellSpacing w:w="15" w:type="dxa"/>
        </w:trPr>
        <w:tc>
          <w:tcPr>
            <w:tcW w:w="0" w:type="auto"/>
            <w:vAlign w:val="center"/>
            <w:hideMark/>
          </w:tcPr>
          <w:p w14:paraId="26BCB345"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036135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000000"/>
            </w:tcBorders>
            <w:vAlign w:val="bottom"/>
            <w:hideMark/>
          </w:tcPr>
          <w:p w14:paraId="2590D011" w14:textId="77777777" w:rsidR="00000000" w:rsidRDefault="00EB4933">
            <w:pPr>
              <w:pStyle w:val="NormalWeb"/>
              <w:spacing w:before="0" w:beforeAutospacing="0" w:after="0" w:afterAutospacing="0"/>
              <w:jc w:val="center"/>
              <w:rPr>
                <w:sz w:val="20"/>
                <w:szCs w:val="20"/>
              </w:rPr>
            </w:pPr>
            <w:r>
              <w:rPr>
                <w:rStyle w:val="Strong"/>
                <w:sz w:val="20"/>
                <w:szCs w:val="20"/>
              </w:rPr>
              <w:t>As at December 31,</w:t>
            </w:r>
          </w:p>
        </w:tc>
        <w:tc>
          <w:tcPr>
            <w:tcW w:w="0" w:type="auto"/>
            <w:noWrap/>
            <w:vAlign w:val="center"/>
            <w:hideMark/>
          </w:tcPr>
          <w:p w14:paraId="3F8ADF63" w14:textId="77777777" w:rsidR="00000000" w:rsidRDefault="00EB4933">
            <w:pPr>
              <w:pStyle w:val="NormalWeb"/>
              <w:spacing w:before="0" w:beforeAutospacing="0" w:after="0" w:afterAutospacing="0"/>
              <w:rPr>
                <w:sz w:val="20"/>
                <w:szCs w:val="20"/>
              </w:rPr>
            </w:pPr>
            <w:r>
              <w:rPr>
                <w:sz w:val="20"/>
                <w:szCs w:val="20"/>
              </w:rPr>
              <w:t> </w:t>
            </w:r>
          </w:p>
        </w:tc>
      </w:tr>
      <w:tr w:rsidR="00000000" w14:paraId="62EB9D0E" w14:textId="77777777">
        <w:trPr>
          <w:divId w:val="98525094"/>
          <w:trHeight w:val="225"/>
          <w:tblCellSpacing w:w="15" w:type="dxa"/>
        </w:trPr>
        <w:tc>
          <w:tcPr>
            <w:tcW w:w="0" w:type="auto"/>
            <w:vAlign w:val="center"/>
            <w:hideMark/>
          </w:tcPr>
          <w:p w14:paraId="5B7BBF08"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55C8C7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3A84B287"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vAlign w:val="center"/>
            <w:hideMark/>
          </w:tcPr>
          <w:p w14:paraId="0FC1B8F7"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5E19FFE"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0BC398F6"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69CFC5FE" w14:textId="77777777" w:rsidR="00000000" w:rsidRDefault="00EB4933">
            <w:pPr>
              <w:pStyle w:val="NormalWeb"/>
              <w:spacing w:before="0" w:beforeAutospacing="0" w:after="0" w:afterAutospacing="0"/>
              <w:rPr>
                <w:sz w:val="20"/>
                <w:szCs w:val="20"/>
              </w:rPr>
            </w:pPr>
            <w:r>
              <w:rPr>
                <w:sz w:val="20"/>
                <w:szCs w:val="20"/>
              </w:rPr>
              <w:t> </w:t>
            </w:r>
          </w:p>
        </w:tc>
      </w:tr>
      <w:tr w:rsidR="00000000" w14:paraId="407B4C14" w14:textId="77777777">
        <w:trPr>
          <w:divId w:val="98525094"/>
          <w:trHeight w:val="225"/>
          <w:tblCellSpacing w:w="15" w:type="dxa"/>
        </w:trPr>
        <w:tc>
          <w:tcPr>
            <w:tcW w:w="0" w:type="auto"/>
            <w:vAlign w:val="center"/>
            <w:hideMark/>
          </w:tcPr>
          <w:p w14:paraId="03F4FEA0"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8D9001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67E63705"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05D99688"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7709F7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06A2A40D"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287C37F4" w14:textId="77777777" w:rsidR="00000000" w:rsidRDefault="00EB4933">
            <w:pPr>
              <w:pStyle w:val="NormalWeb"/>
              <w:spacing w:before="0" w:beforeAutospacing="0" w:after="0" w:afterAutospacing="0"/>
              <w:rPr>
                <w:sz w:val="20"/>
                <w:szCs w:val="20"/>
              </w:rPr>
            </w:pPr>
            <w:r>
              <w:rPr>
                <w:sz w:val="20"/>
                <w:szCs w:val="20"/>
              </w:rPr>
              <w:t> </w:t>
            </w:r>
          </w:p>
        </w:tc>
      </w:tr>
      <w:tr w:rsidR="00000000" w14:paraId="03042853" w14:textId="77777777">
        <w:trPr>
          <w:divId w:val="98525094"/>
          <w:trHeight w:val="225"/>
          <w:tblCellSpacing w:w="15" w:type="dxa"/>
        </w:trPr>
        <w:tc>
          <w:tcPr>
            <w:tcW w:w="0" w:type="auto"/>
            <w:vAlign w:val="center"/>
            <w:hideMark/>
          </w:tcPr>
          <w:p w14:paraId="55227D32"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729D084"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0A311A45"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8C97307"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34EA29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7AC06CE5"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31E7891" w14:textId="77777777" w:rsidR="00000000" w:rsidRDefault="00EB4933">
            <w:pPr>
              <w:pStyle w:val="NormalWeb"/>
              <w:spacing w:before="0" w:beforeAutospacing="0" w:after="0" w:afterAutospacing="0"/>
              <w:rPr>
                <w:sz w:val="20"/>
                <w:szCs w:val="20"/>
              </w:rPr>
            </w:pPr>
            <w:r>
              <w:rPr>
                <w:sz w:val="20"/>
                <w:szCs w:val="20"/>
              </w:rPr>
              <w:t> </w:t>
            </w:r>
          </w:p>
        </w:tc>
      </w:tr>
      <w:tr w:rsidR="00000000" w14:paraId="45A0802E" w14:textId="77777777">
        <w:trPr>
          <w:divId w:val="98525094"/>
          <w:trHeight w:val="225"/>
          <w:tblCellSpacing w:w="15" w:type="dxa"/>
        </w:trPr>
        <w:tc>
          <w:tcPr>
            <w:tcW w:w="0" w:type="auto"/>
            <w:shd w:val="clear" w:color="auto" w:fill="CCEEFF"/>
            <w:hideMark/>
          </w:tcPr>
          <w:p w14:paraId="518B9CDE" w14:textId="77777777" w:rsidR="00000000" w:rsidRDefault="00EB4933">
            <w:pPr>
              <w:pStyle w:val="NormalWeb"/>
              <w:spacing w:before="0" w:beforeAutospacing="0" w:after="0" w:afterAutospacing="0"/>
              <w:rPr>
                <w:sz w:val="20"/>
                <w:szCs w:val="20"/>
              </w:rPr>
            </w:pPr>
            <w:r>
              <w:rPr>
                <w:sz w:val="20"/>
                <w:szCs w:val="20"/>
              </w:rPr>
              <w:t>Credit impairment losses as at January 1</w:t>
            </w:r>
          </w:p>
        </w:tc>
        <w:tc>
          <w:tcPr>
            <w:tcW w:w="50" w:type="pct"/>
            <w:shd w:val="clear" w:color="auto" w:fill="CCEEFF"/>
            <w:noWrap/>
            <w:vAlign w:val="center"/>
            <w:hideMark/>
          </w:tcPr>
          <w:p w14:paraId="740DCAA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23C5D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7691E2D" w14:textId="77777777" w:rsidR="00000000" w:rsidRDefault="00EB4933">
            <w:pPr>
              <w:jc w:val="right"/>
              <w:rPr>
                <w:rFonts w:eastAsia="Times New Roman"/>
                <w:sz w:val="20"/>
                <w:szCs w:val="20"/>
              </w:rPr>
            </w:pPr>
            <w:r>
              <w:rPr>
                <w:rFonts w:eastAsia="Times New Roman"/>
                <w:sz w:val="20"/>
                <w:szCs w:val="20"/>
              </w:rPr>
              <w:t>26,724</w:t>
            </w:r>
          </w:p>
        </w:tc>
        <w:tc>
          <w:tcPr>
            <w:tcW w:w="50" w:type="pct"/>
            <w:shd w:val="clear" w:color="auto" w:fill="CCEEFF"/>
            <w:noWrap/>
            <w:vAlign w:val="center"/>
            <w:hideMark/>
          </w:tcPr>
          <w:p w14:paraId="66B754C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3B30A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C5530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40EF268" w14:textId="77777777" w:rsidR="00000000" w:rsidRDefault="00EB4933">
            <w:pPr>
              <w:jc w:val="right"/>
              <w:rPr>
                <w:rFonts w:eastAsia="Times New Roman"/>
                <w:sz w:val="20"/>
                <w:szCs w:val="20"/>
              </w:rPr>
            </w:pPr>
            <w:r>
              <w:rPr>
                <w:rFonts w:eastAsia="Times New Roman"/>
                <w:sz w:val="20"/>
                <w:szCs w:val="20"/>
              </w:rPr>
              <w:t>397,297</w:t>
            </w:r>
          </w:p>
        </w:tc>
        <w:tc>
          <w:tcPr>
            <w:tcW w:w="50" w:type="pct"/>
            <w:shd w:val="clear" w:color="auto" w:fill="CCEEFF"/>
            <w:noWrap/>
            <w:vAlign w:val="center"/>
            <w:hideMark/>
          </w:tcPr>
          <w:p w14:paraId="5C7668D4" w14:textId="77777777" w:rsidR="00000000" w:rsidRDefault="00EB4933">
            <w:pPr>
              <w:pStyle w:val="NormalWeb"/>
              <w:spacing w:before="0" w:beforeAutospacing="0" w:after="0" w:afterAutospacing="0"/>
              <w:rPr>
                <w:sz w:val="20"/>
                <w:szCs w:val="20"/>
              </w:rPr>
            </w:pPr>
            <w:r>
              <w:rPr>
                <w:sz w:val="20"/>
                <w:szCs w:val="20"/>
              </w:rPr>
              <w:t> </w:t>
            </w:r>
          </w:p>
        </w:tc>
      </w:tr>
      <w:tr w:rsidR="00000000" w14:paraId="0DE2DFBE" w14:textId="77777777">
        <w:trPr>
          <w:divId w:val="98525094"/>
          <w:trHeight w:val="225"/>
          <w:tblCellSpacing w:w="15" w:type="dxa"/>
        </w:trPr>
        <w:tc>
          <w:tcPr>
            <w:tcW w:w="0" w:type="auto"/>
            <w:shd w:val="clear" w:color="auto" w:fill="FFFFFF"/>
            <w:hideMark/>
          </w:tcPr>
          <w:p w14:paraId="39624585" w14:textId="77777777" w:rsidR="00000000" w:rsidRDefault="00EB4933">
            <w:pPr>
              <w:pStyle w:val="NormalWeb"/>
              <w:spacing w:before="0" w:beforeAutospacing="0" w:after="0" w:afterAutospacing="0"/>
              <w:rPr>
                <w:sz w:val="20"/>
                <w:szCs w:val="20"/>
              </w:rPr>
            </w:pPr>
            <w:r>
              <w:rPr>
                <w:sz w:val="20"/>
                <w:szCs w:val="20"/>
              </w:rPr>
              <w:t>Changes on initial application of IFRS 9</w:t>
            </w:r>
          </w:p>
        </w:tc>
        <w:tc>
          <w:tcPr>
            <w:tcW w:w="50" w:type="pct"/>
            <w:shd w:val="clear" w:color="auto" w:fill="FFFFFF"/>
            <w:noWrap/>
            <w:vAlign w:val="center"/>
            <w:hideMark/>
          </w:tcPr>
          <w:p w14:paraId="0A11CCD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ED3A6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2E6BF37" w14:textId="77777777" w:rsidR="00000000" w:rsidRDefault="00EB4933">
            <w:pPr>
              <w:jc w:val="right"/>
              <w:rPr>
                <w:rFonts w:eastAsia="Times New Roman"/>
                <w:sz w:val="20"/>
                <w:szCs w:val="20"/>
              </w:rPr>
            </w:pPr>
            <w:r>
              <w:rPr>
                <w:rFonts w:eastAsia="Times New Roman"/>
                <w:sz w:val="20"/>
                <w:szCs w:val="20"/>
              </w:rPr>
              <w:t>304,238</w:t>
            </w:r>
          </w:p>
        </w:tc>
        <w:tc>
          <w:tcPr>
            <w:tcW w:w="50" w:type="pct"/>
            <w:shd w:val="clear" w:color="auto" w:fill="FFFFFF"/>
            <w:noWrap/>
            <w:vAlign w:val="center"/>
            <w:hideMark/>
          </w:tcPr>
          <w:p w14:paraId="3942582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3BB7D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08826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07EA3D3"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55F8E4D" w14:textId="77777777" w:rsidR="00000000" w:rsidRDefault="00EB4933">
            <w:pPr>
              <w:pStyle w:val="NormalWeb"/>
              <w:spacing w:before="0" w:beforeAutospacing="0" w:after="0" w:afterAutospacing="0"/>
              <w:rPr>
                <w:sz w:val="20"/>
                <w:szCs w:val="20"/>
              </w:rPr>
            </w:pPr>
            <w:r>
              <w:rPr>
                <w:sz w:val="20"/>
                <w:szCs w:val="20"/>
              </w:rPr>
              <w:t> </w:t>
            </w:r>
          </w:p>
        </w:tc>
      </w:tr>
      <w:tr w:rsidR="00000000" w14:paraId="61622472" w14:textId="77777777">
        <w:trPr>
          <w:divId w:val="98525094"/>
          <w:trHeight w:val="225"/>
          <w:tblCellSpacing w:w="15" w:type="dxa"/>
        </w:trPr>
        <w:tc>
          <w:tcPr>
            <w:tcW w:w="0" w:type="auto"/>
            <w:shd w:val="clear" w:color="auto" w:fill="CCEEFF"/>
            <w:hideMark/>
          </w:tcPr>
          <w:p w14:paraId="53AE2ABE" w14:textId="77777777" w:rsidR="00000000" w:rsidRDefault="00EB4933">
            <w:pPr>
              <w:pStyle w:val="NormalWeb"/>
              <w:spacing w:before="0" w:beforeAutospacing="0" w:after="0" w:afterAutospacing="0"/>
              <w:rPr>
                <w:sz w:val="20"/>
                <w:szCs w:val="20"/>
              </w:rPr>
            </w:pPr>
            <w:r>
              <w:rPr>
                <w:sz w:val="20"/>
                <w:szCs w:val="20"/>
              </w:rPr>
              <w:t>Transfer from interest receivable credit impairment losses</w:t>
            </w:r>
          </w:p>
        </w:tc>
        <w:tc>
          <w:tcPr>
            <w:tcW w:w="50" w:type="pct"/>
            <w:shd w:val="clear" w:color="auto" w:fill="CCEEFF"/>
            <w:noWrap/>
            <w:vAlign w:val="center"/>
            <w:hideMark/>
          </w:tcPr>
          <w:p w14:paraId="5BAA8B6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B2145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2C3B429"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8E35F3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C87E0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986DA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DB24FBD" w14:textId="77777777" w:rsidR="00000000" w:rsidRDefault="00EB4933">
            <w:pPr>
              <w:jc w:val="right"/>
              <w:rPr>
                <w:rFonts w:eastAsia="Times New Roman"/>
                <w:sz w:val="20"/>
                <w:szCs w:val="20"/>
              </w:rPr>
            </w:pPr>
            <w:r>
              <w:rPr>
                <w:rFonts w:eastAsia="Times New Roman"/>
                <w:sz w:val="20"/>
                <w:szCs w:val="20"/>
              </w:rPr>
              <w:t>1,782</w:t>
            </w:r>
          </w:p>
        </w:tc>
        <w:tc>
          <w:tcPr>
            <w:tcW w:w="50" w:type="pct"/>
            <w:shd w:val="clear" w:color="auto" w:fill="CCEEFF"/>
            <w:noWrap/>
            <w:vAlign w:val="center"/>
            <w:hideMark/>
          </w:tcPr>
          <w:p w14:paraId="3CAA03D7" w14:textId="77777777" w:rsidR="00000000" w:rsidRDefault="00EB4933">
            <w:pPr>
              <w:pStyle w:val="NormalWeb"/>
              <w:spacing w:before="0" w:beforeAutospacing="0" w:after="0" w:afterAutospacing="0"/>
              <w:rPr>
                <w:sz w:val="20"/>
                <w:szCs w:val="20"/>
              </w:rPr>
            </w:pPr>
            <w:r>
              <w:rPr>
                <w:sz w:val="20"/>
                <w:szCs w:val="20"/>
              </w:rPr>
              <w:t> </w:t>
            </w:r>
          </w:p>
        </w:tc>
      </w:tr>
      <w:tr w:rsidR="00000000" w14:paraId="186AEFBB" w14:textId="77777777">
        <w:trPr>
          <w:divId w:val="98525094"/>
          <w:trHeight w:val="225"/>
          <w:tblCellSpacing w:w="15" w:type="dxa"/>
        </w:trPr>
        <w:tc>
          <w:tcPr>
            <w:tcW w:w="0" w:type="auto"/>
            <w:shd w:val="clear" w:color="auto" w:fill="FFFFFF"/>
            <w:hideMark/>
          </w:tcPr>
          <w:p w14:paraId="0D1D2559" w14:textId="77777777" w:rsidR="00000000" w:rsidRDefault="00EB4933">
            <w:pPr>
              <w:pStyle w:val="NormalWeb"/>
              <w:spacing w:before="0" w:beforeAutospacing="0" w:after="0" w:afterAutospacing="0"/>
              <w:rPr>
                <w:sz w:val="20"/>
                <w:szCs w:val="20"/>
              </w:rPr>
            </w:pPr>
            <w:r>
              <w:rPr>
                <w:sz w:val="20"/>
                <w:szCs w:val="20"/>
              </w:rPr>
              <w:t>Charge to statement of profit</w:t>
            </w:r>
          </w:p>
        </w:tc>
        <w:tc>
          <w:tcPr>
            <w:tcW w:w="50" w:type="pct"/>
            <w:shd w:val="clear" w:color="auto" w:fill="FFFFFF"/>
            <w:noWrap/>
            <w:vAlign w:val="center"/>
            <w:hideMark/>
          </w:tcPr>
          <w:p w14:paraId="322E8B7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A84C2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97EA021" w14:textId="77777777" w:rsidR="00000000" w:rsidRDefault="00EB4933">
            <w:pPr>
              <w:jc w:val="right"/>
              <w:rPr>
                <w:rFonts w:eastAsia="Times New Roman"/>
                <w:sz w:val="20"/>
                <w:szCs w:val="20"/>
              </w:rPr>
            </w:pPr>
            <w:r>
              <w:rPr>
                <w:rFonts w:eastAsia="Times New Roman"/>
                <w:sz w:val="20"/>
                <w:szCs w:val="20"/>
              </w:rPr>
              <w:t>67,574</w:t>
            </w:r>
          </w:p>
        </w:tc>
        <w:tc>
          <w:tcPr>
            <w:tcW w:w="50" w:type="pct"/>
            <w:shd w:val="clear" w:color="auto" w:fill="FFFFFF"/>
            <w:noWrap/>
            <w:vAlign w:val="center"/>
            <w:hideMark/>
          </w:tcPr>
          <w:p w14:paraId="69D1E6A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8A9E9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F3AFD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3AED8C0" w14:textId="77777777" w:rsidR="00000000" w:rsidRDefault="00EB4933">
            <w:pPr>
              <w:jc w:val="right"/>
              <w:rPr>
                <w:rFonts w:eastAsia="Times New Roman"/>
                <w:sz w:val="20"/>
                <w:szCs w:val="20"/>
              </w:rPr>
            </w:pPr>
            <w:r>
              <w:rPr>
                <w:rFonts w:eastAsia="Times New Roman"/>
                <w:sz w:val="20"/>
                <w:szCs w:val="20"/>
              </w:rPr>
              <w:t>24,694</w:t>
            </w:r>
          </w:p>
        </w:tc>
        <w:tc>
          <w:tcPr>
            <w:tcW w:w="50" w:type="pct"/>
            <w:shd w:val="clear" w:color="auto" w:fill="FFFFFF"/>
            <w:noWrap/>
            <w:vAlign w:val="center"/>
            <w:hideMark/>
          </w:tcPr>
          <w:p w14:paraId="75BE1650" w14:textId="77777777" w:rsidR="00000000" w:rsidRDefault="00EB4933">
            <w:pPr>
              <w:pStyle w:val="NormalWeb"/>
              <w:spacing w:before="0" w:beforeAutospacing="0" w:after="0" w:afterAutospacing="0"/>
              <w:rPr>
                <w:sz w:val="20"/>
                <w:szCs w:val="20"/>
              </w:rPr>
            </w:pPr>
            <w:r>
              <w:rPr>
                <w:sz w:val="20"/>
                <w:szCs w:val="20"/>
              </w:rPr>
              <w:t> </w:t>
            </w:r>
          </w:p>
        </w:tc>
      </w:tr>
      <w:tr w:rsidR="00000000" w14:paraId="4372E769" w14:textId="77777777">
        <w:trPr>
          <w:divId w:val="98525094"/>
          <w:trHeight w:val="225"/>
          <w:tblCellSpacing w:w="15" w:type="dxa"/>
        </w:trPr>
        <w:tc>
          <w:tcPr>
            <w:tcW w:w="0" w:type="auto"/>
            <w:shd w:val="clear" w:color="auto" w:fill="CCEEFF"/>
            <w:hideMark/>
          </w:tcPr>
          <w:p w14:paraId="597B855D" w14:textId="77777777" w:rsidR="00000000" w:rsidRDefault="00EB4933">
            <w:pPr>
              <w:pStyle w:val="NormalWeb"/>
              <w:spacing w:before="0" w:beforeAutospacing="0" w:after="0" w:afterAutospacing="0"/>
              <w:rPr>
                <w:sz w:val="20"/>
                <w:szCs w:val="20"/>
              </w:rPr>
            </w:pPr>
            <w:r>
              <w:rPr>
                <w:sz w:val="20"/>
                <w:szCs w:val="20"/>
              </w:rPr>
              <w:t>Write-off</w:t>
            </w:r>
          </w:p>
        </w:tc>
        <w:tc>
          <w:tcPr>
            <w:tcW w:w="50" w:type="pct"/>
            <w:shd w:val="clear" w:color="auto" w:fill="CCEEFF"/>
            <w:noWrap/>
            <w:vAlign w:val="center"/>
            <w:hideMark/>
          </w:tcPr>
          <w:p w14:paraId="72B835F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FFB6E9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BCE8EAB" w14:textId="77777777" w:rsidR="00000000" w:rsidRDefault="00EB4933">
            <w:pPr>
              <w:jc w:val="right"/>
              <w:rPr>
                <w:rFonts w:eastAsia="Times New Roman"/>
                <w:sz w:val="20"/>
                <w:szCs w:val="20"/>
              </w:rPr>
            </w:pPr>
            <w:r>
              <w:rPr>
                <w:rFonts w:eastAsia="Times New Roman"/>
                <w:sz w:val="20"/>
                <w:szCs w:val="20"/>
              </w:rPr>
              <w:t>(1,239</w:t>
            </w:r>
          </w:p>
        </w:tc>
        <w:tc>
          <w:tcPr>
            <w:tcW w:w="50" w:type="pct"/>
            <w:shd w:val="clear" w:color="auto" w:fill="CCEEFF"/>
            <w:noWrap/>
            <w:tcMar>
              <w:top w:w="0" w:type="dxa"/>
              <w:left w:w="0" w:type="dxa"/>
              <w:bottom w:w="15" w:type="dxa"/>
              <w:right w:w="0" w:type="dxa"/>
            </w:tcMar>
            <w:vAlign w:val="bottom"/>
            <w:hideMark/>
          </w:tcPr>
          <w:p w14:paraId="0E43FA9C"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0F1E6E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B33D02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DC6719E"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51018C5F" w14:textId="77777777" w:rsidR="00000000" w:rsidRDefault="00EB4933">
            <w:pPr>
              <w:pStyle w:val="NormalWeb"/>
              <w:spacing w:before="0" w:beforeAutospacing="0" w:after="0" w:afterAutospacing="0"/>
              <w:rPr>
                <w:sz w:val="20"/>
                <w:szCs w:val="20"/>
              </w:rPr>
            </w:pPr>
            <w:r>
              <w:rPr>
                <w:sz w:val="20"/>
                <w:szCs w:val="20"/>
              </w:rPr>
              <w:t> </w:t>
            </w:r>
          </w:p>
        </w:tc>
      </w:tr>
      <w:tr w:rsidR="00000000" w14:paraId="2233DB13" w14:textId="77777777">
        <w:trPr>
          <w:divId w:val="98525094"/>
          <w:trHeight w:val="225"/>
          <w:tblCellSpacing w:w="15" w:type="dxa"/>
        </w:trPr>
        <w:tc>
          <w:tcPr>
            <w:tcW w:w="0" w:type="auto"/>
            <w:shd w:val="clear" w:color="auto" w:fill="FFFFFF"/>
            <w:hideMark/>
          </w:tcPr>
          <w:p w14:paraId="2A248B40" w14:textId="77777777" w:rsidR="00000000" w:rsidRDefault="00EB4933">
            <w:pPr>
              <w:pStyle w:val="NormalWeb"/>
              <w:spacing w:before="0" w:beforeAutospacing="0" w:after="0" w:afterAutospacing="0"/>
              <w:rPr>
                <w:sz w:val="20"/>
                <w:szCs w:val="20"/>
              </w:rPr>
            </w:pPr>
            <w:r>
              <w:rPr>
                <w:sz w:val="20"/>
                <w:szCs w:val="20"/>
              </w:rPr>
              <w:t>Credit impairment losses as at December 31</w:t>
            </w:r>
          </w:p>
        </w:tc>
        <w:tc>
          <w:tcPr>
            <w:tcW w:w="50" w:type="pct"/>
            <w:shd w:val="clear" w:color="auto" w:fill="FFFFFF"/>
            <w:noWrap/>
            <w:vAlign w:val="center"/>
            <w:hideMark/>
          </w:tcPr>
          <w:p w14:paraId="56FEE38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0B6A89C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11338C4E" w14:textId="77777777" w:rsidR="00000000" w:rsidRDefault="00EB4933">
            <w:pPr>
              <w:jc w:val="right"/>
              <w:rPr>
                <w:rFonts w:eastAsia="Times New Roman"/>
                <w:sz w:val="20"/>
                <w:szCs w:val="20"/>
              </w:rPr>
            </w:pPr>
            <w:r>
              <w:rPr>
                <w:rFonts w:eastAsia="Times New Roman"/>
                <w:sz w:val="20"/>
                <w:szCs w:val="20"/>
              </w:rPr>
              <w:t>397,297</w:t>
            </w:r>
          </w:p>
        </w:tc>
        <w:tc>
          <w:tcPr>
            <w:tcW w:w="50" w:type="pct"/>
            <w:shd w:val="clear" w:color="auto" w:fill="FFFFFF"/>
            <w:noWrap/>
            <w:tcMar>
              <w:top w:w="0" w:type="dxa"/>
              <w:left w:w="0" w:type="dxa"/>
              <w:bottom w:w="45" w:type="dxa"/>
              <w:right w:w="0" w:type="dxa"/>
            </w:tcMar>
            <w:vAlign w:val="center"/>
            <w:hideMark/>
          </w:tcPr>
          <w:p w14:paraId="019A41F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E23C7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2337360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18201C0C" w14:textId="77777777" w:rsidR="00000000" w:rsidRDefault="00EB4933">
            <w:pPr>
              <w:jc w:val="right"/>
              <w:rPr>
                <w:rFonts w:eastAsia="Times New Roman"/>
                <w:sz w:val="20"/>
                <w:szCs w:val="20"/>
              </w:rPr>
            </w:pPr>
            <w:r>
              <w:rPr>
                <w:rFonts w:eastAsia="Times New Roman"/>
                <w:sz w:val="20"/>
                <w:szCs w:val="20"/>
              </w:rPr>
              <w:t>423,773</w:t>
            </w:r>
          </w:p>
        </w:tc>
        <w:tc>
          <w:tcPr>
            <w:tcW w:w="50" w:type="pct"/>
            <w:shd w:val="clear" w:color="auto" w:fill="FFFFFF"/>
            <w:noWrap/>
            <w:tcMar>
              <w:top w:w="0" w:type="dxa"/>
              <w:left w:w="0" w:type="dxa"/>
              <w:bottom w:w="45" w:type="dxa"/>
              <w:right w:w="0" w:type="dxa"/>
            </w:tcMar>
            <w:vAlign w:val="center"/>
            <w:hideMark/>
          </w:tcPr>
          <w:p w14:paraId="22E0B95D" w14:textId="77777777" w:rsidR="00000000" w:rsidRDefault="00EB4933">
            <w:pPr>
              <w:pStyle w:val="NormalWeb"/>
              <w:spacing w:before="0" w:beforeAutospacing="0" w:after="0" w:afterAutospacing="0"/>
              <w:rPr>
                <w:sz w:val="20"/>
                <w:szCs w:val="20"/>
              </w:rPr>
            </w:pPr>
            <w:r>
              <w:rPr>
                <w:sz w:val="20"/>
                <w:szCs w:val="20"/>
              </w:rPr>
              <w:t> </w:t>
            </w:r>
          </w:p>
        </w:tc>
      </w:tr>
    </w:tbl>
    <w:p w14:paraId="3A681F2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7805361" w14:textId="77777777" w:rsidR="00000000" w:rsidRDefault="00EB4933">
      <w:pPr>
        <w:pStyle w:val="NormalWeb"/>
        <w:spacing w:before="0" w:beforeAutospacing="0" w:after="0" w:afterAutospacing="0"/>
        <w:ind w:left="675"/>
        <w:jc w:val="both"/>
        <w:divId w:val="98525094"/>
        <w:rPr>
          <w:sz w:val="20"/>
          <w:szCs w:val="20"/>
        </w:rPr>
      </w:pPr>
      <w:r>
        <w:rPr>
          <w:sz w:val="20"/>
          <w:szCs w:val="20"/>
        </w:rPr>
        <w:t>In 2018, the write-off of loans with a total gross carrying amount of RMB1.2 million resulted in the reduction of credit impairment losses by the same amount.</w:t>
      </w:r>
    </w:p>
    <w:p w14:paraId="210B8C8D"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531BCEAB" w14:textId="77777777" w:rsidR="00000000" w:rsidRDefault="00EB4933">
      <w:pPr>
        <w:pStyle w:val="NormalWeb"/>
        <w:spacing w:before="0" w:beforeAutospacing="0" w:after="0" w:afterAutospacing="0"/>
        <w:ind w:left="675"/>
        <w:jc w:val="both"/>
        <w:divId w:val="98525094"/>
        <w:rPr>
          <w:sz w:val="20"/>
          <w:szCs w:val="20"/>
        </w:rPr>
      </w:pPr>
      <w:r>
        <w:rPr>
          <w:sz w:val="20"/>
          <w:szCs w:val="20"/>
        </w:rPr>
        <w:t>The Group originates loans to customers located primarily in Wuhan City, Hubei Province. The Group’s headquarters, borrowers and operations are located in Wuhan, China, the epicenter for the COVID-19 pandemic. As a result of the COVID-19 outbreak which was</w:t>
      </w:r>
      <w:r>
        <w:rPr>
          <w:sz w:val="20"/>
          <w:szCs w:val="20"/>
        </w:rPr>
        <w:t xml:space="preserve"> first reported on December 31, 2019 in Wuhan, China, the Chinese government imposed a lockdown on the entire Hubei province, travel restrictions and quarantine, the Company’s borrowers and operations have been significantly disrupted. Further, all of our </w:t>
      </w:r>
      <w:r>
        <w:rPr>
          <w:sz w:val="20"/>
          <w:szCs w:val="20"/>
        </w:rPr>
        <w:t>customers are located in Wuhan, China, as a result of the COVID-19 outbreak, government lockdown, travel restrictions, reduced economic activity and quarantines imposed by the Chinese government, our customers’ business operations, financial conditions and</w:t>
      </w:r>
      <w:r>
        <w:rPr>
          <w:sz w:val="20"/>
          <w:szCs w:val="20"/>
        </w:rPr>
        <w:t xml:space="preserve"> cash flows were materially adversely affected, which, in turn, materially adversely affected our collection of interest and principal on our loans to customers.</w:t>
      </w:r>
    </w:p>
    <w:p w14:paraId="6CD460F7"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2A98E4AF" w14:textId="77777777" w:rsidR="00000000" w:rsidRDefault="00EB4933">
      <w:pPr>
        <w:pStyle w:val="NormalWeb"/>
        <w:spacing w:before="0" w:beforeAutospacing="0" w:after="0" w:afterAutospacing="0"/>
        <w:ind w:left="675"/>
        <w:jc w:val="both"/>
        <w:divId w:val="98525094"/>
        <w:rPr>
          <w:sz w:val="20"/>
          <w:szCs w:val="20"/>
        </w:rPr>
      </w:pPr>
      <w:r>
        <w:rPr>
          <w:sz w:val="20"/>
          <w:szCs w:val="20"/>
        </w:rPr>
        <w:t>This geographic concentration of credit exposes the Group to a higher degree of risk associa</w:t>
      </w:r>
      <w:r>
        <w:rPr>
          <w:sz w:val="20"/>
          <w:szCs w:val="20"/>
        </w:rPr>
        <w:t>ted with this economic region.</w:t>
      </w:r>
    </w:p>
    <w:p w14:paraId="4689D847"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E7AF330" w14:textId="77777777">
        <w:trPr>
          <w:divId w:val="98525094"/>
          <w:trHeight w:val="225"/>
          <w:tblCellSpacing w:w="15" w:type="dxa"/>
        </w:trPr>
        <w:tc>
          <w:tcPr>
            <w:tcW w:w="0" w:type="auto"/>
            <w:vAlign w:val="center"/>
            <w:hideMark/>
          </w:tcPr>
          <w:p w14:paraId="313AF94E" w14:textId="77777777" w:rsidR="00000000" w:rsidRDefault="00EB4933">
            <w:pPr>
              <w:rPr>
                <w:rFonts w:eastAsia="Times New Roman"/>
                <w:sz w:val="20"/>
                <w:szCs w:val="20"/>
              </w:rPr>
            </w:pPr>
            <w:r>
              <w:rPr>
                <w:rFonts w:eastAsia="Times New Roman"/>
                <w:sz w:val="20"/>
                <w:szCs w:val="20"/>
              </w:rPr>
              <w:t> </w:t>
            </w:r>
          </w:p>
        </w:tc>
      </w:tr>
      <w:tr w:rsidR="00000000" w14:paraId="0A5BF1B4" w14:textId="77777777">
        <w:trPr>
          <w:divId w:val="98525094"/>
          <w:trHeight w:val="225"/>
          <w:tblCellSpacing w:w="15" w:type="dxa"/>
        </w:trPr>
        <w:tc>
          <w:tcPr>
            <w:tcW w:w="0" w:type="auto"/>
            <w:tcBorders>
              <w:bottom w:val="single" w:sz="6" w:space="0" w:color="000000"/>
            </w:tcBorders>
            <w:vAlign w:val="center"/>
            <w:hideMark/>
          </w:tcPr>
          <w:p w14:paraId="0DD047B7" w14:textId="77777777" w:rsidR="00000000" w:rsidRDefault="00EB4933">
            <w:pPr>
              <w:jc w:val="center"/>
              <w:rPr>
                <w:rFonts w:eastAsia="Times New Roman"/>
                <w:sz w:val="20"/>
                <w:szCs w:val="20"/>
              </w:rPr>
            </w:pPr>
            <w:r>
              <w:rPr>
                <w:rFonts w:eastAsia="Times New Roman"/>
                <w:sz w:val="20"/>
                <w:szCs w:val="20"/>
              </w:rPr>
              <w:t>F-53</w:t>
            </w:r>
          </w:p>
        </w:tc>
      </w:tr>
      <w:tr w:rsidR="00000000" w14:paraId="2F032266" w14:textId="77777777">
        <w:trPr>
          <w:divId w:val="98525094"/>
          <w:trHeight w:val="225"/>
          <w:tblCellSpacing w:w="15" w:type="dxa"/>
        </w:trPr>
        <w:tc>
          <w:tcPr>
            <w:tcW w:w="0" w:type="auto"/>
            <w:vAlign w:val="center"/>
            <w:hideMark/>
          </w:tcPr>
          <w:p w14:paraId="04543F0A" w14:textId="77777777" w:rsidR="00000000" w:rsidRDefault="00EB4933">
            <w:pPr>
              <w:rPr>
                <w:rFonts w:eastAsia="Times New Roman"/>
                <w:sz w:val="20"/>
                <w:szCs w:val="20"/>
              </w:rPr>
            </w:pPr>
          </w:p>
        </w:tc>
      </w:tr>
      <w:tr w:rsidR="00000000" w14:paraId="36936AEE" w14:textId="77777777">
        <w:trPr>
          <w:divId w:val="98525094"/>
          <w:trHeight w:val="225"/>
          <w:tblCellSpacing w:w="15" w:type="dxa"/>
        </w:trPr>
        <w:tc>
          <w:tcPr>
            <w:tcW w:w="0" w:type="auto"/>
            <w:vAlign w:val="center"/>
            <w:hideMark/>
          </w:tcPr>
          <w:p w14:paraId="264B6CA3" w14:textId="77777777" w:rsidR="00000000" w:rsidRDefault="00EB4933">
            <w:pPr>
              <w:rPr>
                <w:rFonts w:eastAsia="Times New Roman"/>
                <w:sz w:val="20"/>
                <w:szCs w:val="20"/>
              </w:rPr>
            </w:pPr>
            <w:hyperlink r:id="rId270" w:anchor="finindex" w:history="1">
              <w:r>
                <w:rPr>
                  <w:rStyle w:val="Hyperlink"/>
                  <w:rFonts w:eastAsia="Times New Roman"/>
                  <w:i/>
                  <w:iCs/>
                  <w:sz w:val="20"/>
                  <w:szCs w:val="20"/>
                </w:rPr>
                <w:t>Table of Contents</w:t>
              </w:r>
            </w:hyperlink>
          </w:p>
        </w:tc>
      </w:tr>
    </w:tbl>
    <w:p w14:paraId="5079EB66"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70489812"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2BFED996"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6AEE0A75"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491428D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56F56D0" w14:textId="77777777" w:rsidR="00000000" w:rsidRDefault="00EB4933">
      <w:pPr>
        <w:pStyle w:val="NormalWeb"/>
        <w:spacing w:before="0" w:beforeAutospacing="0" w:after="0" w:afterAutospacing="0"/>
        <w:jc w:val="both"/>
        <w:divId w:val="98525094"/>
        <w:rPr>
          <w:sz w:val="20"/>
          <w:szCs w:val="20"/>
        </w:rPr>
      </w:pPr>
      <w:r>
        <w:rPr>
          <w:rStyle w:val="Strong"/>
          <w:sz w:val="20"/>
          <w:szCs w:val="20"/>
        </w:rPr>
        <w:t>16. </w:t>
      </w:r>
      <w:r>
        <w:rPr>
          <w:rStyle w:val="Strong"/>
          <w:sz w:val="20"/>
          <w:szCs w:val="20"/>
        </w:rPr>
        <w:t>Prepaid expenses and others</w:t>
      </w:r>
    </w:p>
    <w:p w14:paraId="3B621E7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E3777D9" w14:textId="77777777" w:rsidR="00000000" w:rsidRDefault="00EB4933">
      <w:pPr>
        <w:pStyle w:val="NormalWeb"/>
        <w:spacing w:before="0" w:beforeAutospacing="0" w:after="0" w:afterAutospacing="0"/>
        <w:ind w:left="675"/>
        <w:jc w:val="both"/>
        <w:divId w:val="98525094"/>
        <w:rPr>
          <w:sz w:val="20"/>
          <w:szCs w:val="20"/>
        </w:rPr>
      </w:pPr>
      <w:r>
        <w:rPr>
          <w:sz w:val="20"/>
          <w:szCs w:val="20"/>
        </w:rPr>
        <w:t>Prepaid expenses and others consist of the following:</w:t>
      </w:r>
    </w:p>
    <w:p w14:paraId="70FD97A5"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6362"/>
        <w:gridCol w:w="113"/>
        <w:gridCol w:w="113"/>
        <w:gridCol w:w="778"/>
        <w:gridCol w:w="113"/>
        <w:gridCol w:w="113"/>
        <w:gridCol w:w="113"/>
        <w:gridCol w:w="778"/>
        <w:gridCol w:w="128"/>
      </w:tblGrid>
      <w:tr w:rsidR="00000000" w14:paraId="3468CAF8" w14:textId="77777777">
        <w:trPr>
          <w:divId w:val="98525094"/>
          <w:trHeight w:val="225"/>
          <w:tblCellSpacing w:w="15" w:type="dxa"/>
        </w:trPr>
        <w:tc>
          <w:tcPr>
            <w:tcW w:w="0" w:type="auto"/>
            <w:vAlign w:val="center"/>
            <w:hideMark/>
          </w:tcPr>
          <w:p w14:paraId="4BAF90A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94D05F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000000"/>
            </w:tcBorders>
            <w:vAlign w:val="bottom"/>
            <w:hideMark/>
          </w:tcPr>
          <w:p w14:paraId="0AEA065C" w14:textId="77777777" w:rsidR="00000000" w:rsidRDefault="00EB4933">
            <w:pPr>
              <w:pStyle w:val="NormalWeb"/>
              <w:spacing w:before="0" w:beforeAutospacing="0" w:after="0" w:afterAutospacing="0"/>
              <w:jc w:val="center"/>
              <w:rPr>
                <w:sz w:val="20"/>
                <w:szCs w:val="20"/>
              </w:rPr>
            </w:pPr>
            <w:r>
              <w:rPr>
                <w:rStyle w:val="Strong"/>
                <w:sz w:val="20"/>
                <w:szCs w:val="20"/>
              </w:rPr>
              <w:t>As at December 31,</w:t>
            </w:r>
          </w:p>
        </w:tc>
        <w:tc>
          <w:tcPr>
            <w:tcW w:w="0" w:type="auto"/>
            <w:noWrap/>
            <w:vAlign w:val="center"/>
            <w:hideMark/>
          </w:tcPr>
          <w:p w14:paraId="4F02AB0C" w14:textId="77777777" w:rsidR="00000000" w:rsidRDefault="00EB4933">
            <w:pPr>
              <w:pStyle w:val="NormalWeb"/>
              <w:spacing w:before="0" w:beforeAutospacing="0" w:after="0" w:afterAutospacing="0"/>
              <w:rPr>
                <w:sz w:val="20"/>
                <w:szCs w:val="20"/>
              </w:rPr>
            </w:pPr>
            <w:r>
              <w:rPr>
                <w:sz w:val="20"/>
                <w:szCs w:val="20"/>
              </w:rPr>
              <w:t> </w:t>
            </w:r>
          </w:p>
        </w:tc>
      </w:tr>
      <w:tr w:rsidR="00000000" w14:paraId="59FDEFEE" w14:textId="77777777">
        <w:trPr>
          <w:divId w:val="98525094"/>
          <w:trHeight w:val="225"/>
          <w:tblCellSpacing w:w="15" w:type="dxa"/>
        </w:trPr>
        <w:tc>
          <w:tcPr>
            <w:tcW w:w="0" w:type="auto"/>
            <w:vAlign w:val="center"/>
            <w:hideMark/>
          </w:tcPr>
          <w:p w14:paraId="333F5D3E" w14:textId="77777777" w:rsidR="00000000" w:rsidRDefault="00EB4933">
            <w:pPr>
              <w:pStyle w:val="NormalWeb"/>
              <w:spacing w:before="0" w:beforeAutospacing="0" w:after="0" w:afterAutospacing="0"/>
              <w:rPr>
                <w:sz w:val="20"/>
                <w:szCs w:val="20"/>
              </w:rPr>
            </w:pPr>
            <w:r>
              <w:rPr>
                <w:sz w:val="20"/>
                <w:szCs w:val="20"/>
              </w:rPr>
              <w:lastRenderedPageBreak/>
              <w:t> </w:t>
            </w:r>
          </w:p>
        </w:tc>
        <w:tc>
          <w:tcPr>
            <w:tcW w:w="0" w:type="auto"/>
            <w:noWrap/>
            <w:vAlign w:val="center"/>
            <w:hideMark/>
          </w:tcPr>
          <w:p w14:paraId="20E8E280"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21460D36"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vAlign w:val="center"/>
            <w:hideMark/>
          </w:tcPr>
          <w:p w14:paraId="177599C0"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5981905"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0704861F"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539A1AAB" w14:textId="77777777" w:rsidR="00000000" w:rsidRDefault="00EB4933">
            <w:pPr>
              <w:pStyle w:val="NormalWeb"/>
              <w:spacing w:before="0" w:beforeAutospacing="0" w:after="0" w:afterAutospacing="0"/>
              <w:rPr>
                <w:sz w:val="20"/>
                <w:szCs w:val="20"/>
              </w:rPr>
            </w:pPr>
            <w:r>
              <w:rPr>
                <w:sz w:val="20"/>
                <w:szCs w:val="20"/>
              </w:rPr>
              <w:t> </w:t>
            </w:r>
          </w:p>
        </w:tc>
      </w:tr>
      <w:tr w:rsidR="00000000" w14:paraId="3461D33C" w14:textId="77777777">
        <w:trPr>
          <w:divId w:val="98525094"/>
          <w:trHeight w:val="225"/>
          <w:tblCellSpacing w:w="15" w:type="dxa"/>
        </w:trPr>
        <w:tc>
          <w:tcPr>
            <w:tcW w:w="0" w:type="auto"/>
            <w:vAlign w:val="center"/>
            <w:hideMark/>
          </w:tcPr>
          <w:p w14:paraId="7DEA672E"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4855B3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2B09A24E"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2BA442D5"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7A4BD9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66095BDC"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1015EE40" w14:textId="77777777" w:rsidR="00000000" w:rsidRDefault="00EB4933">
            <w:pPr>
              <w:pStyle w:val="NormalWeb"/>
              <w:spacing w:before="0" w:beforeAutospacing="0" w:after="0" w:afterAutospacing="0"/>
              <w:rPr>
                <w:sz w:val="20"/>
                <w:szCs w:val="20"/>
              </w:rPr>
            </w:pPr>
            <w:r>
              <w:rPr>
                <w:sz w:val="20"/>
                <w:szCs w:val="20"/>
              </w:rPr>
              <w:t> </w:t>
            </w:r>
          </w:p>
        </w:tc>
      </w:tr>
      <w:tr w:rsidR="00000000" w14:paraId="6FCD4155" w14:textId="77777777">
        <w:trPr>
          <w:divId w:val="98525094"/>
          <w:trHeight w:val="225"/>
          <w:tblCellSpacing w:w="15" w:type="dxa"/>
        </w:trPr>
        <w:tc>
          <w:tcPr>
            <w:tcW w:w="0" w:type="auto"/>
            <w:vAlign w:val="center"/>
            <w:hideMark/>
          </w:tcPr>
          <w:p w14:paraId="27F1714D"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4945BE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7A96B150"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21D48C5"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87D670A"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DE6AA53"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5210BC4" w14:textId="77777777" w:rsidR="00000000" w:rsidRDefault="00EB4933">
            <w:pPr>
              <w:pStyle w:val="NormalWeb"/>
              <w:spacing w:before="0" w:beforeAutospacing="0" w:after="0" w:afterAutospacing="0"/>
              <w:rPr>
                <w:sz w:val="20"/>
                <w:szCs w:val="20"/>
              </w:rPr>
            </w:pPr>
            <w:r>
              <w:rPr>
                <w:sz w:val="20"/>
                <w:szCs w:val="20"/>
              </w:rPr>
              <w:t> </w:t>
            </w:r>
          </w:p>
        </w:tc>
      </w:tr>
      <w:tr w:rsidR="00000000" w14:paraId="5522A0B4" w14:textId="77777777">
        <w:trPr>
          <w:divId w:val="98525094"/>
          <w:trHeight w:val="225"/>
          <w:tblCellSpacing w:w="15" w:type="dxa"/>
        </w:trPr>
        <w:tc>
          <w:tcPr>
            <w:tcW w:w="0" w:type="auto"/>
            <w:shd w:val="clear" w:color="auto" w:fill="CCEEFF"/>
            <w:hideMark/>
          </w:tcPr>
          <w:p w14:paraId="30503FA2" w14:textId="77777777" w:rsidR="00000000" w:rsidRDefault="00EB4933">
            <w:pPr>
              <w:pStyle w:val="NormalWeb"/>
              <w:spacing w:before="0" w:beforeAutospacing="0" w:after="0" w:afterAutospacing="0"/>
              <w:rPr>
                <w:sz w:val="20"/>
                <w:szCs w:val="20"/>
              </w:rPr>
            </w:pPr>
            <w:r>
              <w:rPr>
                <w:sz w:val="20"/>
                <w:szCs w:val="20"/>
              </w:rPr>
              <w:t>Prepaid rental to a shareholder</w:t>
            </w:r>
            <w:r>
              <w:rPr>
                <w:sz w:val="20"/>
                <w:szCs w:val="20"/>
                <w:vertAlign w:val="superscript"/>
              </w:rPr>
              <w:t>(1)</w:t>
            </w:r>
          </w:p>
        </w:tc>
        <w:tc>
          <w:tcPr>
            <w:tcW w:w="50" w:type="pct"/>
            <w:shd w:val="clear" w:color="auto" w:fill="CCEEFF"/>
            <w:noWrap/>
            <w:vAlign w:val="center"/>
            <w:hideMark/>
          </w:tcPr>
          <w:p w14:paraId="11A5F71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0584B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9C0A238" w14:textId="77777777" w:rsidR="00000000" w:rsidRDefault="00EB4933">
            <w:pPr>
              <w:jc w:val="right"/>
              <w:rPr>
                <w:rFonts w:eastAsia="Times New Roman"/>
                <w:sz w:val="20"/>
                <w:szCs w:val="20"/>
              </w:rPr>
            </w:pPr>
            <w:r>
              <w:rPr>
                <w:rFonts w:eastAsia="Times New Roman"/>
                <w:sz w:val="20"/>
                <w:szCs w:val="20"/>
              </w:rPr>
              <w:t>448</w:t>
            </w:r>
          </w:p>
        </w:tc>
        <w:tc>
          <w:tcPr>
            <w:tcW w:w="50" w:type="pct"/>
            <w:shd w:val="clear" w:color="auto" w:fill="CCEEFF"/>
            <w:noWrap/>
            <w:vAlign w:val="center"/>
            <w:hideMark/>
          </w:tcPr>
          <w:p w14:paraId="0E1BF3F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6C333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F5739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9601A94"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6E89ED7" w14:textId="77777777" w:rsidR="00000000" w:rsidRDefault="00EB4933">
            <w:pPr>
              <w:pStyle w:val="NormalWeb"/>
              <w:spacing w:before="0" w:beforeAutospacing="0" w:after="0" w:afterAutospacing="0"/>
              <w:rPr>
                <w:sz w:val="20"/>
                <w:szCs w:val="20"/>
              </w:rPr>
            </w:pPr>
            <w:r>
              <w:rPr>
                <w:sz w:val="20"/>
                <w:szCs w:val="20"/>
              </w:rPr>
              <w:t> </w:t>
            </w:r>
          </w:p>
        </w:tc>
      </w:tr>
      <w:tr w:rsidR="00000000" w14:paraId="14908CCE" w14:textId="77777777">
        <w:trPr>
          <w:divId w:val="98525094"/>
          <w:trHeight w:val="225"/>
          <w:tblCellSpacing w:w="15" w:type="dxa"/>
        </w:trPr>
        <w:tc>
          <w:tcPr>
            <w:tcW w:w="0" w:type="auto"/>
            <w:shd w:val="clear" w:color="auto" w:fill="FFFFFF"/>
            <w:hideMark/>
          </w:tcPr>
          <w:p w14:paraId="2C7C0A4F" w14:textId="77777777" w:rsidR="00000000" w:rsidRDefault="00EB4933">
            <w:pPr>
              <w:pStyle w:val="NormalWeb"/>
              <w:spacing w:before="0" w:beforeAutospacing="0" w:after="0" w:afterAutospacing="0"/>
              <w:rPr>
                <w:sz w:val="20"/>
                <w:szCs w:val="20"/>
              </w:rPr>
            </w:pPr>
            <w:r>
              <w:rPr>
                <w:sz w:val="20"/>
                <w:szCs w:val="20"/>
              </w:rPr>
              <w:t>Receivable from a related party</w:t>
            </w:r>
            <w:r>
              <w:rPr>
                <w:sz w:val="20"/>
                <w:szCs w:val="20"/>
                <w:vertAlign w:val="superscript"/>
              </w:rPr>
              <w:t>(2)</w:t>
            </w:r>
          </w:p>
        </w:tc>
        <w:tc>
          <w:tcPr>
            <w:tcW w:w="50" w:type="pct"/>
            <w:shd w:val="clear" w:color="auto" w:fill="FFFFFF"/>
            <w:noWrap/>
            <w:vAlign w:val="center"/>
            <w:hideMark/>
          </w:tcPr>
          <w:p w14:paraId="2DA4484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757B8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0109234" w14:textId="77777777" w:rsidR="00000000" w:rsidRDefault="00EB4933">
            <w:pPr>
              <w:jc w:val="right"/>
              <w:rPr>
                <w:rFonts w:eastAsia="Times New Roman"/>
                <w:sz w:val="20"/>
                <w:szCs w:val="20"/>
              </w:rPr>
            </w:pPr>
            <w:r>
              <w:rPr>
                <w:rFonts w:eastAsia="Times New Roman"/>
                <w:sz w:val="20"/>
                <w:szCs w:val="20"/>
              </w:rPr>
              <w:t>251</w:t>
            </w:r>
          </w:p>
        </w:tc>
        <w:tc>
          <w:tcPr>
            <w:tcW w:w="50" w:type="pct"/>
            <w:shd w:val="clear" w:color="auto" w:fill="FFFFFF"/>
            <w:noWrap/>
            <w:vAlign w:val="center"/>
            <w:hideMark/>
          </w:tcPr>
          <w:p w14:paraId="56C5BC8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DDF5C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2BE89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F8662A4"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182DE23" w14:textId="77777777" w:rsidR="00000000" w:rsidRDefault="00EB4933">
            <w:pPr>
              <w:pStyle w:val="NormalWeb"/>
              <w:spacing w:before="0" w:beforeAutospacing="0" w:after="0" w:afterAutospacing="0"/>
              <w:rPr>
                <w:sz w:val="20"/>
                <w:szCs w:val="20"/>
              </w:rPr>
            </w:pPr>
            <w:r>
              <w:rPr>
                <w:sz w:val="20"/>
                <w:szCs w:val="20"/>
              </w:rPr>
              <w:t> </w:t>
            </w:r>
          </w:p>
        </w:tc>
      </w:tr>
      <w:tr w:rsidR="00000000" w14:paraId="6B5A7630" w14:textId="77777777">
        <w:trPr>
          <w:divId w:val="98525094"/>
          <w:trHeight w:val="225"/>
          <w:tblCellSpacing w:w="15" w:type="dxa"/>
        </w:trPr>
        <w:tc>
          <w:tcPr>
            <w:tcW w:w="0" w:type="auto"/>
            <w:shd w:val="clear" w:color="auto" w:fill="CCEEFF"/>
            <w:hideMark/>
          </w:tcPr>
          <w:p w14:paraId="08767523" w14:textId="77777777" w:rsidR="00000000" w:rsidRDefault="00EB4933">
            <w:pPr>
              <w:pStyle w:val="NormalWeb"/>
              <w:spacing w:before="0" w:beforeAutospacing="0" w:after="0" w:afterAutospacing="0"/>
              <w:rPr>
                <w:sz w:val="20"/>
                <w:szCs w:val="20"/>
              </w:rPr>
            </w:pPr>
            <w:r>
              <w:rPr>
                <w:sz w:val="20"/>
                <w:szCs w:val="20"/>
              </w:rPr>
              <w:t>Prepaid expenses</w:t>
            </w:r>
          </w:p>
        </w:tc>
        <w:tc>
          <w:tcPr>
            <w:tcW w:w="50" w:type="pct"/>
            <w:shd w:val="clear" w:color="auto" w:fill="CCEEFF"/>
            <w:noWrap/>
            <w:vAlign w:val="center"/>
            <w:hideMark/>
          </w:tcPr>
          <w:p w14:paraId="4378647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B319E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DF4E3CA" w14:textId="77777777" w:rsidR="00000000" w:rsidRDefault="00EB4933">
            <w:pPr>
              <w:jc w:val="right"/>
              <w:rPr>
                <w:rFonts w:eastAsia="Times New Roman"/>
                <w:sz w:val="20"/>
                <w:szCs w:val="20"/>
              </w:rPr>
            </w:pPr>
            <w:r>
              <w:rPr>
                <w:rFonts w:eastAsia="Times New Roman"/>
                <w:sz w:val="20"/>
                <w:szCs w:val="20"/>
              </w:rPr>
              <w:t>184</w:t>
            </w:r>
          </w:p>
        </w:tc>
        <w:tc>
          <w:tcPr>
            <w:tcW w:w="50" w:type="pct"/>
            <w:shd w:val="clear" w:color="auto" w:fill="CCEEFF"/>
            <w:noWrap/>
            <w:vAlign w:val="center"/>
            <w:hideMark/>
          </w:tcPr>
          <w:p w14:paraId="36D3C3C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0A8BD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A2F20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62B9808" w14:textId="77777777" w:rsidR="00000000" w:rsidRDefault="00EB4933">
            <w:pPr>
              <w:jc w:val="right"/>
              <w:rPr>
                <w:rFonts w:eastAsia="Times New Roman"/>
                <w:sz w:val="20"/>
                <w:szCs w:val="20"/>
              </w:rPr>
            </w:pPr>
            <w:r>
              <w:rPr>
                <w:rFonts w:eastAsia="Times New Roman"/>
                <w:sz w:val="20"/>
                <w:szCs w:val="20"/>
              </w:rPr>
              <w:t>295</w:t>
            </w:r>
          </w:p>
        </w:tc>
        <w:tc>
          <w:tcPr>
            <w:tcW w:w="50" w:type="pct"/>
            <w:shd w:val="clear" w:color="auto" w:fill="CCEEFF"/>
            <w:noWrap/>
            <w:vAlign w:val="center"/>
            <w:hideMark/>
          </w:tcPr>
          <w:p w14:paraId="01747288" w14:textId="77777777" w:rsidR="00000000" w:rsidRDefault="00EB4933">
            <w:pPr>
              <w:pStyle w:val="NormalWeb"/>
              <w:spacing w:before="0" w:beforeAutospacing="0" w:after="0" w:afterAutospacing="0"/>
              <w:rPr>
                <w:sz w:val="20"/>
                <w:szCs w:val="20"/>
              </w:rPr>
            </w:pPr>
            <w:r>
              <w:rPr>
                <w:sz w:val="20"/>
                <w:szCs w:val="20"/>
              </w:rPr>
              <w:t> </w:t>
            </w:r>
          </w:p>
        </w:tc>
      </w:tr>
      <w:tr w:rsidR="00000000" w14:paraId="46F41352" w14:textId="77777777">
        <w:trPr>
          <w:divId w:val="98525094"/>
          <w:trHeight w:val="225"/>
          <w:tblCellSpacing w:w="15" w:type="dxa"/>
        </w:trPr>
        <w:tc>
          <w:tcPr>
            <w:tcW w:w="0" w:type="auto"/>
            <w:shd w:val="clear" w:color="auto" w:fill="FFFFFF"/>
            <w:hideMark/>
          </w:tcPr>
          <w:p w14:paraId="087504C8" w14:textId="77777777" w:rsidR="00000000" w:rsidRDefault="00EB4933">
            <w:pPr>
              <w:pStyle w:val="NormalWeb"/>
              <w:spacing w:before="0" w:beforeAutospacing="0" w:after="0" w:afterAutospacing="0"/>
              <w:rPr>
                <w:sz w:val="20"/>
                <w:szCs w:val="20"/>
              </w:rPr>
            </w:pPr>
            <w:r>
              <w:rPr>
                <w:sz w:val="20"/>
                <w:szCs w:val="20"/>
              </w:rPr>
              <w:t>Others</w:t>
            </w:r>
          </w:p>
        </w:tc>
        <w:tc>
          <w:tcPr>
            <w:tcW w:w="50" w:type="pct"/>
            <w:shd w:val="clear" w:color="auto" w:fill="FFFFFF"/>
            <w:noWrap/>
            <w:vAlign w:val="center"/>
            <w:hideMark/>
          </w:tcPr>
          <w:p w14:paraId="0C45168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17E9A9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0FCEF92" w14:textId="77777777" w:rsidR="00000000" w:rsidRDefault="00EB4933">
            <w:pPr>
              <w:jc w:val="right"/>
              <w:rPr>
                <w:rFonts w:eastAsia="Times New Roman"/>
                <w:sz w:val="20"/>
                <w:szCs w:val="20"/>
              </w:rPr>
            </w:pPr>
            <w:r>
              <w:rPr>
                <w:rFonts w:eastAsia="Times New Roman"/>
                <w:sz w:val="20"/>
                <w:szCs w:val="20"/>
              </w:rPr>
              <w:t>155</w:t>
            </w:r>
          </w:p>
        </w:tc>
        <w:tc>
          <w:tcPr>
            <w:tcW w:w="50" w:type="pct"/>
            <w:shd w:val="clear" w:color="auto" w:fill="FFFFFF"/>
            <w:noWrap/>
            <w:tcMar>
              <w:top w:w="0" w:type="dxa"/>
              <w:left w:w="0" w:type="dxa"/>
              <w:bottom w:w="15" w:type="dxa"/>
              <w:right w:w="0" w:type="dxa"/>
            </w:tcMar>
            <w:vAlign w:val="center"/>
            <w:hideMark/>
          </w:tcPr>
          <w:p w14:paraId="027F525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85893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2EE43F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9B1DCFA"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47774DE5" w14:textId="77777777" w:rsidR="00000000" w:rsidRDefault="00EB4933">
            <w:pPr>
              <w:pStyle w:val="NormalWeb"/>
              <w:spacing w:before="0" w:beforeAutospacing="0" w:after="0" w:afterAutospacing="0"/>
              <w:rPr>
                <w:sz w:val="20"/>
                <w:szCs w:val="20"/>
              </w:rPr>
            </w:pPr>
            <w:r>
              <w:rPr>
                <w:sz w:val="20"/>
                <w:szCs w:val="20"/>
              </w:rPr>
              <w:t> </w:t>
            </w:r>
          </w:p>
        </w:tc>
      </w:tr>
      <w:tr w:rsidR="00000000" w14:paraId="2BFF21C0" w14:textId="77777777">
        <w:trPr>
          <w:divId w:val="98525094"/>
          <w:trHeight w:val="225"/>
          <w:tblCellSpacing w:w="15" w:type="dxa"/>
        </w:trPr>
        <w:tc>
          <w:tcPr>
            <w:tcW w:w="0" w:type="auto"/>
            <w:shd w:val="clear" w:color="auto" w:fill="CCEEFF"/>
            <w:hideMark/>
          </w:tcPr>
          <w:p w14:paraId="1C96156C" w14:textId="77777777" w:rsidR="00000000" w:rsidRDefault="00EB4933">
            <w:pPr>
              <w:pStyle w:val="NormalWeb"/>
              <w:spacing w:before="0" w:beforeAutospacing="0" w:after="0" w:afterAutospacing="0"/>
              <w:rPr>
                <w:sz w:val="20"/>
                <w:szCs w:val="20"/>
              </w:rPr>
            </w:pPr>
            <w:r>
              <w:rPr>
                <w:sz w:val="20"/>
                <w:szCs w:val="20"/>
              </w:rPr>
              <w:t>Total</w:t>
            </w:r>
          </w:p>
        </w:tc>
        <w:tc>
          <w:tcPr>
            <w:tcW w:w="50" w:type="pct"/>
            <w:shd w:val="clear" w:color="auto" w:fill="CCEEFF"/>
            <w:noWrap/>
            <w:vAlign w:val="center"/>
            <w:hideMark/>
          </w:tcPr>
          <w:p w14:paraId="44C0818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836528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470955F1" w14:textId="77777777" w:rsidR="00000000" w:rsidRDefault="00EB4933">
            <w:pPr>
              <w:jc w:val="right"/>
              <w:rPr>
                <w:rFonts w:eastAsia="Times New Roman"/>
                <w:sz w:val="20"/>
                <w:szCs w:val="20"/>
              </w:rPr>
            </w:pPr>
            <w:r>
              <w:rPr>
                <w:rFonts w:eastAsia="Times New Roman"/>
                <w:sz w:val="20"/>
                <w:szCs w:val="20"/>
              </w:rPr>
              <w:t>1,038</w:t>
            </w:r>
          </w:p>
        </w:tc>
        <w:tc>
          <w:tcPr>
            <w:tcW w:w="50" w:type="pct"/>
            <w:shd w:val="clear" w:color="auto" w:fill="CCEEFF"/>
            <w:noWrap/>
            <w:tcMar>
              <w:top w:w="0" w:type="dxa"/>
              <w:left w:w="0" w:type="dxa"/>
              <w:bottom w:w="45" w:type="dxa"/>
              <w:right w:w="0" w:type="dxa"/>
            </w:tcMar>
            <w:vAlign w:val="center"/>
            <w:hideMark/>
          </w:tcPr>
          <w:p w14:paraId="4C32E84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05AA9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C6DF83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51D8008A" w14:textId="77777777" w:rsidR="00000000" w:rsidRDefault="00EB4933">
            <w:pPr>
              <w:jc w:val="right"/>
              <w:rPr>
                <w:rFonts w:eastAsia="Times New Roman"/>
                <w:sz w:val="20"/>
                <w:szCs w:val="20"/>
              </w:rPr>
            </w:pPr>
            <w:r>
              <w:rPr>
                <w:rFonts w:eastAsia="Times New Roman"/>
                <w:sz w:val="20"/>
                <w:szCs w:val="20"/>
              </w:rPr>
              <w:t>295</w:t>
            </w:r>
          </w:p>
        </w:tc>
        <w:tc>
          <w:tcPr>
            <w:tcW w:w="50" w:type="pct"/>
            <w:shd w:val="clear" w:color="auto" w:fill="CCEEFF"/>
            <w:noWrap/>
            <w:tcMar>
              <w:top w:w="0" w:type="dxa"/>
              <w:left w:w="0" w:type="dxa"/>
              <w:bottom w:w="45" w:type="dxa"/>
              <w:right w:w="0" w:type="dxa"/>
            </w:tcMar>
            <w:vAlign w:val="center"/>
            <w:hideMark/>
          </w:tcPr>
          <w:p w14:paraId="66998E90" w14:textId="77777777" w:rsidR="00000000" w:rsidRDefault="00EB4933">
            <w:pPr>
              <w:pStyle w:val="NormalWeb"/>
              <w:spacing w:before="0" w:beforeAutospacing="0" w:after="0" w:afterAutospacing="0"/>
              <w:rPr>
                <w:sz w:val="20"/>
                <w:szCs w:val="20"/>
              </w:rPr>
            </w:pPr>
            <w:r>
              <w:rPr>
                <w:sz w:val="20"/>
                <w:szCs w:val="20"/>
              </w:rPr>
              <w:t> </w:t>
            </w:r>
          </w:p>
        </w:tc>
      </w:tr>
    </w:tbl>
    <w:p w14:paraId="75BE8AC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9DDFD4F" w14:textId="77777777" w:rsidR="00000000" w:rsidRDefault="00EB4933">
      <w:pPr>
        <w:pStyle w:val="NormalWeb"/>
        <w:spacing w:before="0" w:beforeAutospacing="0" w:after="0" w:afterAutospacing="0"/>
        <w:ind w:left="675"/>
        <w:jc w:val="both"/>
        <w:divId w:val="98525094"/>
        <w:rPr>
          <w:sz w:val="20"/>
          <w:szCs w:val="20"/>
        </w:rPr>
      </w:pPr>
      <w:r>
        <w:rPr>
          <w:sz w:val="20"/>
          <w:szCs w:val="20"/>
          <w:vertAlign w:val="superscript"/>
        </w:rPr>
        <w:t>(1)</w:t>
      </w:r>
      <w:r>
        <w:rPr>
          <w:sz w:val="20"/>
          <w:szCs w:val="20"/>
        </w:rPr>
        <w:t xml:space="preserve"> </w:t>
      </w:r>
      <w:r>
        <w:rPr>
          <w:sz w:val="20"/>
          <w:szCs w:val="20"/>
        </w:rPr>
        <w:t>See Note 27 of Notes to the Consolidated Financial Statements, section 1. Lease of office space from a shareholder for detailed disclosure.</w:t>
      </w:r>
    </w:p>
    <w:p w14:paraId="444B8874"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20BEB24B" w14:textId="77777777" w:rsidR="00000000" w:rsidRDefault="00EB4933">
      <w:pPr>
        <w:pStyle w:val="NormalWeb"/>
        <w:spacing w:before="0" w:beforeAutospacing="0" w:after="0" w:afterAutospacing="0"/>
        <w:ind w:left="675"/>
        <w:jc w:val="both"/>
        <w:divId w:val="98525094"/>
        <w:rPr>
          <w:sz w:val="20"/>
          <w:szCs w:val="20"/>
        </w:rPr>
      </w:pPr>
      <w:r>
        <w:rPr>
          <w:sz w:val="20"/>
          <w:szCs w:val="20"/>
          <w:vertAlign w:val="superscript"/>
        </w:rPr>
        <w:t>(2)</w:t>
      </w:r>
      <w:r>
        <w:rPr>
          <w:sz w:val="20"/>
          <w:szCs w:val="20"/>
        </w:rPr>
        <w:t xml:space="preserve"> See Note 27 of Notes to the Consolidated Financial Statements, section 2. Subleasing income with a related par</w:t>
      </w:r>
      <w:r>
        <w:rPr>
          <w:sz w:val="20"/>
          <w:szCs w:val="20"/>
        </w:rPr>
        <w:t xml:space="preserve">ty for detailed disclosure. </w:t>
      </w:r>
    </w:p>
    <w:p w14:paraId="4ECAAD27"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BD35E3B" w14:textId="77777777">
        <w:trPr>
          <w:divId w:val="98525094"/>
          <w:trHeight w:val="225"/>
          <w:tblCellSpacing w:w="15" w:type="dxa"/>
        </w:trPr>
        <w:tc>
          <w:tcPr>
            <w:tcW w:w="0" w:type="auto"/>
            <w:vAlign w:val="center"/>
            <w:hideMark/>
          </w:tcPr>
          <w:p w14:paraId="50619D10" w14:textId="77777777" w:rsidR="00000000" w:rsidRDefault="00EB4933">
            <w:pPr>
              <w:rPr>
                <w:rFonts w:eastAsia="Times New Roman"/>
                <w:sz w:val="20"/>
                <w:szCs w:val="20"/>
              </w:rPr>
            </w:pPr>
            <w:r>
              <w:rPr>
                <w:rFonts w:eastAsia="Times New Roman"/>
                <w:sz w:val="20"/>
                <w:szCs w:val="20"/>
              </w:rPr>
              <w:t> </w:t>
            </w:r>
          </w:p>
        </w:tc>
      </w:tr>
      <w:tr w:rsidR="00000000" w14:paraId="622C0381" w14:textId="77777777">
        <w:trPr>
          <w:divId w:val="98525094"/>
          <w:trHeight w:val="225"/>
          <w:tblCellSpacing w:w="15" w:type="dxa"/>
        </w:trPr>
        <w:tc>
          <w:tcPr>
            <w:tcW w:w="0" w:type="auto"/>
            <w:tcBorders>
              <w:bottom w:val="single" w:sz="6" w:space="0" w:color="000000"/>
            </w:tcBorders>
            <w:vAlign w:val="center"/>
            <w:hideMark/>
          </w:tcPr>
          <w:p w14:paraId="06D2DB19" w14:textId="77777777" w:rsidR="00000000" w:rsidRDefault="00EB4933">
            <w:pPr>
              <w:jc w:val="center"/>
              <w:rPr>
                <w:rFonts w:eastAsia="Times New Roman"/>
                <w:sz w:val="20"/>
                <w:szCs w:val="20"/>
              </w:rPr>
            </w:pPr>
            <w:r>
              <w:rPr>
                <w:rFonts w:eastAsia="Times New Roman"/>
                <w:sz w:val="20"/>
                <w:szCs w:val="20"/>
              </w:rPr>
              <w:t>F-54</w:t>
            </w:r>
          </w:p>
        </w:tc>
      </w:tr>
      <w:tr w:rsidR="00000000" w14:paraId="0F601A50" w14:textId="77777777">
        <w:trPr>
          <w:divId w:val="98525094"/>
          <w:trHeight w:val="225"/>
          <w:tblCellSpacing w:w="15" w:type="dxa"/>
        </w:trPr>
        <w:tc>
          <w:tcPr>
            <w:tcW w:w="0" w:type="auto"/>
            <w:vAlign w:val="center"/>
            <w:hideMark/>
          </w:tcPr>
          <w:p w14:paraId="4D8F5942" w14:textId="77777777" w:rsidR="00000000" w:rsidRDefault="00EB4933">
            <w:pPr>
              <w:rPr>
                <w:rFonts w:eastAsia="Times New Roman"/>
                <w:sz w:val="20"/>
                <w:szCs w:val="20"/>
              </w:rPr>
            </w:pPr>
          </w:p>
        </w:tc>
      </w:tr>
      <w:tr w:rsidR="00000000" w14:paraId="0897FD0B" w14:textId="77777777">
        <w:trPr>
          <w:divId w:val="98525094"/>
          <w:trHeight w:val="225"/>
          <w:tblCellSpacing w:w="15" w:type="dxa"/>
        </w:trPr>
        <w:tc>
          <w:tcPr>
            <w:tcW w:w="0" w:type="auto"/>
            <w:vAlign w:val="center"/>
            <w:hideMark/>
          </w:tcPr>
          <w:p w14:paraId="74DE20AA" w14:textId="77777777" w:rsidR="00000000" w:rsidRDefault="00EB4933">
            <w:pPr>
              <w:rPr>
                <w:rFonts w:eastAsia="Times New Roman"/>
                <w:sz w:val="20"/>
                <w:szCs w:val="20"/>
              </w:rPr>
            </w:pPr>
            <w:hyperlink r:id="rId271" w:anchor="finindex" w:history="1">
              <w:r>
                <w:rPr>
                  <w:rStyle w:val="Hyperlink"/>
                  <w:rFonts w:eastAsia="Times New Roman"/>
                  <w:i/>
                  <w:iCs/>
                  <w:sz w:val="20"/>
                  <w:szCs w:val="20"/>
                </w:rPr>
                <w:t>Table of Contents</w:t>
              </w:r>
            </w:hyperlink>
          </w:p>
        </w:tc>
      </w:tr>
    </w:tbl>
    <w:p w14:paraId="49D3360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6CCC319"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38656907"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257B0E4E"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7CE09B3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FAFF88E" w14:textId="77777777" w:rsidR="00000000" w:rsidRDefault="00EB4933">
      <w:pPr>
        <w:pStyle w:val="NormalWeb"/>
        <w:spacing w:before="0" w:beforeAutospacing="0" w:after="0" w:afterAutospacing="0"/>
        <w:jc w:val="both"/>
        <w:divId w:val="98525094"/>
        <w:rPr>
          <w:sz w:val="20"/>
          <w:szCs w:val="20"/>
        </w:rPr>
      </w:pPr>
      <w:r>
        <w:rPr>
          <w:rStyle w:val="Strong"/>
          <w:sz w:val="20"/>
          <w:szCs w:val="20"/>
        </w:rPr>
        <w:t>17. Property and equipment</w:t>
      </w:r>
    </w:p>
    <w:p w14:paraId="2CDF3C6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B1DD71A" w14:textId="77777777" w:rsidR="00000000" w:rsidRDefault="00EB4933">
      <w:pPr>
        <w:pStyle w:val="NormalWeb"/>
        <w:spacing w:before="0" w:beforeAutospacing="0" w:after="0" w:afterAutospacing="0"/>
        <w:ind w:left="675"/>
        <w:jc w:val="both"/>
        <w:divId w:val="98525094"/>
        <w:rPr>
          <w:sz w:val="20"/>
          <w:szCs w:val="20"/>
        </w:rPr>
      </w:pPr>
      <w:r>
        <w:rPr>
          <w:sz w:val="20"/>
          <w:szCs w:val="20"/>
        </w:rPr>
        <w:t>The Group’s property and equipment consisted of the following:</w:t>
      </w:r>
    </w:p>
    <w:p w14:paraId="12D1A816" w14:textId="77777777" w:rsidR="00000000" w:rsidRDefault="00EB4933">
      <w:pPr>
        <w:pStyle w:val="NormalWeb"/>
        <w:spacing w:before="0" w:beforeAutospacing="0" w:after="0" w:afterAutospacing="0"/>
        <w:ind w:left="72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2948"/>
        <w:gridCol w:w="86"/>
        <w:gridCol w:w="111"/>
        <w:gridCol w:w="753"/>
        <w:gridCol w:w="80"/>
        <w:gridCol w:w="82"/>
        <w:gridCol w:w="111"/>
        <w:gridCol w:w="753"/>
        <w:gridCol w:w="97"/>
        <w:gridCol w:w="80"/>
        <w:gridCol w:w="119"/>
        <w:gridCol w:w="823"/>
        <w:gridCol w:w="80"/>
        <w:gridCol w:w="86"/>
        <w:gridCol w:w="150"/>
        <w:gridCol w:w="1102"/>
        <w:gridCol w:w="87"/>
        <w:gridCol w:w="87"/>
        <w:gridCol w:w="111"/>
        <w:gridCol w:w="753"/>
        <w:gridCol w:w="112"/>
      </w:tblGrid>
      <w:tr w:rsidR="00000000" w14:paraId="3E437CC7" w14:textId="77777777">
        <w:trPr>
          <w:divId w:val="98525094"/>
          <w:trHeight w:val="225"/>
          <w:tblCellSpacing w:w="15" w:type="dxa"/>
        </w:trPr>
        <w:tc>
          <w:tcPr>
            <w:tcW w:w="0" w:type="auto"/>
            <w:vAlign w:val="center"/>
            <w:hideMark/>
          </w:tcPr>
          <w:p w14:paraId="102A0AD8"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7EEB27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5B409F2C" w14:textId="77777777" w:rsidR="00000000" w:rsidRDefault="00EB4933">
            <w:pPr>
              <w:pStyle w:val="NormalWeb"/>
              <w:spacing w:before="0" w:beforeAutospacing="0" w:after="0" w:afterAutospacing="0"/>
              <w:jc w:val="center"/>
              <w:rPr>
                <w:sz w:val="20"/>
                <w:szCs w:val="20"/>
              </w:rPr>
            </w:pPr>
            <w:r>
              <w:rPr>
                <w:rStyle w:val="Strong"/>
                <w:sz w:val="20"/>
                <w:szCs w:val="20"/>
              </w:rPr>
              <w:t>Property</w:t>
            </w:r>
          </w:p>
        </w:tc>
        <w:tc>
          <w:tcPr>
            <w:tcW w:w="0" w:type="auto"/>
            <w:noWrap/>
            <w:vAlign w:val="center"/>
            <w:hideMark/>
          </w:tcPr>
          <w:p w14:paraId="59273A11"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0EB8B45"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774AC1E3" w14:textId="77777777" w:rsidR="00000000" w:rsidRDefault="00EB4933">
            <w:pPr>
              <w:pStyle w:val="NormalWeb"/>
              <w:spacing w:before="0" w:beforeAutospacing="0" w:after="0" w:afterAutospacing="0"/>
              <w:jc w:val="center"/>
              <w:rPr>
                <w:sz w:val="20"/>
                <w:szCs w:val="20"/>
              </w:rPr>
            </w:pPr>
            <w:r>
              <w:rPr>
                <w:rStyle w:val="Strong"/>
                <w:sz w:val="20"/>
                <w:szCs w:val="20"/>
              </w:rPr>
              <w:t>Motor</w:t>
            </w:r>
          </w:p>
          <w:p w14:paraId="09FD09EB" w14:textId="77777777" w:rsidR="00000000" w:rsidRDefault="00EB4933">
            <w:pPr>
              <w:pStyle w:val="NormalWeb"/>
              <w:spacing w:before="0" w:beforeAutospacing="0" w:after="0" w:afterAutospacing="0"/>
              <w:jc w:val="center"/>
              <w:rPr>
                <w:sz w:val="20"/>
                <w:szCs w:val="20"/>
              </w:rPr>
            </w:pPr>
            <w:r>
              <w:rPr>
                <w:rStyle w:val="Strong"/>
                <w:sz w:val="20"/>
                <w:szCs w:val="20"/>
              </w:rPr>
              <w:t>vehicle</w:t>
            </w:r>
          </w:p>
        </w:tc>
        <w:tc>
          <w:tcPr>
            <w:tcW w:w="0" w:type="auto"/>
            <w:noWrap/>
            <w:vAlign w:val="center"/>
            <w:hideMark/>
          </w:tcPr>
          <w:p w14:paraId="4B7237F0"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7D8DB8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556AFF72" w14:textId="77777777" w:rsidR="00000000" w:rsidRDefault="00EB4933">
            <w:pPr>
              <w:pStyle w:val="NormalWeb"/>
              <w:spacing w:before="0" w:beforeAutospacing="0" w:after="0" w:afterAutospacing="0"/>
              <w:jc w:val="center"/>
              <w:rPr>
                <w:sz w:val="20"/>
                <w:szCs w:val="20"/>
              </w:rPr>
            </w:pPr>
            <w:r>
              <w:rPr>
                <w:rStyle w:val="Strong"/>
                <w:sz w:val="20"/>
                <w:szCs w:val="20"/>
              </w:rPr>
              <w:t>Office</w:t>
            </w:r>
          </w:p>
          <w:p w14:paraId="04D688D1" w14:textId="77777777" w:rsidR="00000000" w:rsidRDefault="00EB4933">
            <w:pPr>
              <w:pStyle w:val="NormalWeb"/>
              <w:spacing w:before="0" w:beforeAutospacing="0" w:after="0" w:afterAutospacing="0"/>
              <w:jc w:val="center"/>
              <w:rPr>
                <w:sz w:val="20"/>
                <w:szCs w:val="20"/>
              </w:rPr>
            </w:pPr>
            <w:r>
              <w:rPr>
                <w:rStyle w:val="Strong"/>
                <w:sz w:val="20"/>
                <w:szCs w:val="20"/>
              </w:rPr>
              <w:t>equipment &amp; furniture</w:t>
            </w:r>
          </w:p>
        </w:tc>
        <w:tc>
          <w:tcPr>
            <w:tcW w:w="0" w:type="auto"/>
            <w:noWrap/>
            <w:vAlign w:val="center"/>
            <w:hideMark/>
          </w:tcPr>
          <w:p w14:paraId="354B6995"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91E40B0"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08A46553" w14:textId="77777777" w:rsidR="00000000" w:rsidRDefault="00EB4933">
            <w:pPr>
              <w:pStyle w:val="NormalWeb"/>
              <w:spacing w:before="0" w:beforeAutospacing="0" w:after="0" w:afterAutospacing="0"/>
              <w:jc w:val="center"/>
              <w:rPr>
                <w:sz w:val="20"/>
                <w:szCs w:val="20"/>
              </w:rPr>
            </w:pPr>
            <w:r>
              <w:rPr>
                <w:rStyle w:val="Strong"/>
                <w:sz w:val="20"/>
                <w:szCs w:val="20"/>
              </w:rPr>
              <w:t>Leasehold improvements</w:t>
            </w:r>
          </w:p>
        </w:tc>
        <w:tc>
          <w:tcPr>
            <w:tcW w:w="0" w:type="auto"/>
            <w:noWrap/>
            <w:vAlign w:val="center"/>
            <w:hideMark/>
          </w:tcPr>
          <w:p w14:paraId="25CFDC4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24228F8"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2F2A8D22" w14:textId="77777777" w:rsidR="00000000" w:rsidRDefault="00EB4933">
            <w:pPr>
              <w:pStyle w:val="NormalWeb"/>
              <w:spacing w:before="0" w:beforeAutospacing="0" w:after="0" w:afterAutospacing="0"/>
              <w:jc w:val="center"/>
              <w:rPr>
                <w:sz w:val="20"/>
                <w:szCs w:val="20"/>
              </w:rPr>
            </w:pPr>
            <w:r>
              <w:rPr>
                <w:rStyle w:val="Strong"/>
                <w:sz w:val="20"/>
                <w:szCs w:val="20"/>
              </w:rPr>
              <w:t>Total</w:t>
            </w:r>
          </w:p>
        </w:tc>
        <w:tc>
          <w:tcPr>
            <w:tcW w:w="0" w:type="auto"/>
            <w:noWrap/>
            <w:vAlign w:val="center"/>
            <w:hideMark/>
          </w:tcPr>
          <w:p w14:paraId="0E751F6E" w14:textId="77777777" w:rsidR="00000000" w:rsidRDefault="00EB4933">
            <w:pPr>
              <w:pStyle w:val="NormalWeb"/>
              <w:spacing w:before="0" w:beforeAutospacing="0" w:after="0" w:afterAutospacing="0"/>
              <w:rPr>
                <w:sz w:val="20"/>
                <w:szCs w:val="20"/>
              </w:rPr>
            </w:pPr>
            <w:r>
              <w:rPr>
                <w:sz w:val="20"/>
                <w:szCs w:val="20"/>
              </w:rPr>
              <w:t> </w:t>
            </w:r>
          </w:p>
        </w:tc>
      </w:tr>
      <w:tr w:rsidR="00000000" w14:paraId="22E50EC2" w14:textId="77777777">
        <w:trPr>
          <w:divId w:val="98525094"/>
          <w:trHeight w:val="225"/>
          <w:tblCellSpacing w:w="15" w:type="dxa"/>
        </w:trPr>
        <w:tc>
          <w:tcPr>
            <w:tcW w:w="0" w:type="auto"/>
            <w:vAlign w:val="center"/>
            <w:hideMark/>
          </w:tcPr>
          <w:p w14:paraId="3E16B283"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7CB2BBA"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185933C6"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tcMar>
              <w:top w:w="0" w:type="dxa"/>
              <w:left w:w="0" w:type="dxa"/>
              <w:bottom w:w="15" w:type="dxa"/>
              <w:right w:w="0" w:type="dxa"/>
            </w:tcMar>
            <w:vAlign w:val="center"/>
            <w:hideMark/>
          </w:tcPr>
          <w:p w14:paraId="3123E50F"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91737C8"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1AC3CA80"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tcMar>
              <w:top w:w="0" w:type="dxa"/>
              <w:left w:w="0" w:type="dxa"/>
              <w:bottom w:w="15" w:type="dxa"/>
              <w:right w:w="0" w:type="dxa"/>
            </w:tcMar>
            <w:vAlign w:val="center"/>
            <w:hideMark/>
          </w:tcPr>
          <w:p w14:paraId="643C57FB"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A081CF5"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244BEEF9"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tcMar>
              <w:top w:w="0" w:type="dxa"/>
              <w:left w:w="0" w:type="dxa"/>
              <w:bottom w:w="15" w:type="dxa"/>
              <w:right w:w="0" w:type="dxa"/>
            </w:tcMar>
            <w:vAlign w:val="center"/>
            <w:hideMark/>
          </w:tcPr>
          <w:p w14:paraId="101B85A0"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AE2035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1BA64379"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tcMar>
              <w:top w:w="0" w:type="dxa"/>
              <w:left w:w="0" w:type="dxa"/>
              <w:bottom w:w="15" w:type="dxa"/>
              <w:right w:w="0" w:type="dxa"/>
            </w:tcMar>
            <w:vAlign w:val="center"/>
            <w:hideMark/>
          </w:tcPr>
          <w:p w14:paraId="547734E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C354161"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221A20AC"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tcMar>
              <w:top w:w="0" w:type="dxa"/>
              <w:left w:w="0" w:type="dxa"/>
              <w:bottom w:w="15" w:type="dxa"/>
              <w:right w:w="0" w:type="dxa"/>
            </w:tcMar>
            <w:vAlign w:val="center"/>
            <w:hideMark/>
          </w:tcPr>
          <w:p w14:paraId="5F6438D4" w14:textId="77777777" w:rsidR="00000000" w:rsidRDefault="00EB4933">
            <w:pPr>
              <w:pStyle w:val="NormalWeb"/>
              <w:spacing w:before="0" w:beforeAutospacing="0" w:after="0" w:afterAutospacing="0"/>
              <w:rPr>
                <w:sz w:val="20"/>
                <w:szCs w:val="20"/>
              </w:rPr>
            </w:pPr>
            <w:r>
              <w:rPr>
                <w:sz w:val="20"/>
                <w:szCs w:val="20"/>
              </w:rPr>
              <w:t> </w:t>
            </w:r>
          </w:p>
        </w:tc>
      </w:tr>
      <w:tr w:rsidR="00000000" w14:paraId="29082BB7" w14:textId="77777777">
        <w:trPr>
          <w:divId w:val="98525094"/>
          <w:trHeight w:val="225"/>
          <w:tblCellSpacing w:w="15" w:type="dxa"/>
        </w:trPr>
        <w:tc>
          <w:tcPr>
            <w:tcW w:w="0" w:type="auto"/>
            <w:hideMark/>
          </w:tcPr>
          <w:p w14:paraId="4873F7FA" w14:textId="77777777" w:rsidR="00000000" w:rsidRDefault="00EB4933">
            <w:pPr>
              <w:pStyle w:val="NormalWeb"/>
              <w:spacing w:before="0" w:beforeAutospacing="0" w:after="0" w:afterAutospacing="0"/>
              <w:jc w:val="both"/>
              <w:rPr>
                <w:sz w:val="20"/>
                <w:szCs w:val="20"/>
              </w:rPr>
            </w:pPr>
            <w:r>
              <w:rPr>
                <w:rStyle w:val="Strong"/>
                <w:sz w:val="20"/>
                <w:szCs w:val="20"/>
              </w:rPr>
              <w:t>Cost</w:t>
            </w:r>
          </w:p>
        </w:tc>
        <w:tc>
          <w:tcPr>
            <w:tcW w:w="50" w:type="pct"/>
            <w:noWrap/>
            <w:vAlign w:val="center"/>
            <w:hideMark/>
          </w:tcPr>
          <w:p w14:paraId="23FD00F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C1A168F"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FE05333"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BE4B0E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F6384E8"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7EE7CD7"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33825AA"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5C09B144"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AE2549E"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7D5263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2727C65A"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BF13147"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EFC4EAE"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2063338B"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8BD162B" w14:textId="77777777" w:rsidR="00000000" w:rsidRDefault="00EB4933">
            <w:pPr>
              <w:pStyle w:val="NormalWeb"/>
              <w:spacing w:before="0" w:beforeAutospacing="0" w:after="0" w:afterAutospacing="0"/>
              <w:rPr>
                <w:sz w:val="20"/>
                <w:szCs w:val="20"/>
              </w:rPr>
            </w:pPr>
            <w:r>
              <w:rPr>
                <w:sz w:val="20"/>
                <w:szCs w:val="20"/>
              </w:rPr>
              <w:t> </w:t>
            </w:r>
          </w:p>
        </w:tc>
      </w:tr>
      <w:tr w:rsidR="00000000" w14:paraId="2215C9FD" w14:textId="77777777">
        <w:trPr>
          <w:divId w:val="98525094"/>
          <w:trHeight w:val="225"/>
          <w:tblCellSpacing w:w="15" w:type="dxa"/>
        </w:trPr>
        <w:tc>
          <w:tcPr>
            <w:tcW w:w="0" w:type="auto"/>
            <w:shd w:val="clear" w:color="auto" w:fill="CCEEFF"/>
            <w:hideMark/>
          </w:tcPr>
          <w:p w14:paraId="3981D8E2" w14:textId="77777777" w:rsidR="00000000" w:rsidRDefault="00EB4933">
            <w:pPr>
              <w:pStyle w:val="NormalWeb"/>
              <w:spacing w:before="0" w:beforeAutospacing="0" w:after="0" w:afterAutospacing="0"/>
              <w:jc w:val="both"/>
              <w:rPr>
                <w:sz w:val="20"/>
                <w:szCs w:val="20"/>
              </w:rPr>
            </w:pPr>
            <w:r>
              <w:rPr>
                <w:sz w:val="20"/>
                <w:szCs w:val="20"/>
              </w:rPr>
              <w:t>At January 1, 2018</w:t>
            </w:r>
          </w:p>
        </w:tc>
        <w:tc>
          <w:tcPr>
            <w:tcW w:w="50" w:type="pct"/>
            <w:shd w:val="clear" w:color="auto" w:fill="CCEEFF"/>
            <w:noWrap/>
            <w:vAlign w:val="center"/>
            <w:hideMark/>
          </w:tcPr>
          <w:p w14:paraId="456A21E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A47A6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7F8C48B"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D98DD6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72177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FA739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63229E6" w14:textId="77777777" w:rsidR="00000000" w:rsidRDefault="00EB4933">
            <w:pPr>
              <w:jc w:val="right"/>
              <w:rPr>
                <w:rFonts w:eastAsia="Times New Roman"/>
                <w:sz w:val="20"/>
                <w:szCs w:val="20"/>
              </w:rPr>
            </w:pPr>
            <w:r>
              <w:rPr>
                <w:rFonts w:eastAsia="Times New Roman"/>
                <w:sz w:val="20"/>
                <w:szCs w:val="20"/>
              </w:rPr>
              <w:t>995</w:t>
            </w:r>
          </w:p>
        </w:tc>
        <w:tc>
          <w:tcPr>
            <w:tcW w:w="50" w:type="pct"/>
            <w:shd w:val="clear" w:color="auto" w:fill="CCEEFF"/>
            <w:noWrap/>
            <w:vAlign w:val="center"/>
            <w:hideMark/>
          </w:tcPr>
          <w:p w14:paraId="0D7E2AB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39268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884C3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2E153F1" w14:textId="77777777" w:rsidR="00000000" w:rsidRDefault="00EB4933">
            <w:pPr>
              <w:jc w:val="right"/>
              <w:rPr>
                <w:rFonts w:eastAsia="Times New Roman"/>
                <w:sz w:val="20"/>
                <w:szCs w:val="20"/>
              </w:rPr>
            </w:pPr>
            <w:r>
              <w:rPr>
                <w:rFonts w:eastAsia="Times New Roman"/>
                <w:sz w:val="20"/>
                <w:szCs w:val="20"/>
              </w:rPr>
              <w:t>408</w:t>
            </w:r>
          </w:p>
        </w:tc>
        <w:tc>
          <w:tcPr>
            <w:tcW w:w="50" w:type="pct"/>
            <w:shd w:val="clear" w:color="auto" w:fill="CCEEFF"/>
            <w:noWrap/>
            <w:vAlign w:val="center"/>
            <w:hideMark/>
          </w:tcPr>
          <w:p w14:paraId="595E1C9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7BB71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2C500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A066EB1" w14:textId="77777777" w:rsidR="00000000" w:rsidRDefault="00EB4933">
            <w:pPr>
              <w:jc w:val="right"/>
              <w:rPr>
                <w:rFonts w:eastAsia="Times New Roman"/>
                <w:sz w:val="20"/>
                <w:szCs w:val="20"/>
              </w:rPr>
            </w:pPr>
            <w:r>
              <w:rPr>
                <w:rFonts w:eastAsia="Times New Roman"/>
                <w:sz w:val="20"/>
                <w:szCs w:val="20"/>
              </w:rPr>
              <w:t>1,158</w:t>
            </w:r>
          </w:p>
        </w:tc>
        <w:tc>
          <w:tcPr>
            <w:tcW w:w="50" w:type="pct"/>
            <w:shd w:val="clear" w:color="auto" w:fill="CCEEFF"/>
            <w:noWrap/>
            <w:vAlign w:val="center"/>
            <w:hideMark/>
          </w:tcPr>
          <w:p w14:paraId="33D1297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A3141D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B73C4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6915187" w14:textId="77777777" w:rsidR="00000000" w:rsidRDefault="00EB4933">
            <w:pPr>
              <w:jc w:val="right"/>
              <w:rPr>
                <w:rFonts w:eastAsia="Times New Roman"/>
                <w:sz w:val="20"/>
                <w:szCs w:val="20"/>
              </w:rPr>
            </w:pPr>
            <w:r>
              <w:rPr>
                <w:rFonts w:eastAsia="Times New Roman"/>
                <w:sz w:val="20"/>
                <w:szCs w:val="20"/>
              </w:rPr>
              <w:t>2,561</w:t>
            </w:r>
          </w:p>
        </w:tc>
        <w:tc>
          <w:tcPr>
            <w:tcW w:w="50" w:type="pct"/>
            <w:shd w:val="clear" w:color="auto" w:fill="CCEEFF"/>
            <w:noWrap/>
            <w:vAlign w:val="center"/>
            <w:hideMark/>
          </w:tcPr>
          <w:p w14:paraId="6FF19609" w14:textId="77777777" w:rsidR="00000000" w:rsidRDefault="00EB4933">
            <w:pPr>
              <w:pStyle w:val="NormalWeb"/>
              <w:spacing w:before="0" w:beforeAutospacing="0" w:after="0" w:afterAutospacing="0"/>
              <w:rPr>
                <w:sz w:val="20"/>
                <w:szCs w:val="20"/>
              </w:rPr>
            </w:pPr>
            <w:r>
              <w:rPr>
                <w:sz w:val="20"/>
                <w:szCs w:val="20"/>
              </w:rPr>
              <w:t> </w:t>
            </w:r>
          </w:p>
        </w:tc>
      </w:tr>
      <w:tr w:rsidR="00000000" w14:paraId="0695E436" w14:textId="77777777">
        <w:trPr>
          <w:divId w:val="98525094"/>
          <w:trHeight w:val="225"/>
          <w:tblCellSpacing w:w="15" w:type="dxa"/>
        </w:trPr>
        <w:tc>
          <w:tcPr>
            <w:tcW w:w="0" w:type="auto"/>
            <w:shd w:val="clear" w:color="auto" w:fill="FFFFFF"/>
            <w:hideMark/>
          </w:tcPr>
          <w:p w14:paraId="38F2A5FC" w14:textId="77777777" w:rsidR="00000000" w:rsidRDefault="00EB4933">
            <w:pPr>
              <w:pStyle w:val="NormalWeb"/>
              <w:spacing w:before="0" w:beforeAutospacing="0" w:after="0" w:afterAutospacing="0"/>
              <w:jc w:val="both"/>
              <w:rPr>
                <w:sz w:val="20"/>
                <w:szCs w:val="20"/>
              </w:rPr>
            </w:pPr>
            <w:r>
              <w:rPr>
                <w:sz w:val="20"/>
                <w:szCs w:val="20"/>
              </w:rPr>
              <w:t>Additions</w:t>
            </w:r>
          </w:p>
        </w:tc>
        <w:tc>
          <w:tcPr>
            <w:tcW w:w="50" w:type="pct"/>
            <w:shd w:val="clear" w:color="auto" w:fill="FFFFFF"/>
            <w:noWrap/>
            <w:vAlign w:val="center"/>
            <w:hideMark/>
          </w:tcPr>
          <w:p w14:paraId="4FD67B6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249FE5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BAFC945" w14:textId="77777777" w:rsidR="00000000" w:rsidRDefault="00EB4933">
            <w:pPr>
              <w:jc w:val="right"/>
              <w:rPr>
                <w:rFonts w:eastAsia="Times New Roman"/>
                <w:sz w:val="20"/>
                <w:szCs w:val="20"/>
              </w:rPr>
            </w:pPr>
            <w:r>
              <w:rPr>
                <w:rFonts w:eastAsia="Times New Roman"/>
                <w:sz w:val="20"/>
                <w:szCs w:val="20"/>
              </w:rPr>
              <w:t>47,908</w:t>
            </w:r>
          </w:p>
        </w:tc>
        <w:tc>
          <w:tcPr>
            <w:tcW w:w="50" w:type="pct"/>
            <w:shd w:val="clear" w:color="auto" w:fill="FFFFFF"/>
            <w:noWrap/>
            <w:tcMar>
              <w:top w:w="0" w:type="dxa"/>
              <w:left w:w="0" w:type="dxa"/>
              <w:bottom w:w="15" w:type="dxa"/>
              <w:right w:w="0" w:type="dxa"/>
            </w:tcMar>
            <w:vAlign w:val="center"/>
            <w:hideMark/>
          </w:tcPr>
          <w:p w14:paraId="41C9183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B38A2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4C85B5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56478D7"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7A7C82F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B9BDD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1B48EE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6DA73A1" w14:textId="77777777" w:rsidR="00000000" w:rsidRDefault="00EB4933">
            <w:pPr>
              <w:jc w:val="right"/>
              <w:rPr>
                <w:rFonts w:eastAsia="Times New Roman"/>
                <w:sz w:val="20"/>
                <w:szCs w:val="20"/>
              </w:rPr>
            </w:pPr>
            <w:r>
              <w:rPr>
                <w:rFonts w:eastAsia="Times New Roman"/>
                <w:sz w:val="20"/>
                <w:szCs w:val="20"/>
              </w:rPr>
              <w:t>631</w:t>
            </w:r>
          </w:p>
        </w:tc>
        <w:tc>
          <w:tcPr>
            <w:tcW w:w="50" w:type="pct"/>
            <w:shd w:val="clear" w:color="auto" w:fill="FFFFFF"/>
            <w:noWrap/>
            <w:tcMar>
              <w:top w:w="0" w:type="dxa"/>
              <w:left w:w="0" w:type="dxa"/>
              <w:bottom w:w="15" w:type="dxa"/>
              <w:right w:w="0" w:type="dxa"/>
            </w:tcMar>
            <w:vAlign w:val="center"/>
            <w:hideMark/>
          </w:tcPr>
          <w:p w14:paraId="1592C72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EFBB1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9E99F4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291120F" w14:textId="77777777" w:rsidR="00000000" w:rsidRDefault="00EB4933">
            <w:pPr>
              <w:jc w:val="right"/>
              <w:rPr>
                <w:rFonts w:eastAsia="Times New Roman"/>
                <w:sz w:val="20"/>
                <w:szCs w:val="20"/>
              </w:rPr>
            </w:pPr>
            <w:r>
              <w:rPr>
                <w:rFonts w:eastAsia="Times New Roman"/>
                <w:sz w:val="20"/>
                <w:szCs w:val="20"/>
              </w:rPr>
              <w:t>2,765</w:t>
            </w:r>
          </w:p>
        </w:tc>
        <w:tc>
          <w:tcPr>
            <w:tcW w:w="50" w:type="pct"/>
            <w:shd w:val="clear" w:color="auto" w:fill="FFFFFF"/>
            <w:noWrap/>
            <w:tcMar>
              <w:top w:w="0" w:type="dxa"/>
              <w:left w:w="0" w:type="dxa"/>
              <w:bottom w:w="15" w:type="dxa"/>
              <w:right w:w="0" w:type="dxa"/>
            </w:tcMar>
            <w:vAlign w:val="center"/>
            <w:hideMark/>
          </w:tcPr>
          <w:p w14:paraId="026E8F1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73027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532B57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569BC4D" w14:textId="77777777" w:rsidR="00000000" w:rsidRDefault="00EB4933">
            <w:pPr>
              <w:jc w:val="right"/>
              <w:rPr>
                <w:rFonts w:eastAsia="Times New Roman"/>
                <w:sz w:val="20"/>
                <w:szCs w:val="20"/>
              </w:rPr>
            </w:pPr>
            <w:r>
              <w:rPr>
                <w:rFonts w:eastAsia="Times New Roman"/>
                <w:sz w:val="20"/>
                <w:szCs w:val="20"/>
              </w:rPr>
              <w:t>51,304</w:t>
            </w:r>
          </w:p>
        </w:tc>
        <w:tc>
          <w:tcPr>
            <w:tcW w:w="50" w:type="pct"/>
            <w:shd w:val="clear" w:color="auto" w:fill="FFFFFF"/>
            <w:noWrap/>
            <w:tcMar>
              <w:top w:w="0" w:type="dxa"/>
              <w:left w:w="0" w:type="dxa"/>
              <w:bottom w:w="15" w:type="dxa"/>
              <w:right w:w="0" w:type="dxa"/>
            </w:tcMar>
            <w:vAlign w:val="center"/>
            <w:hideMark/>
          </w:tcPr>
          <w:p w14:paraId="2469B6C8" w14:textId="77777777" w:rsidR="00000000" w:rsidRDefault="00EB4933">
            <w:pPr>
              <w:pStyle w:val="NormalWeb"/>
              <w:spacing w:before="0" w:beforeAutospacing="0" w:after="0" w:afterAutospacing="0"/>
              <w:rPr>
                <w:sz w:val="20"/>
                <w:szCs w:val="20"/>
              </w:rPr>
            </w:pPr>
            <w:r>
              <w:rPr>
                <w:sz w:val="20"/>
                <w:szCs w:val="20"/>
              </w:rPr>
              <w:t> </w:t>
            </w:r>
          </w:p>
        </w:tc>
      </w:tr>
      <w:tr w:rsidR="00000000" w14:paraId="64E10A99" w14:textId="77777777">
        <w:trPr>
          <w:divId w:val="98525094"/>
          <w:trHeight w:val="225"/>
          <w:tblCellSpacing w:w="15" w:type="dxa"/>
        </w:trPr>
        <w:tc>
          <w:tcPr>
            <w:tcW w:w="0" w:type="auto"/>
            <w:shd w:val="clear" w:color="auto" w:fill="CCEEFF"/>
            <w:hideMark/>
          </w:tcPr>
          <w:p w14:paraId="3F609F05" w14:textId="77777777" w:rsidR="00000000" w:rsidRDefault="00EB4933">
            <w:pPr>
              <w:pStyle w:val="NormalWeb"/>
              <w:spacing w:before="0" w:beforeAutospacing="0" w:after="0" w:afterAutospacing="0"/>
              <w:jc w:val="both"/>
              <w:rPr>
                <w:sz w:val="20"/>
                <w:szCs w:val="20"/>
              </w:rPr>
            </w:pPr>
            <w:r>
              <w:rPr>
                <w:sz w:val="20"/>
                <w:szCs w:val="20"/>
              </w:rPr>
              <w:t>At December 31, 2018</w:t>
            </w:r>
          </w:p>
        </w:tc>
        <w:tc>
          <w:tcPr>
            <w:tcW w:w="50" w:type="pct"/>
            <w:shd w:val="clear" w:color="auto" w:fill="CCEEFF"/>
            <w:noWrap/>
            <w:vAlign w:val="center"/>
            <w:hideMark/>
          </w:tcPr>
          <w:p w14:paraId="78C14D8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C7C4D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CD6C6DE" w14:textId="77777777" w:rsidR="00000000" w:rsidRDefault="00EB4933">
            <w:pPr>
              <w:jc w:val="right"/>
              <w:rPr>
                <w:rFonts w:eastAsia="Times New Roman"/>
                <w:sz w:val="20"/>
                <w:szCs w:val="20"/>
              </w:rPr>
            </w:pPr>
            <w:r>
              <w:rPr>
                <w:rFonts w:eastAsia="Times New Roman"/>
                <w:sz w:val="20"/>
                <w:szCs w:val="20"/>
              </w:rPr>
              <w:t>47,908</w:t>
            </w:r>
          </w:p>
        </w:tc>
        <w:tc>
          <w:tcPr>
            <w:tcW w:w="50" w:type="pct"/>
            <w:shd w:val="clear" w:color="auto" w:fill="CCEEFF"/>
            <w:noWrap/>
            <w:vAlign w:val="center"/>
            <w:hideMark/>
          </w:tcPr>
          <w:p w14:paraId="669801E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8E9B5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E9517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6E5F573" w14:textId="77777777" w:rsidR="00000000" w:rsidRDefault="00EB4933">
            <w:pPr>
              <w:jc w:val="right"/>
              <w:rPr>
                <w:rFonts w:eastAsia="Times New Roman"/>
                <w:sz w:val="20"/>
                <w:szCs w:val="20"/>
              </w:rPr>
            </w:pPr>
            <w:r>
              <w:rPr>
                <w:rFonts w:eastAsia="Times New Roman"/>
                <w:sz w:val="20"/>
                <w:szCs w:val="20"/>
              </w:rPr>
              <w:t>995</w:t>
            </w:r>
          </w:p>
        </w:tc>
        <w:tc>
          <w:tcPr>
            <w:tcW w:w="50" w:type="pct"/>
            <w:shd w:val="clear" w:color="auto" w:fill="CCEEFF"/>
            <w:noWrap/>
            <w:vAlign w:val="center"/>
            <w:hideMark/>
          </w:tcPr>
          <w:p w14:paraId="6F062CB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EE771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5ABA7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8B13C27" w14:textId="77777777" w:rsidR="00000000" w:rsidRDefault="00EB4933">
            <w:pPr>
              <w:jc w:val="right"/>
              <w:rPr>
                <w:rFonts w:eastAsia="Times New Roman"/>
                <w:sz w:val="20"/>
                <w:szCs w:val="20"/>
              </w:rPr>
            </w:pPr>
            <w:r>
              <w:rPr>
                <w:rFonts w:eastAsia="Times New Roman"/>
                <w:sz w:val="20"/>
                <w:szCs w:val="20"/>
              </w:rPr>
              <w:t>1,039</w:t>
            </w:r>
          </w:p>
        </w:tc>
        <w:tc>
          <w:tcPr>
            <w:tcW w:w="50" w:type="pct"/>
            <w:shd w:val="clear" w:color="auto" w:fill="CCEEFF"/>
            <w:noWrap/>
            <w:vAlign w:val="center"/>
            <w:hideMark/>
          </w:tcPr>
          <w:p w14:paraId="425D8FD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6405B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3B484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F513BCA" w14:textId="77777777" w:rsidR="00000000" w:rsidRDefault="00EB4933">
            <w:pPr>
              <w:jc w:val="right"/>
              <w:rPr>
                <w:rFonts w:eastAsia="Times New Roman"/>
                <w:sz w:val="20"/>
                <w:szCs w:val="20"/>
              </w:rPr>
            </w:pPr>
            <w:r>
              <w:rPr>
                <w:rFonts w:eastAsia="Times New Roman"/>
                <w:sz w:val="20"/>
                <w:szCs w:val="20"/>
              </w:rPr>
              <w:t>3,923</w:t>
            </w:r>
          </w:p>
        </w:tc>
        <w:tc>
          <w:tcPr>
            <w:tcW w:w="50" w:type="pct"/>
            <w:shd w:val="clear" w:color="auto" w:fill="CCEEFF"/>
            <w:noWrap/>
            <w:vAlign w:val="center"/>
            <w:hideMark/>
          </w:tcPr>
          <w:p w14:paraId="0A6F865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821FF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10DE1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C25A56C" w14:textId="77777777" w:rsidR="00000000" w:rsidRDefault="00EB4933">
            <w:pPr>
              <w:jc w:val="right"/>
              <w:rPr>
                <w:rFonts w:eastAsia="Times New Roman"/>
                <w:sz w:val="20"/>
                <w:szCs w:val="20"/>
              </w:rPr>
            </w:pPr>
            <w:r>
              <w:rPr>
                <w:rFonts w:eastAsia="Times New Roman"/>
                <w:sz w:val="20"/>
                <w:szCs w:val="20"/>
              </w:rPr>
              <w:t>53,865</w:t>
            </w:r>
          </w:p>
        </w:tc>
        <w:tc>
          <w:tcPr>
            <w:tcW w:w="50" w:type="pct"/>
            <w:shd w:val="clear" w:color="auto" w:fill="CCEEFF"/>
            <w:noWrap/>
            <w:vAlign w:val="center"/>
            <w:hideMark/>
          </w:tcPr>
          <w:p w14:paraId="0B48047E" w14:textId="77777777" w:rsidR="00000000" w:rsidRDefault="00EB4933">
            <w:pPr>
              <w:pStyle w:val="NormalWeb"/>
              <w:spacing w:before="0" w:beforeAutospacing="0" w:after="0" w:afterAutospacing="0"/>
              <w:rPr>
                <w:sz w:val="20"/>
                <w:szCs w:val="20"/>
              </w:rPr>
            </w:pPr>
            <w:r>
              <w:rPr>
                <w:sz w:val="20"/>
                <w:szCs w:val="20"/>
              </w:rPr>
              <w:t> </w:t>
            </w:r>
          </w:p>
        </w:tc>
      </w:tr>
      <w:tr w:rsidR="00000000" w14:paraId="255FA904" w14:textId="77777777">
        <w:trPr>
          <w:divId w:val="98525094"/>
          <w:trHeight w:val="225"/>
          <w:tblCellSpacing w:w="15" w:type="dxa"/>
        </w:trPr>
        <w:tc>
          <w:tcPr>
            <w:tcW w:w="0" w:type="auto"/>
            <w:shd w:val="clear" w:color="auto" w:fill="FFFFFF"/>
            <w:hideMark/>
          </w:tcPr>
          <w:p w14:paraId="28606B99" w14:textId="77777777" w:rsidR="00000000" w:rsidRDefault="00EB4933">
            <w:pPr>
              <w:pStyle w:val="NormalWeb"/>
              <w:spacing w:before="0" w:beforeAutospacing="0" w:after="0" w:afterAutospacing="0"/>
              <w:jc w:val="both"/>
              <w:rPr>
                <w:sz w:val="20"/>
                <w:szCs w:val="20"/>
              </w:rPr>
            </w:pPr>
            <w:r>
              <w:rPr>
                <w:sz w:val="20"/>
                <w:szCs w:val="20"/>
              </w:rPr>
              <w:t>Additions</w:t>
            </w:r>
          </w:p>
        </w:tc>
        <w:tc>
          <w:tcPr>
            <w:tcW w:w="50" w:type="pct"/>
            <w:shd w:val="clear" w:color="auto" w:fill="FFFFFF"/>
            <w:noWrap/>
            <w:vAlign w:val="center"/>
            <w:hideMark/>
          </w:tcPr>
          <w:p w14:paraId="160C822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EA0D7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614C097" w14:textId="77777777" w:rsidR="00000000" w:rsidRDefault="00EB4933">
            <w:pPr>
              <w:jc w:val="right"/>
              <w:rPr>
                <w:rFonts w:eastAsia="Times New Roman"/>
                <w:sz w:val="20"/>
                <w:szCs w:val="20"/>
              </w:rPr>
            </w:pPr>
            <w:r>
              <w:rPr>
                <w:rFonts w:eastAsia="Times New Roman"/>
                <w:sz w:val="20"/>
                <w:szCs w:val="20"/>
              </w:rPr>
              <w:t>232</w:t>
            </w:r>
          </w:p>
        </w:tc>
        <w:tc>
          <w:tcPr>
            <w:tcW w:w="50" w:type="pct"/>
            <w:shd w:val="clear" w:color="auto" w:fill="FFFFFF"/>
            <w:noWrap/>
            <w:vAlign w:val="center"/>
            <w:hideMark/>
          </w:tcPr>
          <w:p w14:paraId="252D39A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09522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A1422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0740E3C"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F5310D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BA5B2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48C15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A2DE0FA" w14:textId="77777777" w:rsidR="00000000" w:rsidRDefault="00EB4933">
            <w:pPr>
              <w:jc w:val="right"/>
              <w:rPr>
                <w:rFonts w:eastAsia="Times New Roman"/>
                <w:sz w:val="20"/>
                <w:szCs w:val="20"/>
              </w:rPr>
            </w:pPr>
            <w:r>
              <w:rPr>
                <w:rFonts w:eastAsia="Times New Roman"/>
                <w:sz w:val="20"/>
                <w:szCs w:val="20"/>
              </w:rPr>
              <w:t>39</w:t>
            </w:r>
          </w:p>
        </w:tc>
        <w:tc>
          <w:tcPr>
            <w:tcW w:w="50" w:type="pct"/>
            <w:shd w:val="clear" w:color="auto" w:fill="FFFFFF"/>
            <w:noWrap/>
            <w:vAlign w:val="center"/>
            <w:hideMark/>
          </w:tcPr>
          <w:p w14:paraId="1D1C9D6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CF564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2EB8A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96F32CB"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9FC51D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DC728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21B10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2923909" w14:textId="77777777" w:rsidR="00000000" w:rsidRDefault="00EB4933">
            <w:pPr>
              <w:jc w:val="right"/>
              <w:rPr>
                <w:rFonts w:eastAsia="Times New Roman"/>
                <w:sz w:val="20"/>
                <w:szCs w:val="20"/>
              </w:rPr>
            </w:pPr>
            <w:r>
              <w:rPr>
                <w:rFonts w:eastAsia="Times New Roman"/>
                <w:sz w:val="20"/>
                <w:szCs w:val="20"/>
              </w:rPr>
              <w:t>271</w:t>
            </w:r>
          </w:p>
        </w:tc>
        <w:tc>
          <w:tcPr>
            <w:tcW w:w="50" w:type="pct"/>
            <w:shd w:val="clear" w:color="auto" w:fill="FFFFFF"/>
            <w:noWrap/>
            <w:vAlign w:val="center"/>
            <w:hideMark/>
          </w:tcPr>
          <w:p w14:paraId="5EA2C4AA" w14:textId="77777777" w:rsidR="00000000" w:rsidRDefault="00EB4933">
            <w:pPr>
              <w:pStyle w:val="NormalWeb"/>
              <w:spacing w:before="0" w:beforeAutospacing="0" w:after="0" w:afterAutospacing="0"/>
              <w:rPr>
                <w:sz w:val="20"/>
                <w:szCs w:val="20"/>
              </w:rPr>
            </w:pPr>
            <w:r>
              <w:rPr>
                <w:sz w:val="20"/>
                <w:szCs w:val="20"/>
              </w:rPr>
              <w:t> </w:t>
            </w:r>
          </w:p>
        </w:tc>
      </w:tr>
      <w:tr w:rsidR="00000000" w14:paraId="4437A405" w14:textId="77777777">
        <w:trPr>
          <w:divId w:val="98525094"/>
          <w:trHeight w:val="225"/>
          <w:tblCellSpacing w:w="15" w:type="dxa"/>
        </w:trPr>
        <w:tc>
          <w:tcPr>
            <w:tcW w:w="0" w:type="auto"/>
            <w:shd w:val="clear" w:color="auto" w:fill="CCEEFF"/>
            <w:hideMark/>
          </w:tcPr>
          <w:p w14:paraId="61E3D093" w14:textId="77777777" w:rsidR="00000000" w:rsidRDefault="00EB4933">
            <w:pPr>
              <w:pStyle w:val="NormalWeb"/>
              <w:spacing w:before="0" w:beforeAutospacing="0" w:after="0" w:afterAutospacing="0"/>
              <w:jc w:val="both"/>
              <w:rPr>
                <w:sz w:val="20"/>
                <w:szCs w:val="20"/>
              </w:rPr>
            </w:pPr>
            <w:r>
              <w:rPr>
                <w:sz w:val="20"/>
                <w:szCs w:val="20"/>
              </w:rPr>
              <w:t>Disposals</w:t>
            </w:r>
          </w:p>
        </w:tc>
        <w:tc>
          <w:tcPr>
            <w:tcW w:w="50" w:type="pct"/>
            <w:shd w:val="clear" w:color="auto" w:fill="CCEEFF"/>
            <w:noWrap/>
            <w:vAlign w:val="center"/>
            <w:hideMark/>
          </w:tcPr>
          <w:p w14:paraId="7BC5743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109240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6B7C855"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438D29A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842ED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F06681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3D32C38" w14:textId="77777777" w:rsidR="00000000" w:rsidRDefault="00EB4933">
            <w:pPr>
              <w:jc w:val="right"/>
              <w:rPr>
                <w:rFonts w:eastAsia="Times New Roman"/>
                <w:sz w:val="20"/>
                <w:szCs w:val="20"/>
              </w:rPr>
            </w:pPr>
            <w:r>
              <w:rPr>
                <w:rFonts w:eastAsia="Times New Roman"/>
                <w:sz w:val="20"/>
                <w:szCs w:val="20"/>
              </w:rPr>
              <w:t>(416</w:t>
            </w:r>
          </w:p>
        </w:tc>
        <w:tc>
          <w:tcPr>
            <w:tcW w:w="50" w:type="pct"/>
            <w:shd w:val="clear" w:color="auto" w:fill="CCEEFF"/>
            <w:noWrap/>
            <w:tcMar>
              <w:top w:w="0" w:type="dxa"/>
              <w:left w:w="0" w:type="dxa"/>
              <w:bottom w:w="15" w:type="dxa"/>
              <w:right w:w="0" w:type="dxa"/>
            </w:tcMar>
            <w:vAlign w:val="bottom"/>
            <w:hideMark/>
          </w:tcPr>
          <w:p w14:paraId="4754244E"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201948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1AB26B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DF89B4F"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756B275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D07E4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B8975F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380189F"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643D379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8AA60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1100BE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FA62B1C" w14:textId="77777777" w:rsidR="00000000" w:rsidRDefault="00EB4933">
            <w:pPr>
              <w:jc w:val="right"/>
              <w:rPr>
                <w:rFonts w:eastAsia="Times New Roman"/>
                <w:sz w:val="20"/>
                <w:szCs w:val="20"/>
              </w:rPr>
            </w:pPr>
            <w:r>
              <w:rPr>
                <w:rFonts w:eastAsia="Times New Roman"/>
                <w:sz w:val="20"/>
                <w:szCs w:val="20"/>
              </w:rPr>
              <w:t>(416</w:t>
            </w:r>
          </w:p>
        </w:tc>
        <w:tc>
          <w:tcPr>
            <w:tcW w:w="50" w:type="pct"/>
            <w:shd w:val="clear" w:color="auto" w:fill="CCEEFF"/>
            <w:noWrap/>
            <w:tcMar>
              <w:top w:w="0" w:type="dxa"/>
              <w:left w:w="0" w:type="dxa"/>
              <w:bottom w:w="15" w:type="dxa"/>
              <w:right w:w="0" w:type="dxa"/>
            </w:tcMar>
            <w:vAlign w:val="bottom"/>
            <w:hideMark/>
          </w:tcPr>
          <w:p w14:paraId="34D0AADD" w14:textId="77777777" w:rsidR="00000000" w:rsidRDefault="00EB4933">
            <w:pPr>
              <w:rPr>
                <w:rFonts w:eastAsia="Times New Roman"/>
                <w:sz w:val="20"/>
                <w:szCs w:val="20"/>
              </w:rPr>
            </w:pPr>
            <w:r>
              <w:rPr>
                <w:rFonts w:eastAsia="Times New Roman"/>
                <w:sz w:val="20"/>
                <w:szCs w:val="20"/>
              </w:rPr>
              <w:t>)</w:t>
            </w:r>
          </w:p>
        </w:tc>
      </w:tr>
      <w:tr w:rsidR="00000000" w14:paraId="159CF9AD" w14:textId="77777777">
        <w:trPr>
          <w:divId w:val="98525094"/>
          <w:trHeight w:val="225"/>
          <w:tblCellSpacing w:w="15" w:type="dxa"/>
        </w:trPr>
        <w:tc>
          <w:tcPr>
            <w:tcW w:w="0" w:type="auto"/>
            <w:shd w:val="clear" w:color="auto" w:fill="FFFFFF"/>
            <w:hideMark/>
          </w:tcPr>
          <w:p w14:paraId="259C3573" w14:textId="77777777" w:rsidR="00000000" w:rsidRDefault="00EB4933">
            <w:pPr>
              <w:pStyle w:val="NormalWeb"/>
              <w:spacing w:before="0" w:beforeAutospacing="0" w:after="0" w:afterAutospacing="0"/>
              <w:jc w:val="both"/>
              <w:rPr>
                <w:sz w:val="20"/>
                <w:szCs w:val="20"/>
              </w:rPr>
            </w:pPr>
            <w:r>
              <w:rPr>
                <w:sz w:val="20"/>
                <w:szCs w:val="20"/>
              </w:rPr>
              <w:t>At December 31, 2019</w:t>
            </w:r>
          </w:p>
        </w:tc>
        <w:tc>
          <w:tcPr>
            <w:tcW w:w="50" w:type="pct"/>
            <w:shd w:val="clear" w:color="auto" w:fill="FFFFFF"/>
            <w:noWrap/>
            <w:vAlign w:val="center"/>
            <w:hideMark/>
          </w:tcPr>
          <w:p w14:paraId="74BB4A4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501C726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6E5DF50B" w14:textId="77777777" w:rsidR="00000000" w:rsidRDefault="00EB4933">
            <w:pPr>
              <w:jc w:val="right"/>
              <w:rPr>
                <w:rFonts w:eastAsia="Times New Roman"/>
                <w:sz w:val="20"/>
                <w:szCs w:val="20"/>
              </w:rPr>
            </w:pPr>
            <w:r>
              <w:rPr>
                <w:rFonts w:eastAsia="Times New Roman"/>
                <w:sz w:val="20"/>
                <w:szCs w:val="20"/>
              </w:rPr>
              <w:t>48,140</w:t>
            </w:r>
          </w:p>
        </w:tc>
        <w:tc>
          <w:tcPr>
            <w:tcW w:w="50" w:type="pct"/>
            <w:shd w:val="clear" w:color="auto" w:fill="FFFFFF"/>
            <w:noWrap/>
            <w:tcMar>
              <w:top w:w="0" w:type="dxa"/>
              <w:left w:w="0" w:type="dxa"/>
              <w:bottom w:w="45" w:type="dxa"/>
              <w:right w:w="0" w:type="dxa"/>
            </w:tcMar>
            <w:vAlign w:val="center"/>
            <w:hideMark/>
          </w:tcPr>
          <w:p w14:paraId="258E8B1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7B31B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592E5DE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62D5DB8F" w14:textId="77777777" w:rsidR="00000000" w:rsidRDefault="00EB4933">
            <w:pPr>
              <w:jc w:val="right"/>
              <w:rPr>
                <w:rFonts w:eastAsia="Times New Roman"/>
                <w:sz w:val="20"/>
                <w:szCs w:val="20"/>
              </w:rPr>
            </w:pPr>
            <w:r>
              <w:rPr>
                <w:rFonts w:eastAsia="Times New Roman"/>
                <w:sz w:val="20"/>
                <w:szCs w:val="20"/>
              </w:rPr>
              <w:t>579</w:t>
            </w:r>
          </w:p>
        </w:tc>
        <w:tc>
          <w:tcPr>
            <w:tcW w:w="50" w:type="pct"/>
            <w:shd w:val="clear" w:color="auto" w:fill="FFFFFF"/>
            <w:noWrap/>
            <w:tcMar>
              <w:top w:w="0" w:type="dxa"/>
              <w:left w:w="0" w:type="dxa"/>
              <w:bottom w:w="45" w:type="dxa"/>
              <w:right w:w="0" w:type="dxa"/>
            </w:tcMar>
            <w:vAlign w:val="center"/>
            <w:hideMark/>
          </w:tcPr>
          <w:p w14:paraId="4154D8F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14314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74B4524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44C65393" w14:textId="77777777" w:rsidR="00000000" w:rsidRDefault="00EB4933">
            <w:pPr>
              <w:jc w:val="right"/>
              <w:rPr>
                <w:rFonts w:eastAsia="Times New Roman"/>
                <w:sz w:val="20"/>
                <w:szCs w:val="20"/>
              </w:rPr>
            </w:pPr>
            <w:r>
              <w:rPr>
                <w:rFonts w:eastAsia="Times New Roman"/>
                <w:sz w:val="20"/>
                <w:szCs w:val="20"/>
              </w:rPr>
              <w:t>1,078</w:t>
            </w:r>
          </w:p>
        </w:tc>
        <w:tc>
          <w:tcPr>
            <w:tcW w:w="50" w:type="pct"/>
            <w:shd w:val="clear" w:color="auto" w:fill="FFFFFF"/>
            <w:noWrap/>
            <w:tcMar>
              <w:top w:w="0" w:type="dxa"/>
              <w:left w:w="0" w:type="dxa"/>
              <w:bottom w:w="45" w:type="dxa"/>
              <w:right w:w="0" w:type="dxa"/>
            </w:tcMar>
            <w:vAlign w:val="center"/>
            <w:hideMark/>
          </w:tcPr>
          <w:p w14:paraId="0781152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146DF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70CAF0B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3482B7C3" w14:textId="77777777" w:rsidR="00000000" w:rsidRDefault="00EB4933">
            <w:pPr>
              <w:jc w:val="right"/>
              <w:rPr>
                <w:rFonts w:eastAsia="Times New Roman"/>
                <w:sz w:val="20"/>
                <w:szCs w:val="20"/>
              </w:rPr>
            </w:pPr>
            <w:r>
              <w:rPr>
                <w:rFonts w:eastAsia="Times New Roman"/>
                <w:sz w:val="20"/>
                <w:szCs w:val="20"/>
              </w:rPr>
              <w:t>3,923</w:t>
            </w:r>
          </w:p>
        </w:tc>
        <w:tc>
          <w:tcPr>
            <w:tcW w:w="50" w:type="pct"/>
            <w:shd w:val="clear" w:color="auto" w:fill="FFFFFF"/>
            <w:noWrap/>
            <w:tcMar>
              <w:top w:w="0" w:type="dxa"/>
              <w:left w:w="0" w:type="dxa"/>
              <w:bottom w:w="45" w:type="dxa"/>
              <w:right w:w="0" w:type="dxa"/>
            </w:tcMar>
            <w:vAlign w:val="center"/>
            <w:hideMark/>
          </w:tcPr>
          <w:p w14:paraId="15D08EB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005C1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11D90AF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4E8652E9" w14:textId="77777777" w:rsidR="00000000" w:rsidRDefault="00EB4933">
            <w:pPr>
              <w:jc w:val="right"/>
              <w:rPr>
                <w:rFonts w:eastAsia="Times New Roman"/>
                <w:sz w:val="20"/>
                <w:szCs w:val="20"/>
              </w:rPr>
            </w:pPr>
            <w:r>
              <w:rPr>
                <w:rFonts w:eastAsia="Times New Roman"/>
                <w:sz w:val="20"/>
                <w:szCs w:val="20"/>
              </w:rPr>
              <w:t>53,720</w:t>
            </w:r>
          </w:p>
        </w:tc>
        <w:tc>
          <w:tcPr>
            <w:tcW w:w="50" w:type="pct"/>
            <w:shd w:val="clear" w:color="auto" w:fill="FFFFFF"/>
            <w:noWrap/>
            <w:tcMar>
              <w:top w:w="0" w:type="dxa"/>
              <w:left w:w="0" w:type="dxa"/>
              <w:bottom w:w="45" w:type="dxa"/>
              <w:right w:w="0" w:type="dxa"/>
            </w:tcMar>
            <w:vAlign w:val="center"/>
            <w:hideMark/>
          </w:tcPr>
          <w:p w14:paraId="1227A2CB" w14:textId="77777777" w:rsidR="00000000" w:rsidRDefault="00EB4933">
            <w:pPr>
              <w:pStyle w:val="NormalWeb"/>
              <w:spacing w:before="0" w:beforeAutospacing="0" w:after="0" w:afterAutospacing="0"/>
              <w:rPr>
                <w:sz w:val="20"/>
                <w:szCs w:val="20"/>
              </w:rPr>
            </w:pPr>
            <w:r>
              <w:rPr>
                <w:sz w:val="20"/>
                <w:szCs w:val="20"/>
              </w:rPr>
              <w:t> </w:t>
            </w:r>
          </w:p>
        </w:tc>
      </w:tr>
      <w:tr w:rsidR="00000000" w14:paraId="1758FDEF" w14:textId="77777777">
        <w:trPr>
          <w:divId w:val="98525094"/>
          <w:trHeight w:val="225"/>
          <w:tblCellSpacing w:w="15" w:type="dxa"/>
        </w:trPr>
        <w:tc>
          <w:tcPr>
            <w:tcW w:w="0" w:type="auto"/>
            <w:shd w:val="clear" w:color="auto" w:fill="CCEEFF"/>
            <w:vAlign w:val="center"/>
            <w:hideMark/>
          </w:tcPr>
          <w:p w14:paraId="4223109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40CAF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B782E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126C17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D81C3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BF2FB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9743A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609FC1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17A85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A2B44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E9EB7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2FC1E5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25843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4F09A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3329C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7D7BC9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6BF21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33E78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46DBB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D68175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53EA85" w14:textId="77777777" w:rsidR="00000000" w:rsidRDefault="00EB4933">
            <w:pPr>
              <w:pStyle w:val="NormalWeb"/>
              <w:spacing w:before="0" w:beforeAutospacing="0" w:after="0" w:afterAutospacing="0"/>
              <w:rPr>
                <w:sz w:val="20"/>
                <w:szCs w:val="20"/>
              </w:rPr>
            </w:pPr>
            <w:r>
              <w:rPr>
                <w:sz w:val="20"/>
                <w:szCs w:val="20"/>
              </w:rPr>
              <w:t> </w:t>
            </w:r>
          </w:p>
        </w:tc>
      </w:tr>
      <w:tr w:rsidR="00000000" w14:paraId="5268A7FA" w14:textId="77777777">
        <w:trPr>
          <w:divId w:val="98525094"/>
          <w:trHeight w:val="225"/>
          <w:tblCellSpacing w:w="15" w:type="dxa"/>
        </w:trPr>
        <w:tc>
          <w:tcPr>
            <w:tcW w:w="0" w:type="auto"/>
            <w:shd w:val="clear" w:color="auto" w:fill="FFFFFF"/>
            <w:hideMark/>
          </w:tcPr>
          <w:p w14:paraId="4C1278FD" w14:textId="77777777" w:rsidR="00000000" w:rsidRDefault="00EB4933">
            <w:pPr>
              <w:pStyle w:val="NormalWeb"/>
              <w:spacing w:before="0" w:beforeAutospacing="0" w:after="0" w:afterAutospacing="0"/>
              <w:jc w:val="both"/>
              <w:rPr>
                <w:sz w:val="20"/>
                <w:szCs w:val="20"/>
              </w:rPr>
            </w:pPr>
            <w:r>
              <w:rPr>
                <w:rStyle w:val="Strong"/>
                <w:sz w:val="20"/>
                <w:szCs w:val="20"/>
              </w:rPr>
              <w:t>Accumulated depreciation</w:t>
            </w:r>
          </w:p>
        </w:tc>
        <w:tc>
          <w:tcPr>
            <w:tcW w:w="50" w:type="pct"/>
            <w:shd w:val="clear" w:color="auto" w:fill="FFFFFF"/>
            <w:noWrap/>
            <w:vAlign w:val="center"/>
            <w:hideMark/>
          </w:tcPr>
          <w:p w14:paraId="7BB8607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59BE4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CE565C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7FA31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9FC08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A9F6D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86ED93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8EECC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1EE00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84E31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5093AA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1B18C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91EEB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7FE8A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B0E1AE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2AD28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DB715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96F5F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366A76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31B7E6" w14:textId="77777777" w:rsidR="00000000" w:rsidRDefault="00EB4933">
            <w:pPr>
              <w:pStyle w:val="NormalWeb"/>
              <w:spacing w:before="0" w:beforeAutospacing="0" w:after="0" w:afterAutospacing="0"/>
              <w:rPr>
                <w:sz w:val="20"/>
                <w:szCs w:val="20"/>
              </w:rPr>
            </w:pPr>
            <w:r>
              <w:rPr>
                <w:sz w:val="20"/>
                <w:szCs w:val="20"/>
              </w:rPr>
              <w:t> </w:t>
            </w:r>
          </w:p>
        </w:tc>
      </w:tr>
      <w:tr w:rsidR="00000000" w14:paraId="7CE72286" w14:textId="77777777">
        <w:trPr>
          <w:divId w:val="98525094"/>
          <w:trHeight w:val="225"/>
          <w:tblCellSpacing w:w="15" w:type="dxa"/>
        </w:trPr>
        <w:tc>
          <w:tcPr>
            <w:tcW w:w="0" w:type="auto"/>
            <w:shd w:val="clear" w:color="auto" w:fill="CCEEFF"/>
            <w:hideMark/>
          </w:tcPr>
          <w:p w14:paraId="14010F38" w14:textId="77777777" w:rsidR="00000000" w:rsidRDefault="00EB4933">
            <w:pPr>
              <w:pStyle w:val="NormalWeb"/>
              <w:spacing w:before="0" w:beforeAutospacing="0" w:after="0" w:afterAutospacing="0"/>
              <w:jc w:val="both"/>
              <w:rPr>
                <w:sz w:val="20"/>
                <w:szCs w:val="20"/>
              </w:rPr>
            </w:pPr>
            <w:r>
              <w:rPr>
                <w:sz w:val="20"/>
                <w:szCs w:val="20"/>
              </w:rPr>
              <w:t>At January 1, 2018</w:t>
            </w:r>
          </w:p>
        </w:tc>
        <w:tc>
          <w:tcPr>
            <w:tcW w:w="50" w:type="pct"/>
            <w:shd w:val="clear" w:color="auto" w:fill="CCEEFF"/>
            <w:noWrap/>
            <w:vAlign w:val="center"/>
            <w:hideMark/>
          </w:tcPr>
          <w:p w14:paraId="07B1925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46DF0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3E6F2D3"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DFE55F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35430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59D41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8294633" w14:textId="77777777" w:rsidR="00000000" w:rsidRDefault="00EB4933">
            <w:pPr>
              <w:jc w:val="right"/>
              <w:rPr>
                <w:rFonts w:eastAsia="Times New Roman"/>
                <w:sz w:val="20"/>
                <w:szCs w:val="20"/>
              </w:rPr>
            </w:pPr>
            <w:r>
              <w:rPr>
                <w:rFonts w:eastAsia="Times New Roman"/>
                <w:sz w:val="20"/>
                <w:szCs w:val="20"/>
              </w:rPr>
              <w:t>889</w:t>
            </w:r>
          </w:p>
        </w:tc>
        <w:tc>
          <w:tcPr>
            <w:tcW w:w="50" w:type="pct"/>
            <w:shd w:val="clear" w:color="auto" w:fill="CCEEFF"/>
            <w:noWrap/>
            <w:vAlign w:val="center"/>
            <w:hideMark/>
          </w:tcPr>
          <w:p w14:paraId="2276EAF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20064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9DACC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5F95595" w14:textId="77777777" w:rsidR="00000000" w:rsidRDefault="00EB4933">
            <w:pPr>
              <w:jc w:val="right"/>
              <w:rPr>
                <w:rFonts w:eastAsia="Times New Roman"/>
                <w:sz w:val="20"/>
                <w:szCs w:val="20"/>
              </w:rPr>
            </w:pPr>
            <w:r>
              <w:rPr>
                <w:rFonts w:eastAsia="Times New Roman"/>
                <w:sz w:val="20"/>
                <w:szCs w:val="20"/>
              </w:rPr>
              <w:t>388</w:t>
            </w:r>
          </w:p>
        </w:tc>
        <w:tc>
          <w:tcPr>
            <w:tcW w:w="50" w:type="pct"/>
            <w:shd w:val="clear" w:color="auto" w:fill="CCEEFF"/>
            <w:noWrap/>
            <w:vAlign w:val="center"/>
            <w:hideMark/>
          </w:tcPr>
          <w:p w14:paraId="29551D6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56D8C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BC83A7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B78BD95" w14:textId="77777777" w:rsidR="00000000" w:rsidRDefault="00EB4933">
            <w:pPr>
              <w:jc w:val="right"/>
              <w:rPr>
                <w:rFonts w:eastAsia="Times New Roman"/>
                <w:sz w:val="20"/>
                <w:szCs w:val="20"/>
              </w:rPr>
            </w:pPr>
            <w:r>
              <w:rPr>
                <w:rFonts w:eastAsia="Times New Roman"/>
                <w:sz w:val="20"/>
                <w:szCs w:val="20"/>
              </w:rPr>
              <w:t>946</w:t>
            </w:r>
          </w:p>
        </w:tc>
        <w:tc>
          <w:tcPr>
            <w:tcW w:w="50" w:type="pct"/>
            <w:shd w:val="clear" w:color="auto" w:fill="CCEEFF"/>
            <w:noWrap/>
            <w:vAlign w:val="center"/>
            <w:hideMark/>
          </w:tcPr>
          <w:p w14:paraId="320DAD6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C1618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C7DC4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85A4DE9" w14:textId="77777777" w:rsidR="00000000" w:rsidRDefault="00EB4933">
            <w:pPr>
              <w:jc w:val="right"/>
              <w:rPr>
                <w:rFonts w:eastAsia="Times New Roman"/>
                <w:sz w:val="20"/>
                <w:szCs w:val="20"/>
              </w:rPr>
            </w:pPr>
            <w:r>
              <w:rPr>
                <w:rFonts w:eastAsia="Times New Roman"/>
                <w:sz w:val="20"/>
                <w:szCs w:val="20"/>
              </w:rPr>
              <w:t>2,223</w:t>
            </w:r>
          </w:p>
        </w:tc>
        <w:tc>
          <w:tcPr>
            <w:tcW w:w="50" w:type="pct"/>
            <w:shd w:val="clear" w:color="auto" w:fill="CCEEFF"/>
            <w:noWrap/>
            <w:vAlign w:val="center"/>
            <w:hideMark/>
          </w:tcPr>
          <w:p w14:paraId="4B6BAD60" w14:textId="77777777" w:rsidR="00000000" w:rsidRDefault="00EB4933">
            <w:pPr>
              <w:pStyle w:val="NormalWeb"/>
              <w:spacing w:before="0" w:beforeAutospacing="0" w:after="0" w:afterAutospacing="0"/>
              <w:rPr>
                <w:sz w:val="20"/>
                <w:szCs w:val="20"/>
              </w:rPr>
            </w:pPr>
            <w:r>
              <w:rPr>
                <w:sz w:val="20"/>
                <w:szCs w:val="20"/>
              </w:rPr>
              <w:t> </w:t>
            </w:r>
          </w:p>
        </w:tc>
      </w:tr>
      <w:tr w:rsidR="00000000" w14:paraId="12EB2489" w14:textId="77777777">
        <w:trPr>
          <w:divId w:val="98525094"/>
          <w:trHeight w:val="225"/>
          <w:tblCellSpacing w:w="15" w:type="dxa"/>
        </w:trPr>
        <w:tc>
          <w:tcPr>
            <w:tcW w:w="0" w:type="auto"/>
            <w:shd w:val="clear" w:color="auto" w:fill="FFFFFF"/>
            <w:hideMark/>
          </w:tcPr>
          <w:p w14:paraId="4A24690A" w14:textId="77777777" w:rsidR="00000000" w:rsidRDefault="00EB4933">
            <w:pPr>
              <w:pStyle w:val="NormalWeb"/>
              <w:spacing w:before="0" w:beforeAutospacing="0" w:after="0" w:afterAutospacing="0"/>
              <w:jc w:val="both"/>
              <w:rPr>
                <w:sz w:val="20"/>
                <w:szCs w:val="20"/>
              </w:rPr>
            </w:pPr>
            <w:r>
              <w:rPr>
                <w:sz w:val="20"/>
                <w:szCs w:val="20"/>
              </w:rPr>
              <w:t>Addition</w:t>
            </w:r>
          </w:p>
        </w:tc>
        <w:tc>
          <w:tcPr>
            <w:tcW w:w="50" w:type="pct"/>
            <w:shd w:val="clear" w:color="auto" w:fill="FFFFFF"/>
            <w:noWrap/>
            <w:vAlign w:val="center"/>
            <w:hideMark/>
          </w:tcPr>
          <w:p w14:paraId="71DE6FE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D7912B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8CFF017" w14:textId="77777777" w:rsidR="00000000" w:rsidRDefault="00EB4933">
            <w:pPr>
              <w:jc w:val="right"/>
              <w:rPr>
                <w:rFonts w:eastAsia="Times New Roman"/>
                <w:sz w:val="20"/>
                <w:szCs w:val="20"/>
              </w:rPr>
            </w:pPr>
            <w:r>
              <w:rPr>
                <w:rFonts w:eastAsia="Times New Roman"/>
                <w:sz w:val="20"/>
                <w:szCs w:val="20"/>
              </w:rPr>
              <w:t>470</w:t>
            </w:r>
          </w:p>
        </w:tc>
        <w:tc>
          <w:tcPr>
            <w:tcW w:w="50" w:type="pct"/>
            <w:shd w:val="clear" w:color="auto" w:fill="FFFFFF"/>
            <w:noWrap/>
            <w:tcMar>
              <w:top w:w="0" w:type="dxa"/>
              <w:left w:w="0" w:type="dxa"/>
              <w:bottom w:w="15" w:type="dxa"/>
              <w:right w:w="0" w:type="dxa"/>
            </w:tcMar>
            <w:vAlign w:val="center"/>
            <w:hideMark/>
          </w:tcPr>
          <w:p w14:paraId="4C3A74B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9BE8C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D3D9D1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FBF645F" w14:textId="77777777" w:rsidR="00000000" w:rsidRDefault="00EB4933">
            <w:pPr>
              <w:jc w:val="right"/>
              <w:rPr>
                <w:rFonts w:eastAsia="Times New Roman"/>
                <w:sz w:val="20"/>
                <w:szCs w:val="20"/>
              </w:rPr>
            </w:pPr>
            <w:r>
              <w:rPr>
                <w:rFonts w:eastAsia="Times New Roman"/>
                <w:sz w:val="20"/>
                <w:szCs w:val="20"/>
              </w:rPr>
              <w:t>87</w:t>
            </w:r>
          </w:p>
        </w:tc>
        <w:tc>
          <w:tcPr>
            <w:tcW w:w="50" w:type="pct"/>
            <w:shd w:val="clear" w:color="auto" w:fill="FFFFFF"/>
            <w:noWrap/>
            <w:tcMar>
              <w:top w:w="0" w:type="dxa"/>
              <w:left w:w="0" w:type="dxa"/>
              <w:bottom w:w="15" w:type="dxa"/>
              <w:right w:w="0" w:type="dxa"/>
            </w:tcMar>
            <w:vAlign w:val="center"/>
            <w:hideMark/>
          </w:tcPr>
          <w:p w14:paraId="1C7A909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08CE7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DE653A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823D0A8" w14:textId="77777777" w:rsidR="00000000" w:rsidRDefault="00EB4933">
            <w:pPr>
              <w:jc w:val="right"/>
              <w:rPr>
                <w:rFonts w:eastAsia="Times New Roman"/>
                <w:sz w:val="20"/>
                <w:szCs w:val="20"/>
              </w:rPr>
            </w:pPr>
            <w:r>
              <w:rPr>
                <w:rFonts w:eastAsia="Times New Roman"/>
                <w:sz w:val="20"/>
                <w:szCs w:val="20"/>
              </w:rPr>
              <w:t>3</w:t>
            </w:r>
          </w:p>
        </w:tc>
        <w:tc>
          <w:tcPr>
            <w:tcW w:w="50" w:type="pct"/>
            <w:shd w:val="clear" w:color="auto" w:fill="FFFFFF"/>
            <w:noWrap/>
            <w:tcMar>
              <w:top w:w="0" w:type="dxa"/>
              <w:left w:w="0" w:type="dxa"/>
              <w:bottom w:w="15" w:type="dxa"/>
              <w:right w:w="0" w:type="dxa"/>
            </w:tcMar>
            <w:vAlign w:val="center"/>
            <w:hideMark/>
          </w:tcPr>
          <w:p w14:paraId="4108B69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50A3F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EAF9CB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21BEBBB" w14:textId="77777777" w:rsidR="00000000" w:rsidRDefault="00EB4933">
            <w:pPr>
              <w:jc w:val="right"/>
              <w:rPr>
                <w:rFonts w:eastAsia="Times New Roman"/>
                <w:sz w:val="20"/>
                <w:szCs w:val="20"/>
              </w:rPr>
            </w:pPr>
            <w:r>
              <w:rPr>
                <w:rFonts w:eastAsia="Times New Roman"/>
                <w:sz w:val="20"/>
                <w:szCs w:val="20"/>
              </w:rPr>
              <w:t>258</w:t>
            </w:r>
          </w:p>
        </w:tc>
        <w:tc>
          <w:tcPr>
            <w:tcW w:w="50" w:type="pct"/>
            <w:shd w:val="clear" w:color="auto" w:fill="FFFFFF"/>
            <w:noWrap/>
            <w:tcMar>
              <w:top w:w="0" w:type="dxa"/>
              <w:left w:w="0" w:type="dxa"/>
              <w:bottom w:w="15" w:type="dxa"/>
              <w:right w:w="0" w:type="dxa"/>
            </w:tcMar>
            <w:vAlign w:val="center"/>
            <w:hideMark/>
          </w:tcPr>
          <w:p w14:paraId="542F10D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A5F2E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563755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39A192D" w14:textId="77777777" w:rsidR="00000000" w:rsidRDefault="00EB4933">
            <w:pPr>
              <w:jc w:val="right"/>
              <w:rPr>
                <w:rFonts w:eastAsia="Times New Roman"/>
                <w:sz w:val="20"/>
                <w:szCs w:val="20"/>
              </w:rPr>
            </w:pPr>
            <w:r>
              <w:rPr>
                <w:rFonts w:eastAsia="Times New Roman"/>
                <w:sz w:val="20"/>
                <w:szCs w:val="20"/>
              </w:rPr>
              <w:t>818</w:t>
            </w:r>
          </w:p>
        </w:tc>
        <w:tc>
          <w:tcPr>
            <w:tcW w:w="50" w:type="pct"/>
            <w:shd w:val="clear" w:color="auto" w:fill="FFFFFF"/>
            <w:noWrap/>
            <w:tcMar>
              <w:top w:w="0" w:type="dxa"/>
              <w:left w:w="0" w:type="dxa"/>
              <w:bottom w:w="15" w:type="dxa"/>
              <w:right w:w="0" w:type="dxa"/>
            </w:tcMar>
            <w:vAlign w:val="center"/>
            <w:hideMark/>
          </w:tcPr>
          <w:p w14:paraId="49C4833A" w14:textId="77777777" w:rsidR="00000000" w:rsidRDefault="00EB4933">
            <w:pPr>
              <w:pStyle w:val="NormalWeb"/>
              <w:spacing w:before="0" w:beforeAutospacing="0" w:after="0" w:afterAutospacing="0"/>
              <w:rPr>
                <w:sz w:val="20"/>
                <w:szCs w:val="20"/>
              </w:rPr>
            </w:pPr>
            <w:r>
              <w:rPr>
                <w:sz w:val="20"/>
                <w:szCs w:val="20"/>
              </w:rPr>
              <w:t> </w:t>
            </w:r>
          </w:p>
        </w:tc>
      </w:tr>
      <w:tr w:rsidR="00000000" w14:paraId="4E493653" w14:textId="77777777">
        <w:trPr>
          <w:divId w:val="98525094"/>
          <w:trHeight w:val="225"/>
          <w:tblCellSpacing w:w="15" w:type="dxa"/>
        </w:trPr>
        <w:tc>
          <w:tcPr>
            <w:tcW w:w="0" w:type="auto"/>
            <w:shd w:val="clear" w:color="auto" w:fill="CCEEFF"/>
            <w:hideMark/>
          </w:tcPr>
          <w:p w14:paraId="61E554CA" w14:textId="77777777" w:rsidR="00000000" w:rsidRDefault="00EB4933">
            <w:pPr>
              <w:pStyle w:val="NormalWeb"/>
              <w:spacing w:before="0" w:beforeAutospacing="0" w:after="0" w:afterAutospacing="0"/>
              <w:jc w:val="both"/>
              <w:rPr>
                <w:sz w:val="20"/>
                <w:szCs w:val="20"/>
              </w:rPr>
            </w:pPr>
            <w:r>
              <w:rPr>
                <w:sz w:val="20"/>
                <w:szCs w:val="20"/>
              </w:rPr>
              <w:t xml:space="preserve">At December 31, 2018 </w:t>
            </w:r>
          </w:p>
        </w:tc>
        <w:tc>
          <w:tcPr>
            <w:tcW w:w="50" w:type="pct"/>
            <w:shd w:val="clear" w:color="auto" w:fill="CCEEFF"/>
            <w:noWrap/>
            <w:vAlign w:val="center"/>
            <w:hideMark/>
          </w:tcPr>
          <w:p w14:paraId="35F2ABF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BCE44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E8D2ED6" w14:textId="77777777" w:rsidR="00000000" w:rsidRDefault="00EB4933">
            <w:pPr>
              <w:jc w:val="right"/>
              <w:rPr>
                <w:rFonts w:eastAsia="Times New Roman"/>
                <w:sz w:val="20"/>
                <w:szCs w:val="20"/>
              </w:rPr>
            </w:pPr>
            <w:r>
              <w:rPr>
                <w:rFonts w:eastAsia="Times New Roman"/>
                <w:sz w:val="20"/>
                <w:szCs w:val="20"/>
              </w:rPr>
              <w:t>470</w:t>
            </w:r>
          </w:p>
        </w:tc>
        <w:tc>
          <w:tcPr>
            <w:tcW w:w="50" w:type="pct"/>
            <w:shd w:val="clear" w:color="auto" w:fill="CCEEFF"/>
            <w:noWrap/>
            <w:vAlign w:val="center"/>
            <w:hideMark/>
          </w:tcPr>
          <w:p w14:paraId="294A9B7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39ED6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5580D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E3C1AE3" w14:textId="77777777" w:rsidR="00000000" w:rsidRDefault="00EB4933">
            <w:pPr>
              <w:jc w:val="right"/>
              <w:rPr>
                <w:rFonts w:eastAsia="Times New Roman"/>
                <w:sz w:val="20"/>
                <w:szCs w:val="20"/>
              </w:rPr>
            </w:pPr>
            <w:r>
              <w:rPr>
                <w:rFonts w:eastAsia="Times New Roman"/>
                <w:sz w:val="20"/>
                <w:szCs w:val="20"/>
              </w:rPr>
              <w:t>976</w:t>
            </w:r>
          </w:p>
        </w:tc>
        <w:tc>
          <w:tcPr>
            <w:tcW w:w="50" w:type="pct"/>
            <w:shd w:val="clear" w:color="auto" w:fill="CCEEFF"/>
            <w:noWrap/>
            <w:vAlign w:val="center"/>
            <w:hideMark/>
          </w:tcPr>
          <w:p w14:paraId="32E0303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A7495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B626E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7FFA656" w14:textId="77777777" w:rsidR="00000000" w:rsidRDefault="00EB4933">
            <w:pPr>
              <w:jc w:val="right"/>
              <w:rPr>
                <w:rFonts w:eastAsia="Times New Roman"/>
                <w:sz w:val="20"/>
                <w:szCs w:val="20"/>
              </w:rPr>
            </w:pPr>
            <w:r>
              <w:rPr>
                <w:rFonts w:eastAsia="Times New Roman"/>
                <w:sz w:val="20"/>
                <w:szCs w:val="20"/>
              </w:rPr>
              <w:t>391</w:t>
            </w:r>
          </w:p>
        </w:tc>
        <w:tc>
          <w:tcPr>
            <w:tcW w:w="50" w:type="pct"/>
            <w:shd w:val="clear" w:color="auto" w:fill="CCEEFF"/>
            <w:noWrap/>
            <w:vAlign w:val="center"/>
            <w:hideMark/>
          </w:tcPr>
          <w:p w14:paraId="559D2E7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0BB94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CEFDC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5E9BAB7" w14:textId="77777777" w:rsidR="00000000" w:rsidRDefault="00EB4933">
            <w:pPr>
              <w:jc w:val="right"/>
              <w:rPr>
                <w:rFonts w:eastAsia="Times New Roman"/>
                <w:sz w:val="20"/>
                <w:szCs w:val="20"/>
              </w:rPr>
            </w:pPr>
            <w:r>
              <w:rPr>
                <w:rFonts w:eastAsia="Times New Roman"/>
                <w:sz w:val="20"/>
                <w:szCs w:val="20"/>
              </w:rPr>
              <w:t>1,204</w:t>
            </w:r>
          </w:p>
        </w:tc>
        <w:tc>
          <w:tcPr>
            <w:tcW w:w="50" w:type="pct"/>
            <w:shd w:val="clear" w:color="auto" w:fill="CCEEFF"/>
            <w:noWrap/>
            <w:vAlign w:val="center"/>
            <w:hideMark/>
          </w:tcPr>
          <w:p w14:paraId="52ACE40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B3FF4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55763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2A464D6" w14:textId="77777777" w:rsidR="00000000" w:rsidRDefault="00EB4933">
            <w:pPr>
              <w:jc w:val="right"/>
              <w:rPr>
                <w:rFonts w:eastAsia="Times New Roman"/>
                <w:sz w:val="20"/>
                <w:szCs w:val="20"/>
              </w:rPr>
            </w:pPr>
            <w:r>
              <w:rPr>
                <w:rFonts w:eastAsia="Times New Roman"/>
                <w:sz w:val="20"/>
                <w:szCs w:val="20"/>
              </w:rPr>
              <w:t>3,041</w:t>
            </w:r>
          </w:p>
        </w:tc>
        <w:tc>
          <w:tcPr>
            <w:tcW w:w="50" w:type="pct"/>
            <w:shd w:val="clear" w:color="auto" w:fill="CCEEFF"/>
            <w:noWrap/>
            <w:vAlign w:val="center"/>
            <w:hideMark/>
          </w:tcPr>
          <w:p w14:paraId="17BD2536" w14:textId="77777777" w:rsidR="00000000" w:rsidRDefault="00EB4933">
            <w:pPr>
              <w:pStyle w:val="NormalWeb"/>
              <w:spacing w:before="0" w:beforeAutospacing="0" w:after="0" w:afterAutospacing="0"/>
              <w:rPr>
                <w:sz w:val="20"/>
                <w:szCs w:val="20"/>
              </w:rPr>
            </w:pPr>
            <w:r>
              <w:rPr>
                <w:sz w:val="20"/>
                <w:szCs w:val="20"/>
              </w:rPr>
              <w:t> </w:t>
            </w:r>
          </w:p>
        </w:tc>
      </w:tr>
      <w:tr w:rsidR="00000000" w14:paraId="7E7FC7A2" w14:textId="77777777">
        <w:trPr>
          <w:divId w:val="98525094"/>
          <w:trHeight w:val="225"/>
          <w:tblCellSpacing w:w="15" w:type="dxa"/>
        </w:trPr>
        <w:tc>
          <w:tcPr>
            <w:tcW w:w="0" w:type="auto"/>
            <w:shd w:val="clear" w:color="auto" w:fill="FFFFFF"/>
            <w:hideMark/>
          </w:tcPr>
          <w:p w14:paraId="69B5E059" w14:textId="77777777" w:rsidR="00000000" w:rsidRDefault="00EB4933">
            <w:pPr>
              <w:pStyle w:val="NormalWeb"/>
              <w:spacing w:before="0" w:beforeAutospacing="0" w:after="0" w:afterAutospacing="0"/>
              <w:jc w:val="both"/>
              <w:rPr>
                <w:sz w:val="20"/>
                <w:szCs w:val="20"/>
              </w:rPr>
            </w:pPr>
            <w:r>
              <w:rPr>
                <w:sz w:val="20"/>
                <w:szCs w:val="20"/>
              </w:rPr>
              <w:t xml:space="preserve">Depreciation </w:t>
            </w:r>
          </w:p>
        </w:tc>
        <w:tc>
          <w:tcPr>
            <w:tcW w:w="50" w:type="pct"/>
            <w:shd w:val="clear" w:color="auto" w:fill="FFFFFF"/>
            <w:noWrap/>
            <w:vAlign w:val="center"/>
            <w:hideMark/>
          </w:tcPr>
          <w:p w14:paraId="016C9A2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62087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1EB3EE1" w14:textId="77777777" w:rsidR="00000000" w:rsidRDefault="00EB4933">
            <w:pPr>
              <w:jc w:val="right"/>
              <w:rPr>
                <w:rFonts w:eastAsia="Times New Roman"/>
                <w:sz w:val="20"/>
                <w:szCs w:val="20"/>
              </w:rPr>
            </w:pPr>
            <w:r>
              <w:rPr>
                <w:rFonts w:eastAsia="Times New Roman"/>
                <w:sz w:val="20"/>
                <w:szCs w:val="20"/>
              </w:rPr>
              <w:t>2,286</w:t>
            </w:r>
          </w:p>
        </w:tc>
        <w:tc>
          <w:tcPr>
            <w:tcW w:w="50" w:type="pct"/>
            <w:shd w:val="clear" w:color="auto" w:fill="FFFFFF"/>
            <w:noWrap/>
            <w:vAlign w:val="center"/>
            <w:hideMark/>
          </w:tcPr>
          <w:p w14:paraId="48D822E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BF66E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DBC99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5D0A01B"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F9B233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A3EFE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36ED0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72FC7EF" w14:textId="77777777" w:rsidR="00000000" w:rsidRDefault="00EB4933">
            <w:pPr>
              <w:jc w:val="right"/>
              <w:rPr>
                <w:rFonts w:eastAsia="Times New Roman"/>
                <w:sz w:val="20"/>
                <w:szCs w:val="20"/>
              </w:rPr>
            </w:pPr>
            <w:r>
              <w:rPr>
                <w:rFonts w:eastAsia="Times New Roman"/>
                <w:sz w:val="20"/>
                <w:szCs w:val="20"/>
              </w:rPr>
              <w:t>136</w:t>
            </w:r>
          </w:p>
        </w:tc>
        <w:tc>
          <w:tcPr>
            <w:tcW w:w="50" w:type="pct"/>
            <w:shd w:val="clear" w:color="auto" w:fill="FFFFFF"/>
            <w:noWrap/>
            <w:vAlign w:val="center"/>
            <w:hideMark/>
          </w:tcPr>
          <w:p w14:paraId="0F1603F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A353B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CFF27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295AEA6" w14:textId="77777777" w:rsidR="00000000" w:rsidRDefault="00EB4933">
            <w:pPr>
              <w:jc w:val="right"/>
              <w:rPr>
                <w:rFonts w:eastAsia="Times New Roman"/>
                <w:sz w:val="20"/>
                <w:szCs w:val="20"/>
              </w:rPr>
            </w:pPr>
            <w:r>
              <w:rPr>
                <w:rFonts w:eastAsia="Times New Roman"/>
                <w:sz w:val="20"/>
                <w:szCs w:val="20"/>
              </w:rPr>
              <w:t>553</w:t>
            </w:r>
          </w:p>
        </w:tc>
        <w:tc>
          <w:tcPr>
            <w:tcW w:w="50" w:type="pct"/>
            <w:shd w:val="clear" w:color="auto" w:fill="FFFFFF"/>
            <w:noWrap/>
            <w:vAlign w:val="center"/>
            <w:hideMark/>
          </w:tcPr>
          <w:p w14:paraId="3359F3F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F1268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5F835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D3ECEA9" w14:textId="77777777" w:rsidR="00000000" w:rsidRDefault="00EB4933">
            <w:pPr>
              <w:jc w:val="right"/>
              <w:rPr>
                <w:rFonts w:eastAsia="Times New Roman"/>
                <w:sz w:val="20"/>
                <w:szCs w:val="20"/>
              </w:rPr>
            </w:pPr>
            <w:r>
              <w:rPr>
                <w:rFonts w:eastAsia="Times New Roman"/>
                <w:sz w:val="20"/>
                <w:szCs w:val="20"/>
              </w:rPr>
              <w:t>2,975</w:t>
            </w:r>
          </w:p>
        </w:tc>
        <w:tc>
          <w:tcPr>
            <w:tcW w:w="50" w:type="pct"/>
            <w:shd w:val="clear" w:color="auto" w:fill="FFFFFF"/>
            <w:noWrap/>
            <w:vAlign w:val="center"/>
            <w:hideMark/>
          </w:tcPr>
          <w:p w14:paraId="1D8B27BA" w14:textId="77777777" w:rsidR="00000000" w:rsidRDefault="00EB4933">
            <w:pPr>
              <w:pStyle w:val="NormalWeb"/>
              <w:spacing w:before="0" w:beforeAutospacing="0" w:after="0" w:afterAutospacing="0"/>
              <w:rPr>
                <w:sz w:val="20"/>
                <w:szCs w:val="20"/>
              </w:rPr>
            </w:pPr>
            <w:r>
              <w:rPr>
                <w:sz w:val="20"/>
                <w:szCs w:val="20"/>
              </w:rPr>
              <w:t> </w:t>
            </w:r>
          </w:p>
        </w:tc>
      </w:tr>
      <w:tr w:rsidR="00000000" w14:paraId="20406E63" w14:textId="77777777">
        <w:trPr>
          <w:divId w:val="98525094"/>
          <w:trHeight w:val="225"/>
          <w:tblCellSpacing w:w="15" w:type="dxa"/>
        </w:trPr>
        <w:tc>
          <w:tcPr>
            <w:tcW w:w="0" w:type="auto"/>
            <w:shd w:val="clear" w:color="auto" w:fill="CCEEFF"/>
            <w:hideMark/>
          </w:tcPr>
          <w:p w14:paraId="071A937B" w14:textId="77777777" w:rsidR="00000000" w:rsidRDefault="00EB4933">
            <w:pPr>
              <w:pStyle w:val="NormalWeb"/>
              <w:spacing w:before="0" w:beforeAutospacing="0" w:after="0" w:afterAutospacing="0"/>
              <w:jc w:val="both"/>
              <w:rPr>
                <w:sz w:val="20"/>
                <w:szCs w:val="20"/>
              </w:rPr>
            </w:pPr>
            <w:r>
              <w:rPr>
                <w:sz w:val="20"/>
                <w:szCs w:val="20"/>
              </w:rPr>
              <w:t>Adjustment</w:t>
            </w:r>
          </w:p>
        </w:tc>
        <w:tc>
          <w:tcPr>
            <w:tcW w:w="50" w:type="pct"/>
            <w:shd w:val="clear" w:color="auto" w:fill="CCEEFF"/>
            <w:noWrap/>
            <w:vAlign w:val="center"/>
            <w:hideMark/>
          </w:tcPr>
          <w:p w14:paraId="2198927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372B8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08DCD81"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B11CA9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96F9C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F9DE4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2D0209A" w14:textId="77777777" w:rsidR="00000000" w:rsidRDefault="00EB4933">
            <w:pPr>
              <w:jc w:val="right"/>
              <w:rPr>
                <w:rFonts w:eastAsia="Times New Roman"/>
                <w:sz w:val="20"/>
                <w:szCs w:val="20"/>
              </w:rPr>
            </w:pPr>
            <w:r>
              <w:rPr>
                <w:rFonts w:eastAsia="Times New Roman"/>
                <w:sz w:val="20"/>
                <w:szCs w:val="20"/>
              </w:rPr>
              <w:t>(31</w:t>
            </w:r>
          </w:p>
        </w:tc>
        <w:tc>
          <w:tcPr>
            <w:tcW w:w="50" w:type="pct"/>
            <w:shd w:val="clear" w:color="auto" w:fill="CCEEFF"/>
            <w:noWrap/>
            <w:vAlign w:val="bottom"/>
            <w:hideMark/>
          </w:tcPr>
          <w:p w14:paraId="357FAE9B"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E5A311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1B50A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3F2AB3A"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F9FBA9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C7247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BCF378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791523E"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D0CCA1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B1F60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3929C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805E947" w14:textId="77777777" w:rsidR="00000000" w:rsidRDefault="00EB4933">
            <w:pPr>
              <w:jc w:val="right"/>
              <w:rPr>
                <w:rFonts w:eastAsia="Times New Roman"/>
                <w:sz w:val="20"/>
                <w:szCs w:val="20"/>
              </w:rPr>
            </w:pPr>
            <w:r>
              <w:rPr>
                <w:rFonts w:eastAsia="Times New Roman"/>
                <w:sz w:val="20"/>
                <w:szCs w:val="20"/>
              </w:rPr>
              <w:t>(31</w:t>
            </w:r>
          </w:p>
        </w:tc>
        <w:tc>
          <w:tcPr>
            <w:tcW w:w="50" w:type="pct"/>
            <w:shd w:val="clear" w:color="auto" w:fill="CCEEFF"/>
            <w:noWrap/>
            <w:vAlign w:val="bottom"/>
            <w:hideMark/>
          </w:tcPr>
          <w:p w14:paraId="55D32507" w14:textId="77777777" w:rsidR="00000000" w:rsidRDefault="00EB4933">
            <w:pPr>
              <w:rPr>
                <w:rFonts w:eastAsia="Times New Roman"/>
                <w:sz w:val="20"/>
                <w:szCs w:val="20"/>
              </w:rPr>
            </w:pPr>
            <w:r>
              <w:rPr>
                <w:rFonts w:eastAsia="Times New Roman"/>
                <w:sz w:val="20"/>
                <w:szCs w:val="20"/>
              </w:rPr>
              <w:t>)</w:t>
            </w:r>
          </w:p>
        </w:tc>
      </w:tr>
      <w:tr w:rsidR="00000000" w14:paraId="6B416D51" w14:textId="77777777">
        <w:trPr>
          <w:divId w:val="98525094"/>
          <w:trHeight w:val="225"/>
          <w:tblCellSpacing w:w="15" w:type="dxa"/>
        </w:trPr>
        <w:tc>
          <w:tcPr>
            <w:tcW w:w="0" w:type="auto"/>
            <w:shd w:val="clear" w:color="auto" w:fill="FFFFFF"/>
            <w:hideMark/>
          </w:tcPr>
          <w:p w14:paraId="62D79492" w14:textId="77777777" w:rsidR="00000000" w:rsidRDefault="00EB4933">
            <w:pPr>
              <w:pStyle w:val="NormalWeb"/>
              <w:spacing w:before="0" w:beforeAutospacing="0" w:after="0" w:afterAutospacing="0"/>
              <w:jc w:val="both"/>
              <w:rPr>
                <w:sz w:val="20"/>
                <w:szCs w:val="20"/>
              </w:rPr>
            </w:pPr>
            <w:r>
              <w:rPr>
                <w:sz w:val="20"/>
                <w:szCs w:val="20"/>
              </w:rPr>
              <w:t>Disposals</w:t>
            </w:r>
          </w:p>
        </w:tc>
        <w:tc>
          <w:tcPr>
            <w:tcW w:w="50" w:type="pct"/>
            <w:shd w:val="clear" w:color="auto" w:fill="FFFFFF"/>
            <w:noWrap/>
            <w:vAlign w:val="center"/>
            <w:hideMark/>
          </w:tcPr>
          <w:p w14:paraId="036B7F4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DFDAEC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82659FD"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12570F0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E7A03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0FAF5D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6B5FCFD" w14:textId="77777777" w:rsidR="00000000" w:rsidRDefault="00EB4933">
            <w:pPr>
              <w:jc w:val="right"/>
              <w:rPr>
                <w:rFonts w:eastAsia="Times New Roman"/>
                <w:sz w:val="20"/>
                <w:szCs w:val="20"/>
              </w:rPr>
            </w:pPr>
            <w:r>
              <w:rPr>
                <w:rFonts w:eastAsia="Times New Roman"/>
                <w:sz w:val="20"/>
                <w:szCs w:val="20"/>
              </w:rPr>
              <w:t>(395</w:t>
            </w:r>
          </w:p>
        </w:tc>
        <w:tc>
          <w:tcPr>
            <w:tcW w:w="50" w:type="pct"/>
            <w:shd w:val="clear" w:color="auto" w:fill="FFFFFF"/>
            <w:noWrap/>
            <w:tcMar>
              <w:top w:w="0" w:type="dxa"/>
              <w:left w:w="0" w:type="dxa"/>
              <w:bottom w:w="15" w:type="dxa"/>
              <w:right w:w="0" w:type="dxa"/>
            </w:tcMar>
            <w:vAlign w:val="bottom"/>
            <w:hideMark/>
          </w:tcPr>
          <w:p w14:paraId="3EB7657B"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CBCE4F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5A9BEC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C090F0B"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7292F3A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9A6BF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12DC1C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36F7BE2"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56F0545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E11D4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32DB83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C00D405" w14:textId="77777777" w:rsidR="00000000" w:rsidRDefault="00EB4933">
            <w:pPr>
              <w:jc w:val="right"/>
              <w:rPr>
                <w:rFonts w:eastAsia="Times New Roman"/>
                <w:sz w:val="20"/>
                <w:szCs w:val="20"/>
              </w:rPr>
            </w:pPr>
            <w:r>
              <w:rPr>
                <w:rFonts w:eastAsia="Times New Roman"/>
                <w:sz w:val="20"/>
                <w:szCs w:val="20"/>
              </w:rPr>
              <w:t>(416</w:t>
            </w:r>
          </w:p>
        </w:tc>
        <w:tc>
          <w:tcPr>
            <w:tcW w:w="50" w:type="pct"/>
            <w:shd w:val="clear" w:color="auto" w:fill="FFFFFF"/>
            <w:noWrap/>
            <w:tcMar>
              <w:top w:w="0" w:type="dxa"/>
              <w:left w:w="0" w:type="dxa"/>
              <w:bottom w:w="15" w:type="dxa"/>
              <w:right w:w="0" w:type="dxa"/>
            </w:tcMar>
            <w:vAlign w:val="bottom"/>
            <w:hideMark/>
          </w:tcPr>
          <w:p w14:paraId="56D2ACF1" w14:textId="77777777" w:rsidR="00000000" w:rsidRDefault="00EB4933">
            <w:pPr>
              <w:rPr>
                <w:rFonts w:eastAsia="Times New Roman"/>
                <w:sz w:val="20"/>
                <w:szCs w:val="20"/>
              </w:rPr>
            </w:pPr>
            <w:r>
              <w:rPr>
                <w:rFonts w:eastAsia="Times New Roman"/>
                <w:sz w:val="20"/>
                <w:szCs w:val="20"/>
              </w:rPr>
              <w:t>)</w:t>
            </w:r>
          </w:p>
        </w:tc>
      </w:tr>
      <w:tr w:rsidR="00000000" w14:paraId="41D3D64D" w14:textId="77777777">
        <w:trPr>
          <w:divId w:val="98525094"/>
          <w:trHeight w:val="225"/>
          <w:tblCellSpacing w:w="15" w:type="dxa"/>
        </w:trPr>
        <w:tc>
          <w:tcPr>
            <w:tcW w:w="0" w:type="auto"/>
            <w:shd w:val="clear" w:color="auto" w:fill="CCEEFF"/>
            <w:hideMark/>
          </w:tcPr>
          <w:p w14:paraId="480BBF7A" w14:textId="77777777" w:rsidR="00000000" w:rsidRDefault="00EB4933">
            <w:pPr>
              <w:pStyle w:val="NormalWeb"/>
              <w:spacing w:before="0" w:beforeAutospacing="0" w:after="0" w:afterAutospacing="0"/>
              <w:jc w:val="both"/>
              <w:rPr>
                <w:sz w:val="20"/>
                <w:szCs w:val="20"/>
              </w:rPr>
            </w:pPr>
            <w:r>
              <w:rPr>
                <w:sz w:val="20"/>
                <w:szCs w:val="20"/>
              </w:rPr>
              <w:t>At December 31, 2019</w:t>
            </w:r>
          </w:p>
        </w:tc>
        <w:tc>
          <w:tcPr>
            <w:tcW w:w="50" w:type="pct"/>
            <w:shd w:val="clear" w:color="auto" w:fill="CCEEFF"/>
            <w:noWrap/>
            <w:vAlign w:val="center"/>
            <w:hideMark/>
          </w:tcPr>
          <w:p w14:paraId="05BD795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0E41C0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5A130457" w14:textId="77777777" w:rsidR="00000000" w:rsidRDefault="00EB4933">
            <w:pPr>
              <w:jc w:val="right"/>
              <w:rPr>
                <w:rFonts w:eastAsia="Times New Roman"/>
                <w:sz w:val="20"/>
                <w:szCs w:val="20"/>
              </w:rPr>
            </w:pPr>
            <w:r>
              <w:rPr>
                <w:rFonts w:eastAsia="Times New Roman"/>
                <w:sz w:val="20"/>
                <w:szCs w:val="20"/>
              </w:rPr>
              <w:t>2,756</w:t>
            </w:r>
          </w:p>
        </w:tc>
        <w:tc>
          <w:tcPr>
            <w:tcW w:w="50" w:type="pct"/>
            <w:shd w:val="clear" w:color="auto" w:fill="CCEEFF"/>
            <w:noWrap/>
            <w:tcMar>
              <w:top w:w="0" w:type="dxa"/>
              <w:left w:w="0" w:type="dxa"/>
              <w:bottom w:w="45" w:type="dxa"/>
              <w:right w:w="0" w:type="dxa"/>
            </w:tcMar>
            <w:vAlign w:val="center"/>
            <w:hideMark/>
          </w:tcPr>
          <w:p w14:paraId="269A5D5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AFC97D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75B0CB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1B04C0D9" w14:textId="77777777" w:rsidR="00000000" w:rsidRDefault="00EB4933">
            <w:pPr>
              <w:jc w:val="right"/>
              <w:rPr>
                <w:rFonts w:eastAsia="Times New Roman"/>
                <w:sz w:val="20"/>
                <w:szCs w:val="20"/>
              </w:rPr>
            </w:pPr>
            <w:r>
              <w:rPr>
                <w:rFonts w:eastAsia="Times New Roman"/>
                <w:sz w:val="20"/>
                <w:szCs w:val="20"/>
              </w:rPr>
              <w:t>550</w:t>
            </w:r>
          </w:p>
        </w:tc>
        <w:tc>
          <w:tcPr>
            <w:tcW w:w="50" w:type="pct"/>
            <w:shd w:val="clear" w:color="auto" w:fill="CCEEFF"/>
            <w:noWrap/>
            <w:tcMar>
              <w:top w:w="0" w:type="dxa"/>
              <w:left w:w="0" w:type="dxa"/>
              <w:bottom w:w="45" w:type="dxa"/>
              <w:right w:w="0" w:type="dxa"/>
            </w:tcMar>
            <w:vAlign w:val="center"/>
            <w:hideMark/>
          </w:tcPr>
          <w:p w14:paraId="206706E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81472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9937E9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4A6BE4AF" w14:textId="77777777" w:rsidR="00000000" w:rsidRDefault="00EB4933">
            <w:pPr>
              <w:jc w:val="right"/>
              <w:rPr>
                <w:rFonts w:eastAsia="Times New Roman"/>
                <w:sz w:val="20"/>
                <w:szCs w:val="20"/>
              </w:rPr>
            </w:pPr>
            <w:r>
              <w:rPr>
                <w:rFonts w:eastAsia="Times New Roman"/>
                <w:sz w:val="20"/>
                <w:szCs w:val="20"/>
              </w:rPr>
              <w:t>527</w:t>
            </w:r>
          </w:p>
        </w:tc>
        <w:tc>
          <w:tcPr>
            <w:tcW w:w="50" w:type="pct"/>
            <w:shd w:val="clear" w:color="auto" w:fill="CCEEFF"/>
            <w:noWrap/>
            <w:tcMar>
              <w:top w:w="0" w:type="dxa"/>
              <w:left w:w="0" w:type="dxa"/>
              <w:bottom w:w="45" w:type="dxa"/>
              <w:right w:w="0" w:type="dxa"/>
            </w:tcMar>
            <w:vAlign w:val="center"/>
            <w:hideMark/>
          </w:tcPr>
          <w:p w14:paraId="2830DD2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A0D0E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57AD61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4473A4E4" w14:textId="77777777" w:rsidR="00000000" w:rsidRDefault="00EB4933">
            <w:pPr>
              <w:jc w:val="right"/>
              <w:rPr>
                <w:rFonts w:eastAsia="Times New Roman"/>
                <w:sz w:val="20"/>
                <w:szCs w:val="20"/>
              </w:rPr>
            </w:pPr>
            <w:r>
              <w:rPr>
                <w:rFonts w:eastAsia="Times New Roman"/>
                <w:sz w:val="20"/>
                <w:szCs w:val="20"/>
              </w:rPr>
              <w:t>1,757</w:t>
            </w:r>
          </w:p>
        </w:tc>
        <w:tc>
          <w:tcPr>
            <w:tcW w:w="50" w:type="pct"/>
            <w:shd w:val="clear" w:color="auto" w:fill="CCEEFF"/>
            <w:noWrap/>
            <w:tcMar>
              <w:top w:w="0" w:type="dxa"/>
              <w:left w:w="0" w:type="dxa"/>
              <w:bottom w:w="45" w:type="dxa"/>
              <w:right w:w="0" w:type="dxa"/>
            </w:tcMar>
            <w:vAlign w:val="center"/>
            <w:hideMark/>
          </w:tcPr>
          <w:p w14:paraId="2389A0B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E63BF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896EC7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40F954A3" w14:textId="77777777" w:rsidR="00000000" w:rsidRDefault="00EB4933">
            <w:pPr>
              <w:jc w:val="right"/>
              <w:rPr>
                <w:rFonts w:eastAsia="Times New Roman"/>
                <w:sz w:val="20"/>
                <w:szCs w:val="20"/>
              </w:rPr>
            </w:pPr>
            <w:r>
              <w:rPr>
                <w:rFonts w:eastAsia="Times New Roman"/>
                <w:sz w:val="20"/>
                <w:szCs w:val="20"/>
              </w:rPr>
              <w:t>5,590</w:t>
            </w:r>
          </w:p>
        </w:tc>
        <w:tc>
          <w:tcPr>
            <w:tcW w:w="50" w:type="pct"/>
            <w:shd w:val="clear" w:color="auto" w:fill="CCEEFF"/>
            <w:noWrap/>
            <w:tcMar>
              <w:top w:w="0" w:type="dxa"/>
              <w:left w:w="0" w:type="dxa"/>
              <w:bottom w:w="45" w:type="dxa"/>
              <w:right w:w="0" w:type="dxa"/>
            </w:tcMar>
            <w:vAlign w:val="center"/>
            <w:hideMark/>
          </w:tcPr>
          <w:p w14:paraId="3830C3C9" w14:textId="77777777" w:rsidR="00000000" w:rsidRDefault="00EB4933">
            <w:pPr>
              <w:pStyle w:val="NormalWeb"/>
              <w:spacing w:before="0" w:beforeAutospacing="0" w:after="0" w:afterAutospacing="0"/>
              <w:rPr>
                <w:sz w:val="20"/>
                <w:szCs w:val="20"/>
              </w:rPr>
            </w:pPr>
            <w:r>
              <w:rPr>
                <w:sz w:val="20"/>
                <w:szCs w:val="20"/>
              </w:rPr>
              <w:t> </w:t>
            </w:r>
          </w:p>
        </w:tc>
      </w:tr>
      <w:tr w:rsidR="00000000" w14:paraId="37245912" w14:textId="77777777">
        <w:trPr>
          <w:divId w:val="98525094"/>
          <w:trHeight w:val="225"/>
          <w:tblCellSpacing w:w="15" w:type="dxa"/>
        </w:trPr>
        <w:tc>
          <w:tcPr>
            <w:tcW w:w="0" w:type="auto"/>
            <w:shd w:val="clear" w:color="auto" w:fill="FFFFFF"/>
            <w:vAlign w:val="center"/>
            <w:hideMark/>
          </w:tcPr>
          <w:p w14:paraId="76D1317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63BF3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AB1C6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A6DBEE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41D78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F5F23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5A0D3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AB9934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54E42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C0F38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4B293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679963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83ED6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368DC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E93E6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F0C5AC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0337D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82321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C9317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87A8AC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2BB0A4" w14:textId="77777777" w:rsidR="00000000" w:rsidRDefault="00EB4933">
            <w:pPr>
              <w:pStyle w:val="NormalWeb"/>
              <w:spacing w:before="0" w:beforeAutospacing="0" w:after="0" w:afterAutospacing="0"/>
              <w:rPr>
                <w:sz w:val="20"/>
                <w:szCs w:val="20"/>
              </w:rPr>
            </w:pPr>
            <w:r>
              <w:rPr>
                <w:sz w:val="20"/>
                <w:szCs w:val="20"/>
              </w:rPr>
              <w:t> </w:t>
            </w:r>
          </w:p>
        </w:tc>
      </w:tr>
      <w:tr w:rsidR="00000000" w14:paraId="7D743771" w14:textId="77777777">
        <w:trPr>
          <w:divId w:val="98525094"/>
          <w:trHeight w:val="225"/>
          <w:tblCellSpacing w:w="15" w:type="dxa"/>
        </w:trPr>
        <w:tc>
          <w:tcPr>
            <w:tcW w:w="0" w:type="auto"/>
            <w:shd w:val="clear" w:color="auto" w:fill="CCEEFF"/>
            <w:hideMark/>
          </w:tcPr>
          <w:p w14:paraId="0879EB0C" w14:textId="77777777" w:rsidR="00000000" w:rsidRDefault="00EB4933">
            <w:pPr>
              <w:pStyle w:val="NormalWeb"/>
              <w:spacing w:before="0" w:beforeAutospacing="0" w:after="0" w:afterAutospacing="0"/>
              <w:jc w:val="both"/>
              <w:rPr>
                <w:sz w:val="20"/>
                <w:szCs w:val="20"/>
              </w:rPr>
            </w:pPr>
            <w:r>
              <w:rPr>
                <w:rStyle w:val="Strong"/>
                <w:sz w:val="20"/>
                <w:szCs w:val="20"/>
              </w:rPr>
              <w:lastRenderedPageBreak/>
              <w:t>Net book value</w:t>
            </w:r>
          </w:p>
        </w:tc>
        <w:tc>
          <w:tcPr>
            <w:tcW w:w="50" w:type="pct"/>
            <w:shd w:val="clear" w:color="auto" w:fill="CCEEFF"/>
            <w:noWrap/>
            <w:vAlign w:val="center"/>
            <w:hideMark/>
          </w:tcPr>
          <w:p w14:paraId="483AE73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C57AE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109D4A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2FDC7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2A8EB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B2AEA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4E2BC7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64266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22E23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4E124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121138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F5F52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CBE43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FDF6A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3EC501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CA6B8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8B478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44A03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CC386F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1CBC65" w14:textId="77777777" w:rsidR="00000000" w:rsidRDefault="00EB4933">
            <w:pPr>
              <w:pStyle w:val="NormalWeb"/>
              <w:spacing w:before="0" w:beforeAutospacing="0" w:after="0" w:afterAutospacing="0"/>
              <w:rPr>
                <w:sz w:val="20"/>
                <w:szCs w:val="20"/>
              </w:rPr>
            </w:pPr>
            <w:r>
              <w:rPr>
                <w:sz w:val="20"/>
                <w:szCs w:val="20"/>
              </w:rPr>
              <w:t> </w:t>
            </w:r>
          </w:p>
        </w:tc>
      </w:tr>
      <w:tr w:rsidR="00000000" w14:paraId="3F2A47E6" w14:textId="77777777">
        <w:trPr>
          <w:divId w:val="98525094"/>
          <w:trHeight w:val="225"/>
          <w:tblCellSpacing w:w="15" w:type="dxa"/>
        </w:trPr>
        <w:tc>
          <w:tcPr>
            <w:tcW w:w="0" w:type="auto"/>
            <w:shd w:val="clear" w:color="auto" w:fill="FFFFFF"/>
            <w:hideMark/>
          </w:tcPr>
          <w:p w14:paraId="6E7FF890" w14:textId="77777777" w:rsidR="00000000" w:rsidRDefault="00EB4933">
            <w:pPr>
              <w:pStyle w:val="NormalWeb"/>
              <w:spacing w:before="0" w:beforeAutospacing="0" w:after="0" w:afterAutospacing="0"/>
              <w:jc w:val="both"/>
              <w:rPr>
                <w:sz w:val="20"/>
                <w:szCs w:val="20"/>
              </w:rPr>
            </w:pPr>
            <w:r>
              <w:rPr>
                <w:sz w:val="20"/>
                <w:szCs w:val="20"/>
              </w:rPr>
              <w:t>At December 31, 2018</w:t>
            </w:r>
          </w:p>
        </w:tc>
        <w:tc>
          <w:tcPr>
            <w:tcW w:w="50" w:type="pct"/>
            <w:shd w:val="clear" w:color="auto" w:fill="FFFFFF"/>
            <w:noWrap/>
            <w:vAlign w:val="center"/>
            <w:hideMark/>
          </w:tcPr>
          <w:p w14:paraId="3E6F98B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5A4337D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5FC22140" w14:textId="77777777" w:rsidR="00000000" w:rsidRDefault="00EB4933">
            <w:pPr>
              <w:jc w:val="right"/>
              <w:rPr>
                <w:rFonts w:eastAsia="Times New Roman"/>
                <w:sz w:val="20"/>
                <w:szCs w:val="20"/>
              </w:rPr>
            </w:pPr>
            <w:r>
              <w:rPr>
                <w:rFonts w:eastAsia="Times New Roman"/>
                <w:sz w:val="20"/>
                <w:szCs w:val="20"/>
              </w:rPr>
              <w:t>47,438</w:t>
            </w:r>
          </w:p>
        </w:tc>
        <w:tc>
          <w:tcPr>
            <w:tcW w:w="50" w:type="pct"/>
            <w:shd w:val="clear" w:color="auto" w:fill="FFFFFF"/>
            <w:noWrap/>
            <w:tcMar>
              <w:top w:w="0" w:type="dxa"/>
              <w:left w:w="0" w:type="dxa"/>
              <w:bottom w:w="45" w:type="dxa"/>
              <w:right w:w="0" w:type="dxa"/>
            </w:tcMar>
            <w:vAlign w:val="center"/>
            <w:hideMark/>
          </w:tcPr>
          <w:p w14:paraId="35826E8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D7794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5053734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2C7A3B44" w14:textId="77777777" w:rsidR="00000000" w:rsidRDefault="00EB4933">
            <w:pPr>
              <w:jc w:val="right"/>
              <w:rPr>
                <w:rFonts w:eastAsia="Times New Roman"/>
                <w:sz w:val="20"/>
                <w:szCs w:val="20"/>
              </w:rPr>
            </w:pPr>
            <w:r>
              <w:rPr>
                <w:rFonts w:eastAsia="Times New Roman"/>
                <w:sz w:val="20"/>
                <w:szCs w:val="20"/>
              </w:rPr>
              <w:t>19</w:t>
            </w:r>
          </w:p>
        </w:tc>
        <w:tc>
          <w:tcPr>
            <w:tcW w:w="50" w:type="pct"/>
            <w:shd w:val="clear" w:color="auto" w:fill="FFFFFF"/>
            <w:noWrap/>
            <w:tcMar>
              <w:top w:w="0" w:type="dxa"/>
              <w:left w:w="0" w:type="dxa"/>
              <w:bottom w:w="45" w:type="dxa"/>
              <w:right w:w="0" w:type="dxa"/>
            </w:tcMar>
            <w:vAlign w:val="center"/>
            <w:hideMark/>
          </w:tcPr>
          <w:p w14:paraId="68407CB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FC55B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4771F96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7A7A5BD4" w14:textId="77777777" w:rsidR="00000000" w:rsidRDefault="00EB4933">
            <w:pPr>
              <w:jc w:val="right"/>
              <w:rPr>
                <w:rFonts w:eastAsia="Times New Roman"/>
                <w:sz w:val="20"/>
                <w:szCs w:val="20"/>
              </w:rPr>
            </w:pPr>
            <w:r>
              <w:rPr>
                <w:rFonts w:eastAsia="Times New Roman"/>
                <w:sz w:val="20"/>
                <w:szCs w:val="20"/>
              </w:rPr>
              <w:t>648</w:t>
            </w:r>
          </w:p>
        </w:tc>
        <w:tc>
          <w:tcPr>
            <w:tcW w:w="50" w:type="pct"/>
            <w:shd w:val="clear" w:color="auto" w:fill="FFFFFF"/>
            <w:noWrap/>
            <w:tcMar>
              <w:top w:w="0" w:type="dxa"/>
              <w:left w:w="0" w:type="dxa"/>
              <w:bottom w:w="45" w:type="dxa"/>
              <w:right w:w="0" w:type="dxa"/>
            </w:tcMar>
            <w:vAlign w:val="center"/>
            <w:hideMark/>
          </w:tcPr>
          <w:p w14:paraId="4321CBA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8F88D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57813D2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1414D379" w14:textId="77777777" w:rsidR="00000000" w:rsidRDefault="00EB4933">
            <w:pPr>
              <w:jc w:val="right"/>
              <w:rPr>
                <w:rFonts w:eastAsia="Times New Roman"/>
                <w:sz w:val="20"/>
                <w:szCs w:val="20"/>
              </w:rPr>
            </w:pPr>
            <w:r>
              <w:rPr>
                <w:rFonts w:eastAsia="Times New Roman"/>
                <w:sz w:val="20"/>
                <w:szCs w:val="20"/>
              </w:rPr>
              <w:t>2,719</w:t>
            </w:r>
          </w:p>
        </w:tc>
        <w:tc>
          <w:tcPr>
            <w:tcW w:w="50" w:type="pct"/>
            <w:shd w:val="clear" w:color="auto" w:fill="FFFFFF"/>
            <w:noWrap/>
            <w:tcMar>
              <w:top w:w="0" w:type="dxa"/>
              <w:left w:w="0" w:type="dxa"/>
              <w:bottom w:w="45" w:type="dxa"/>
              <w:right w:w="0" w:type="dxa"/>
            </w:tcMar>
            <w:vAlign w:val="center"/>
            <w:hideMark/>
          </w:tcPr>
          <w:p w14:paraId="7E01978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20112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4F3FEF7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62D1CB2B" w14:textId="77777777" w:rsidR="00000000" w:rsidRDefault="00EB4933">
            <w:pPr>
              <w:jc w:val="right"/>
              <w:rPr>
                <w:rFonts w:eastAsia="Times New Roman"/>
                <w:sz w:val="20"/>
                <w:szCs w:val="20"/>
              </w:rPr>
            </w:pPr>
            <w:r>
              <w:rPr>
                <w:rFonts w:eastAsia="Times New Roman"/>
                <w:sz w:val="20"/>
                <w:szCs w:val="20"/>
              </w:rPr>
              <w:t>50,824</w:t>
            </w:r>
          </w:p>
        </w:tc>
        <w:tc>
          <w:tcPr>
            <w:tcW w:w="50" w:type="pct"/>
            <w:shd w:val="clear" w:color="auto" w:fill="FFFFFF"/>
            <w:noWrap/>
            <w:tcMar>
              <w:top w:w="0" w:type="dxa"/>
              <w:left w:w="0" w:type="dxa"/>
              <w:bottom w:w="45" w:type="dxa"/>
              <w:right w:w="0" w:type="dxa"/>
            </w:tcMar>
            <w:vAlign w:val="center"/>
            <w:hideMark/>
          </w:tcPr>
          <w:p w14:paraId="256C19E6" w14:textId="77777777" w:rsidR="00000000" w:rsidRDefault="00EB4933">
            <w:pPr>
              <w:pStyle w:val="NormalWeb"/>
              <w:spacing w:before="0" w:beforeAutospacing="0" w:after="0" w:afterAutospacing="0"/>
              <w:rPr>
                <w:sz w:val="20"/>
                <w:szCs w:val="20"/>
              </w:rPr>
            </w:pPr>
            <w:r>
              <w:rPr>
                <w:sz w:val="20"/>
                <w:szCs w:val="20"/>
              </w:rPr>
              <w:t> </w:t>
            </w:r>
          </w:p>
        </w:tc>
      </w:tr>
      <w:tr w:rsidR="00000000" w14:paraId="6227E565" w14:textId="77777777">
        <w:trPr>
          <w:divId w:val="98525094"/>
          <w:trHeight w:val="225"/>
          <w:tblCellSpacing w:w="15" w:type="dxa"/>
        </w:trPr>
        <w:tc>
          <w:tcPr>
            <w:tcW w:w="0" w:type="auto"/>
            <w:shd w:val="clear" w:color="auto" w:fill="CCEEFF"/>
            <w:hideMark/>
          </w:tcPr>
          <w:p w14:paraId="541516FF" w14:textId="77777777" w:rsidR="00000000" w:rsidRDefault="00EB4933">
            <w:pPr>
              <w:pStyle w:val="NormalWeb"/>
              <w:spacing w:before="0" w:beforeAutospacing="0" w:after="0" w:afterAutospacing="0"/>
              <w:jc w:val="both"/>
              <w:rPr>
                <w:sz w:val="20"/>
                <w:szCs w:val="20"/>
              </w:rPr>
            </w:pPr>
            <w:r>
              <w:rPr>
                <w:sz w:val="20"/>
                <w:szCs w:val="20"/>
              </w:rPr>
              <w:t>At December 31, 2019</w:t>
            </w:r>
          </w:p>
        </w:tc>
        <w:tc>
          <w:tcPr>
            <w:tcW w:w="50" w:type="pct"/>
            <w:shd w:val="clear" w:color="auto" w:fill="CCEEFF"/>
            <w:noWrap/>
            <w:vAlign w:val="center"/>
            <w:hideMark/>
          </w:tcPr>
          <w:p w14:paraId="482029A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4EBA10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2E8E22FA" w14:textId="77777777" w:rsidR="00000000" w:rsidRDefault="00EB4933">
            <w:pPr>
              <w:jc w:val="right"/>
              <w:rPr>
                <w:rFonts w:eastAsia="Times New Roman"/>
                <w:sz w:val="20"/>
                <w:szCs w:val="20"/>
              </w:rPr>
            </w:pPr>
            <w:r>
              <w:rPr>
                <w:rFonts w:eastAsia="Times New Roman"/>
                <w:sz w:val="20"/>
                <w:szCs w:val="20"/>
              </w:rPr>
              <w:t>45,384</w:t>
            </w:r>
          </w:p>
        </w:tc>
        <w:tc>
          <w:tcPr>
            <w:tcW w:w="50" w:type="pct"/>
            <w:shd w:val="clear" w:color="auto" w:fill="CCEEFF"/>
            <w:noWrap/>
            <w:tcMar>
              <w:top w:w="0" w:type="dxa"/>
              <w:left w:w="0" w:type="dxa"/>
              <w:bottom w:w="45" w:type="dxa"/>
              <w:right w:w="0" w:type="dxa"/>
            </w:tcMar>
            <w:vAlign w:val="center"/>
            <w:hideMark/>
          </w:tcPr>
          <w:p w14:paraId="1DE08D9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A4993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797D2F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06860A3B" w14:textId="77777777" w:rsidR="00000000" w:rsidRDefault="00EB4933">
            <w:pPr>
              <w:jc w:val="right"/>
              <w:rPr>
                <w:rFonts w:eastAsia="Times New Roman"/>
                <w:sz w:val="20"/>
                <w:szCs w:val="20"/>
              </w:rPr>
            </w:pPr>
            <w:r>
              <w:rPr>
                <w:rFonts w:eastAsia="Times New Roman"/>
                <w:sz w:val="20"/>
                <w:szCs w:val="20"/>
              </w:rPr>
              <w:t>29</w:t>
            </w:r>
          </w:p>
        </w:tc>
        <w:tc>
          <w:tcPr>
            <w:tcW w:w="50" w:type="pct"/>
            <w:shd w:val="clear" w:color="auto" w:fill="CCEEFF"/>
            <w:noWrap/>
            <w:tcMar>
              <w:top w:w="0" w:type="dxa"/>
              <w:left w:w="0" w:type="dxa"/>
              <w:bottom w:w="45" w:type="dxa"/>
              <w:right w:w="0" w:type="dxa"/>
            </w:tcMar>
            <w:vAlign w:val="center"/>
            <w:hideMark/>
          </w:tcPr>
          <w:p w14:paraId="5F43368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8EA7C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BC6C6D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43C63E1B" w14:textId="77777777" w:rsidR="00000000" w:rsidRDefault="00EB4933">
            <w:pPr>
              <w:jc w:val="right"/>
              <w:rPr>
                <w:rFonts w:eastAsia="Times New Roman"/>
                <w:sz w:val="20"/>
                <w:szCs w:val="20"/>
              </w:rPr>
            </w:pPr>
            <w:r>
              <w:rPr>
                <w:rFonts w:eastAsia="Times New Roman"/>
                <w:sz w:val="20"/>
                <w:szCs w:val="20"/>
              </w:rPr>
              <w:t>551</w:t>
            </w:r>
          </w:p>
        </w:tc>
        <w:tc>
          <w:tcPr>
            <w:tcW w:w="50" w:type="pct"/>
            <w:shd w:val="clear" w:color="auto" w:fill="CCEEFF"/>
            <w:noWrap/>
            <w:tcMar>
              <w:top w:w="0" w:type="dxa"/>
              <w:left w:w="0" w:type="dxa"/>
              <w:bottom w:w="45" w:type="dxa"/>
              <w:right w:w="0" w:type="dxa"/>
            </w:tcMar>
            <w:vAlign w:val="center"/>
            <w:hideMark/>
          </w:tcPr>
          <w:p w14:paraId="2749672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0718B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94CCEC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32A539AD" w14:textId="77777777" w:rsidR="00000000" w:rsidRDefault="00EB4933">
            <w:pPr>
              <w:jc w:val="right"/>
              <w:rPr>
                <w:rFonts w:eastAsia="Times New Roman"/>
                <w:sz w:val="20"/>
                <w:szCs w:val="20"/>
              </w:rPr>
            </w:pPr>
            <w:r>
              <w:rPr>
                <w:rFonts w:eastAsia="Times New Roman"/>
                <w:sz w:val="20"/>
                <w:szCs w:val="20"/>
              </w:rPr>
              <w:t>2,166</w:t>
            </w:r>
          </w:p>
        </w:tc>
        <w:tc>
          <w:tcPr>
            <w:tcW w:w="50" w:type="pct"/>
            <w:shd w:val="clear" w:color="auto" w:fill="CCEEFF"/>
            <w:noWrap/>
            <w:tcMar>
              <w:top w:w="0" w:type="dxa"/>
              <w:left w:w="0" w:type="dxa"/>
              <w:bottom w:w="45" w:type="dxa"/>
              <w:right w:w="0" w:type="dxa"/>
            </w:tcMar>
            <w:vAlign w:val="center"/>
            <w:hideMark/>
          </w:tcPr>
          <w:p w14:paraId="07A2811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3ED74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5D6623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0C81B4A4" w14:textId="77777777" w:rsidR="00000000" w:rsidRDefault="00EB4933">
            <w:pPr>
              <w:jc w:val="right"/>
              <w:rPr>
                <w:rFonts w:eastAsia="Times New Roman"/>
                <w:sz w:val="20"/>
                <w:szCs w:val="20"/>
              </w:rPr>
            </w:pPr>
            <w:r>
              <w:rPr>
                <w:rFonts w:eastAsia="Times New Roman"/>
                <w:sz w:val="20"/>
                <w:szCs w:val="20"/>
              </w:rPr>
              <w:t>48,130</w:t>
            </w:r>
          </w:p>
        </w:tc>
        <w:tc>
          <w:tcPr>
            <w:tcW w:w="50" w:type="pct"/>
            <w:shd w:val="clear" w:color="auto" w:fill="CCEEFF"/>
            <w:noWrap/>
            <w:tcMar>
              <w:top w:w="0" w:type="dxa"/>
              <w:left w:w="0" w:type="dxa"/>
              <w:bottom w:w="45" w:type="dxa"/>
              <w:right w:w="0" w:type="dxa"/>
            </w:tcMar>
            <w:vAlign w:val="center"/>
            <w:hideMark/>
          </w:tcPr>
          <w:p w14:paraId="66FBBA53" w14:textId="77777777" w:rsidR="00000000" w:rsidRDefault="00EB4933">
            <w:pPr>
              <w:pStyle w:val="NormalWeb"/>
              <w:spacing w:before="0" w:beforeAutospacing="0" w:after="0" w:afterAutospacing="0"/>
              <w:rPr>
                <w:sz w:val="20"/>
                <w:szCs w:val="20"/>
              </w:rPr>
            </w:pPr>
            <w:r>
              <w:rPr>
                <w:sz w:val="20"/>
                <w:szCs w:val="20"/>
              </w:rPr>
              <w:t> </w:t>
            </w:r>
          </w:p>
        </w:tc>
      </w:tr>
    </w:tbl>
    <w:p w14:paraId="2F9830C1"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4397DF4" w14:textId="77777777">
        <w:trPr>
          <w:divId w:val="98525094"/>
          <w:trHeight w:val="225"/>
          <w:tblCellSpacing w:w="15" w:type="dxa"/>
        </w:trPr>
        <w:tc>
          <w:tcPr>
            <w:tcW w:w="0" w:type="auto"/>
            <w:vAlign w:val="center"/>
            <w:hideMark/>
          </w:tcPr>
          <w:p w14:paraId="7C932684" w14:textId="77777777" w:rsidR="00000000" w:rsidRDefault="00EB4933">
            <w:pPr>
              <w:rPr>
                <w:rFonts w:eastAsia="Times New Roman"/>
                <w:sz w:val="20"/>
                <w:szCs w:val="20"/>
              </w:rPr>
            </w:pPr>
            <w:r>
              <w:rPr>
                <w:rFonts w:eastAsia="Times New Roman"/>
                <w:sz w:val="20"/>
                <w:szCs w:val="20"/>
              </w:rPr>
              <w:t> </w:t>
            </w:r>
          </w:p>
        </w:tc>
      </w:tr>
      <w:tr w:rsidR="00000000" w14:paraId="07E75F9A" w14:textId="77777777">
        <w:trPr>
          <w:divId w:val="98525094"/>
          <w:trHeight w:val="225"/>
          <w:tblCellSpacing w:w="15" w:type="dxa"/>
        </w:trPr>
        <w:tc>
          <w:tcPr>
            <w:tcW w:w="0" w:type="auto"/>
            <w:tcBorders>
              <w:bottom w:val="single" w:sz="6" w:space="0" w:color="000000"/>
            </w:tcBorders>
            <w:vAlign w:val="center"/>
            <w:hideMark/>
          </w:tcPr>
          <w:p w14:paraId="1CA1D7FA" w14:textId="77777777" w:rsidR="00000000" w:rsidRDefault="00EB4933">
            <w:pPr>
              <w:jc w:val="center"/>
              <w:rPr>
                <w:rFonts w:eastAsia="Times New Roman"/>
                <w:sz w:val="20"/>
                <w:szCs w:val="20"/>
              </w:rPr>
            </w:pPr>
            <w:r>
              <w:rPr>
                <w:rFonts w:eastAsia="Times New Roman"/>
                <w:sz w:val="20"/>
                <w:szCs w:val="20"/>
              </w:rPr>
              <w:t>F-55</w:t>
            </w:r>
          </w:p>
        </w:tc>
      </w:tr>
      <w:tr w:rsidR="00000000" w14:paraId="2AD2412C" w14:textId="77777777">
        <w:trPr>
          <w:divId w:val="98525094"/>
          <w:trHeight w:val="225"/>
          <w:tblCellSpacing w:w="15" w:type="dxa"/>
        </w:trPr>
        <w:tc>
          <w:tcPr>
            <w:tcW w:w="0" w:type="auto"/>
            <w:vAlign w:val="center"/>
            <w:hideMark/>
          </w:tcPr>
          <w:p w14:paraId="524B38E3" w14:textId="77777777" w:rsidR="00000000" w:rsidRDefault="00EB4933">
            <w:pPr>
              <w:rPr>
                <w:rFonts w:eastAsia="Times New Roman"/>
                <w:sz w:val="20"/>
                <w:szCs w:val="20"/>
              </w:rPr>
            </w:pPr>
          </w:p>
        </w:tc>
      </w:tr>
      <w:tr w:rsidR="00000000" w14:paraId="270CC044" w14:textId="77777777">
        <w:trPr>
          <w:divId w:val="98525094"/>
          <w:trHeight w:val="225"/>
          <w:tblCellSpacing w:w="15" w:type="dxa"/>
        </w:trPr>
        <w:tc>
          <w:tcPr>
            <w:tcW w:w="0" w:type="auto"/>
            <w:vAlign w:val="center"/>
            <w:hideMark/>
          </w:tcPr>
          <w:p w14:paraId="5F1AED41" w14:textId="77777777" w:rsidR="00000000" w:rsidRDefault="00EB4933">
            <w:pPr>
              <w:rPr>
                <w:rFonts w:eastAsia="Times New Roman"/>
                <w:sz w:val="20"/>
                <w:szCs w:val="20"/>
              </w:rPr>
            </w:pPr>
            <w:hyperlink r:id="rId272" w:anchor="finindex" w:history="1">
              <w:r>
                <w:rPr>
                  <w:rStyle w:val="Hyperlink"/>
                  <w:rFonts w:eastAsia="Times New Roman"/>
                  <w:i/>
                  <w:iCs/>
                  <w:sz w:val="20"/>
                  <w:szCs w:val="20"/>
                </w:rPr>
                <w:t>Table of Contents</w:t>
              </w:r>
            </w:hyperlink>
          </w:p>
        </w:tc>
      </w:tr>
    </w:tbl>
    <w:p w14:paraId="2F38A88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BA602E2"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1AC968A7"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3BC08C42"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64D1A5A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9CCE42A" w14:textId="77777777" w:rsidR="00000000" w:rsidRDefault="00EB4933">
      <w:pPr>
        <w:pStyle w:val="NormalWeb"/>
        <w:spacing w:before="0" w:beforeAutospacing="0" w:after="0" w:afterAutospacing="0"/>
        <w:jc w:val="both"/>
        <w:divId w:val="98525094"/>
        <w:rPr>
          <w:sz w:val="20"/>
          <w:szCs w:val="20"/>
        </w:rPr>
      </w:pPr>
      <w:r>
        <w:rPr>
          <w:rStyle w:val="Strong"/>
          <w:sz w:val="20"/>
          <w:szCs w:val="20"/>
        </w:rPr>
        <w:t>18. Intangible asset</w:t>
      </w:r>
    </w:p>
    <w:p w14:paraId="2459F9B3"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7465"/>
        <w:gridCol w:w="114"/>
        <w:gridCol w:w="114"/>
        <w:gridCol w:w="789"/>
        <w:gridCol w:w="129"/>
      </w:tblGrid>
      <w:tr w:rsidR="00000000" w14:paraId="6D7424BB" w14:textId="77777777">
        <w:trPr>
          <w:divId w:val="98525094"/>
          <w:trHeight w:val="225"/>
          <w:tblCellSpacing w:w="15" w:type="dxa"/>
        </w:trPr>
        <w:tc>
          <w:tcPr>
            <w:tcW w:w="0" w:type="auto"/>
            <w:vAlign w:val="center"/>
            <w:hideMark/>
          </w:tcPr>
          <w:p w14:paraId="2ACD04B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63AE5A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6C8822B5" w14:textId="77777777" w:rsidR="00000000" w:rsidRDefault="00EB4933">
            <w:pPr>
              <w:pStyle w:val="NormalWeb"/>
              <w:spacing w:before="0" w:beforeAutospacing="0" w:after="0" w:afterAutospacing="0"/>
              <w:jc w:val="center"/>
              <w:rPr>
                <w:sz w:val="20"/>
                <w:szCs w:val="20"/>
              </w:rPr>
            </w:pPr>
            <w:r>
              <w:rPr>
                <w:rStyle w:val="Strong"/>
                <w:sz w:val="20"/>
                <w:szCs w:val="20"/>
              </w:rPr>
              <w:t>Acquired</w:t>
            </w:r>
          </w:p>
          <w:p w14:paraId="3DA8760F" w14:textId="77777777" w:rsidR="00000000" w:rsidRDefault="00EB4933">
            <w:pPr>
              <w:pStyle w:val="NormalWeb"/>
              <w:spacing w:before="0" w:beforeAutospacing="0" w:after="0" w:afterAutospacing="0"/>
              <w:jc w:val="center"/>
              <w:rPr>
                <w:sz w:val="20"/>
                <w:szCs w:val="20"/>
              </w:rPr>
            </w:pPr>
            <w:r>
              <w:rPr>
                <w:rStyle w:val="Strong"/>
                <w:sz w:val="20"/>
                <w:szCs w:val="20"/>
              </w:rPr>
              <w:t xml:space="preserve">computer </w:t>
            </w:r>
          </w:p>
          <w:p w14:paraId="02C6047B" w14:textId="77777777" w:rsidR="00000000" w:rsidRDefault="00EB4933">
            <w:pPr>
              <w:pStyle w:val="NormalWeb"/>
              <w:spacing w:before="0" w:beforeAutospacing="0" w:after="0" w:afterAutospacing="0"/>
              <w:jc w:val="center"/>
              <w:rPr>
                <w:sz w:val="20"/>
                <w:szCs w:val="20"/>
              </w:rPr>
            </w:pPr>
            <w:r>
              <w:rPr>
                <w:rStyle w:val="Strong"/>
                <w:sz w:val="20"/>
                <w:szCs w:val="20"/>
              </w:rPr>
              <w:t>software</w:t>
            </w:r>
          </w:p>
        </w:tc>
        <w:tc>
          <w:tcPr>
            <w:tcW w:w="0" w:type="auto"/>
            <w:noWrap/>
            <w:vAlign w:val="center"/>
            <w:hideMark/>
          </w:tcPr>
          <w:p w14:paraId="01A68CCC" w14:textId="77777777" w:rsidR="00000000" w:rsidRDefault="00EB4933">
            <w:pPr>
              <w:pStyle w:val="NormalWeb"/>
              <w:spacing w:before="0" w:beforeAutospacing="0" w:after="0" w:afterAutospacing="0"/>
              <w:rPr>
                <w:sz w:val="20"/>
                <w:szCs w:val="20"/>
              </w:rPr>
            </w:pPr>
            <w:r>
              <w:rPr>
                <w:sz w:val="20"/>
                <w:szCs w:val="20"/>
              </w:rPr>
              <w:t> </w:t>
            </w:r>
          </w:p>
        </w:tc>
      </w:tr>
      <w:tr w:rsidR="00000000" w14:paraId="568229B3" w14:textId="77777777">
        <w:trPr>
          <w:divId w:val="98525094"/>
          <w:trHeight w:val="225"/>
          <w:tblCellSpacing w:w="15" w:type="dxa"/>
        </w:trPr>
        <w:tc>
          <w:tcPr>
            <w:tcW w:w="0" w:type="auto"/>
            <w:vAlign w:val="center"/>
            <w:hideMark/>
          </w:tcPr>
          <w:p w14:paraId="1BB21ABB"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AB847E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2AAA7BAD"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695755C4" w14:textId="77777777" w:rsidR="00000000" w:rsidRDefault="00EB4933">
            <w:pPr>
              <w:pStyle w:val="NormalWeb"/>
              <w:spacing w:before="0" w:beforeAutospacing="0" w:after="0" w:afterAutospacing="0"/>
              <w:rPr>
                <w:sz w:val="20"/>
                <w:szCs w:val="20"/>
              </w:rPr>
            </w:pPr>
            <w:r>
              <w:rPr>
                <w:sz w:val="20"/>
                <w:szCs w:val="20"/>
              </w:rPr>
              <w:t> </w:t>
            </w:r>
          </w:p>
        </w:tc>
      </w:tr>
      <w:tr w:rsidR="00000000" w14:paraId="18E7A482" w14:textId="77777777">
        <w:trPr>
          <w:divId w:val="98525094"/>
          <w:trHeight w:val="225"/>
          <w:tblCellSpacing w:w="15" w:type="dxa"/>
        </w:trPr>
        <w:tc>
          <w:tcPr>
            <w:tcW w:w="0" w:type="auto"/>
            <w:hideMark/>
          </w:tcPr>
          <w:p w14:paraId="5A86AEA3" w14:textId="77777777" w:rsidR="00000000" w:rsidRDefault="00EB4933">
            <w:pPr>
              <w:pStyle w:val="NormalWeb"/>
              <w:spacing w:before="0" w:beforeAutospacing="0" w:after="0" w:afterAutospacing="0"/>
              <w:jc w:val="both"/>
              <w:rPr>
                <w:sz w:val="20"/>
                <w:szCs w:val="20"/>
              </w:rPr>
            </w:pPr>
            <w:r>
              <w:rPr>
                <w:rStyle w:val="Strong"/>
                <w:sz w:val="20"/>
                <w:szCs w:val="20"/>
              </w:rPr>
              <w:t>Cost</w:t>
            </w:r>
          </w:p>
        </w:tc>
        <w:tc>
          <w:tcPr>
            <w:tcW w:w="50" w:type="pct"/>
            <w:noWrap/>
            <w:vAlign w:val="center"/>
            <w:hideMark/>
          </w:tcPr>
          <w:p w14:paraId="7BE691A8"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576ED031"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135D2DF" w14:textId="77777777" w:rsidR="00000000" w:rsidRDefault="00EB4933">
            <w:pPr>
              <w:pStyle w:val="NormalWeb"/>
              <w:spacing w:before="0" w:beforeAutospacing="0" w:after="0" w:afterAutospacing="0"/>
              <w:rPr>
                <w:sz w:val="20"/>
                <w:szCs w:val="20"/>
              </w:rPr>
            </w:pPr>
            <w:r>
              <w:rPr>
                <w:sz w:val="20"/>
                <w:szCs w:val="20"/>
              </w:rPr>
              <w:t> </w:t>
            </w:r>
          </w:p>
        </w:tc>
      </w:tr>
      <w:tr w:rsidR="00000000" w14:paraId="2030082D" w14:textId="77777777">
        <w:trPr>
          <w:divId w:val="98525094"/>
          <w:trHeight w:val="225"/>
          <w:tblCellSpacing w:w="15" w:type="dxa"/>
        </w:trPr>
        <w:tc>
          <w:tcPr>
            <w:tcW w:w="0" w:type="auto"/>
            <w:shd w:val="clear" w:color="auto" w:fill="CCEEFF"/>
            <w:hideMark/>
          </w:tcPr>
          <w:p w14:paraId="099ECD7F" w14:textId="77777777" w:rsidR="00000000" w:rsidRDefault="00EB4933">
            <w:pPr>
              <w:pStyle w:val="NormalWeb"/>
              <w:spacing w:before="0" w:beforeAutospacing="0" w:after="0" w:afterAutospacing="0"/>
              <w:jc w:val="both"/>
              <w:rPr>
                <w:sz w:val="20"/>
                <w:szCs w:val="20"/>
              </w:rPr>
            </w:pPr>
            <w:r>
              <w:rPr>
                <w:sz w:val="20"/>
                <w:szCs w:val="20"/>
              </w:rPr>
              <w:t>At January 1, 2018</w:t>
            </w:r>
          </w:p>
        </w:tc>
        <w:tc>
          <w:tcPr>
            <w:tcW w:w="50" w:type="pct"/>
            <w:shd w:val="clear" w:color="auto" w:fill="CCEEFF"/>
            <w:noWrap/>
            <w:vAlign w:val="center"/>
            <w:hideMark/>
          </w:tcPr>
          <w:p w14:paraId="2C3E327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21E07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3ACC650"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640D4CA" w14:textId="77777777" w:rsidR="00000000" w:rsidRDefault="00EB4933">
            <w:pPr>
              <w:pStyle w:val="NormalWeb"/>
              <w:spacing w:before="0" w:beforeAutospacing="0" w:after="0" w:afterAutospacing="0"/>
              <w:rPr>
                <w:sz w:val="20"/>
                <w:szCs w:val="20"/>
              </w:rPr>
            </w:pPr>
            <w:r>
              <w:rPr>
                <w:sz w:val="20"/>
                <w:szCs w:val="20"/>
              </w:rPr>
              <w:t> </w:t>
            </w:r>
          </w:p>
        </w:tc>
      </w:tr>
      <w:tr w:rsidR="00000000" w14:paraId="157ED10E" w14:textId="77777777">
        <w:trPr>
          <w:divId w:val="98525094"/>
          <w:trHeight w:val="225"/>
          <w:tblCellSpacing w:w="15" w:type="dxa"/>
        </w:trPr>
        <w:tc>
          <w:tcPr>
            <w:tcW w:w="0" w:type="auto"/>
            <w:shd w:val="clear" w:color="auto" w:fill="FFFFFF"/>
            <w:hideMark/>
          </w:tcPr>
          <w:p w14:paraId="6DB66210" w14:textId="77777777" w:rsidR="00000000" w:rsidRDefault="00EB4933">
            <w:pPr>
              <w:pStyle w:val="NormalWeb"/>
              <w:spacing w:before="0" w:beforeAutospacing="0" w:after="0" w:afterAutospacing="0"/>
              <w:jc w:val="both"/>
              <w:rPr>
                <w:sz w:val="20"/>
                <w:szCs w:val="20"/>
              </w:rPr>
            </w:pPr>
            <w:r>
              <w:rPr>
                <w:sz w:val="20"/>
                <w:szCs w:val="20"/>
              </w:rPr>
              <w:t>Additions</w:t>
            </w:r>
          </w:p>
        </w:tc>
        <w:tc>
          <w:tcPr>
            <w:tcW w:w="50" w:type="pct"/>
            <w:shd w:val="clear" w:color="auto" w:fill="FFFFFF"/>
            <w:noWrap/>
            <w:vAlign w:val="center"/>
            <w:hideMark/>
          </w:tcPr>
          <w:p w14:paraId="08DCF71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0005A8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89D4B06" w14:textId="77777777" w:rsidR="00000000" w:rsidRDefault="00EB4933">
            <w:pPr>
              <w:jc w:val="right"/>
              <w:rPr>
                <w:rFonts w:eastAsia="Times New Roman"/>
                <w:sz w:val="20"/>
                <w:szCs w:val="20"/>
              </w:rPr>
            </w:pPr>
            <w:r>
              <w:rPr>
                <w:rFonts w:eastAsia="Times New Roman"/>
                <w:sz w:val="20"/>
                <w:szCs w:val="20"/>
              </w:rPr>
              <w:t>9</w:t>
            </w:r>
          </w:p>
        </w:tc>
        <w:tc>
          <w:tcPr>
            <w:tcW w:w="50" w:type="pct"/>
            <w:shd w:val="clear" w:color="auto" w:fill="FFFFFF"/>
            <w:noWrap/>
            <w:tcMar>
              <w:top w:w="0" w:type="dxa"/>
              <w:left w:w="0" w:type="dxa"/>
              <w:bottom w:w="15" w:type="dxa"/>
              <w:right w:w="0" w:type="dxa"/>
            </w:tcMar>
            <w:vAlign w:val="center"/>
            <w:hideMark/>
          </w:tcPr>
          <w:p w14:paraId="5554138C" w14:textId="77777777" w:rsidR="00000000" w:rsidRDefault="00EB4933">
            <w:pPr>
              <w:pStyle w:val="NormalWeb"/>
              <w:spacing w:before="0" w:beforeAutospacing="0" w:after="0" w:afterAutospacing="0"/>
              <w:rPr>
                <w:sz w:val="20"/>
                <w:szCs w:val="20"/>
              </w:rPr>
            </w:pPr>
            <w:r>
              <w:rPr>
                <w:sz w:val="20"/>
                <w:szCs w:val="20"/>
              </w:rPr>
              <w:t> </w:t>
            </w:r>
          </w:p>
        </w:tc>
      </w:tr>
      <w:tr w:rsidR="00000000" w14:paraId="6BCDB8BE" w14:textId="77777777">
        <w:trPr>
          <w:divId w:val="98525094"/>
          <w:trHeight w:val="225"/>
          <w:tblCellSpacing w:w="15" w:type="dxa"/>
        </w:trPr>
        <w:tc>
          <w:tcPr>
            <w:tcW w:w="0" w:type="auto"/>
            <w:shd w:val="clear" w:color="auto" w:fill="CCEEFF"/>
            <w:hideMark/>
          </w:tcPr>
          <w:p w14:paraId="3D26CED8" w14:textId="77777777" w:rsidR="00000000" w:rsidRDefault="00EB4933">
            <w:pPr>
              <w:pStyle w:val="NormalWeb"/>
              <w:spacing w:before="0" w:beforeAutospacing="0" w:after="0" w:afterAutospacing="0"/>
              <w:jc w:val="both"/>
              <w:rPr>
                <w:sz w:val="20"/>
                <w:szCs w:val="20"/>
              </w:rPr>
            </w:pPr>
            <w:r>
              <w:rPr>
                <w:sz w:val="20"/>
                <w:szCs w:val="20"/>
              </w:rPr>
              <w:t>At December 31, 2018 and 2019</w:t>
            </w:r>
          </w:p>
        </w:tc>
        <w:tc>
          <w:tcPr>
            <w:tcW w:w="50" w:type="pct"/>
            <w:shd w:val="clear" w:color="auto" w:fill="CCEEFF"/>
            <w:noWrap/>
            <w:vAlign w:val="center"/>
            <w:hideMark/>
          </w:tcPr>
          <w:p w14:paraId="14D9F64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8C907E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23405500" w14:textId="77777777" w:rsidR="00000000" w:rsidRDefault="00EB4933">
            <w:pPr>
              <w:jc w:val="right"/>
              <w:rPr>
                <w:rFonts w:eastAsia="Times New Roman"/>
                <w:sz w:val="20"/>
                <w:szCs w:val="20"/>
              </w:rPr>
            </w:pPr>
            <w:r>
              <w:rPr>
                <w:rFonts w:eastAsia="Times New Roman"/>
                <w:sz w:val="20"/>
                <w:szCs w:val="20"/>
              </w:rPr>
              <w:t>9</w:t>
            </w:r>
          </w:p>
        </w:tc>
        <w:tc>
          <w:tcPr>
            <w:tcW w:w="50" w:type="pct"/>
            <w:shd w:val="clear" w:color="auto" w:fill="CCEEFF"/>
            <w:noWrap/>
            <w:tcMar>
              <w:top w:w="0" w:type="dxa"/>
              <w:left w:w="0" w:type="dxa"/>
              <w:bottom w:w="45" w:type="dxa"/>
              <w:right w:w="0" w:type="dxa"/>
            </w:tcMar>
            <w:vAlign w:val="center"/>
            <w:hideMark/>
          </w:tcPr>
          <w:p w14:paraId="7609AA0D" w14:textId="77777777" w:rsidR="00000000" w:rsidRDefault="00EB4933">
            <w:pPr>
              <w:pStyle w:val="NormalWeb"/>
              <w:spacing w:before="0" w:beforeAutospacing="0" w:after="0" w:afterAutospacing="0"/>
              <w:rPr>
                <w:sz w:val="20"/>
                <w:szCs w:val="20"/>
              </w:rPr>
            </w:pPr>
            <w:r>
              <w:rPr>
                <w:sz w:val="20"/>
                <w:szCs w:val="20"/>
              </w:rPr>
              <w:t> </w:t>
            </w:r>
          </w:p>
        </w:tc>
      </w:tr>
      <w:tr w:rsidR="00000000" w14:paraId="2A27BC62" w14:textId="77777777">
        <w:trPr>
          <w:divId w:val="98525094"/>
          <w:trHeight w:val="225"/>
          <w:tblCellSpacing w:w="15" w:type="dxa"/>
        </w:trPr>
        <w:tc>
          <w:tcPr>
            <w:tcW w:w="0" w:type="auto"/>
            <w:shd w:val="clear" w:color="auto" w:fill="FFFFFF"/>
            <w:vAlign w:val="center"/>
            <w:hideMark/>
          </w:tcPr>
          <w:p w14:paraId="4E35535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CA6C3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A59A3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A1A517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B39353" w14:textId="77777777" w:rsidR="00000000" w:rsidRDefault="00EB4933">
            <w:pPr>
              <w:pStyle w:val="NormalWeb"/>
              <w:spacing w:before="0" w:beforeAutospacing="0" w:after="0" w:afterAutospacing="0"/>
              <w:rPr>
                <w:sz w:val="20"/>
                <w:szCs w:val="20"/>
              </w:rPr>
            </w:pPr>
            <w:r>
              <w:rPr>
                <w:sz w:val="20"/>
                <w:szCs w:val="20"/>
              </w:rPr>
              <w:t> </w:t>
            </w:r>
          </w:p>
        </w:tc>
      </w:tr>
      <w:tr w:rsidR="00000000" w14:paraId="79C9C886" w14:textId="77777777">
        <w:trPr>
          <w:divId w:val="98525094"/>
          <w:trHeight w:val="225"/>
          <w:tblCellSpacing w:w="15" w:type="dxa"/>
        </w:trPr>
        <w:tc>
          <w:tcPr>
            <w:tcW w:w="0" w:type="auto"/>
            <w:shd w:val="clear" w:color="auto" w:fill="FFFFFF"/>
            <w:hideMark/>
          </w:tcPr>
          <w:p w14:paraId="5172BE49" w14:textId="77777777" w:rsidR="00000000" w:rsidRDefault="00EB4933">
            <w:pPr>
              <w:pStyle w:val="NormalWeb"/>
              <w:spacing w:before="0" w:beforeAutospacing="0" w:after="0" w:afterAutospacing="0"/>
              <w:jc w:val="both"/>
              <w:rPr>
                <w:sz w:val="20"/>
                <w:szCs w:val="20"/>
              </w:rPr>
            </w:pPr>
            <w:r>
              <w:rPr>
                <w:rStyle w:val="Strong"/>
                <w:sz w:val="20"/>
                <w:szCs w:val="20"/>
              </w:rPr>
              <w:t>Accumulated amortization</w:t>
            </w:r>
          </w:p>
        </w:tc>
        <w:tc>
          <w:tcPr>
            <w:tcW w:w="50" w:type="pct"/>
            <w:shd w:val="clear" w:color="auto" w:fill="FFFFFF"/>
            <w:noWrap/>
            <w:vAlign w:val="center"/>
            <w:hideMark/>
          </w:tcPr>
          <w:p w14:paraId="39FAE9A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E3BF6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131E02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7111EE" w14:textId="77777777" w:rsidR="00000000" w:rsidRDefault="00EB4933">
            <w:pPr>
              <w:pStyle w:val="NormalWeb"/>
              <w:spacing w:before="0" w:beforeAutospacing="0" w:after="0" w:afterAutospacing="0"/>
              <w:rPr>
                <w:sz w:val="20"/>
                <w:szCs w:val="20"/>
              </w:rPr>
            </w:pPr>
            <w:r>
              <w:rPr>
                <w:sz w:val="20"/>
                <w:szCs w:val="20"/>
              </w:rPr>
              <w:t> </w:t>
            </w:r>
          </w:p>
        </w:tc>
      </w:tr>
      <w:tr w:rsidR="00000000" w14:paraId="74B598A5" w14:textId="77777777">
        <w:trPr>
          <w:divId w:val="98525094"/>
          <w:trHeight w:val="225"/>
          <w:tblCellSpacing w:w="15" w:type="dxa"/>
        </w:trPr>
        <w:tc>
          <w:tcPr>
            <w:tcW w:w="0" w:type="auto"/>
            <w:shd w:val="clear" w:color="auto" w:fill="CCEEFF"/>
            <w:hideMark/>
          </w:tcPr>
          <w:p w14:paraId="4D1EC08E" w14:textId="77777777" w:rsidR="00000000" w:rsidRDefault="00EB4933">
            <w:pPr>
              <w:pStyle w:val="NormalWeb"/>
              <w:spacing w:before="0" w:beforeAutospacing="0" w:after="0" w:afterAutospacing="0"/>
              <w:jc w:val="both"/>
              <w:rPr>
                <w:sz w:val="20"/>
                <w:szCs w:val="20"/>
              </w:rPr>
            </w:pPr>
            <w:r>
              <w:rPr>
                <w:sz w:val="20"/>
                <w:szCs w:val="20"/>
              </w:rPr>
              <w:t>At January 1, and December 31 2018</w:t>
            </w:r>
          </w:p>
        </w:tc>
        <w:tc>
          <w:tcPr>
            <w:tcW w:w="50" w:type="pct"/>
            <w:shd w:val="clear" w:color="auto" w:fill="CCEEFF"/>
            <w:noWrap/>
            <w:vAlign w:val="center"/>
            <w:hideMark/>
          </w:tcPr>
          <w:p w14:paraId="2FCDD57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81F8F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338D5F3" w14:textId="77777777" w:rsidR="00000000" w:rsidRDefault="00EB4933">
            <w:pPr>
              <w:jc w:val="right"/>
              <w:rPr>
                <w:rFonts w:eastAsia="Times New Roman"/>
                <w:sz w:val="20"/>
                <w:szCs w:val="20"/>
              </w:rPr>
            </w:pPr>
            <w:r>
              <w:rPr>
                <w:rStyle w:val="Strong"/>
                <w:rFonts w:eastAsia="Times New Roman"/>
                <w:sz w:val="20"/>
                <w:szCs w:val="20"/>
              </w:rPr>
              <w:t>-</w:t>
            </w:r>
          </w:p>
        </w:tc>
        <w:tc>
          <w:tcPr>
            <w:tcW w:w="50" w:type="pct"/>
            <w:shd w:val="clear" w:color="auto" w:fill="CCEEFF"/>
            <w:noWrap/>
            <w:vAlign w:val="center"/>
            <w:hideMark/>
          </w:tcPr>
          <w:p w14:paraId="7674AA49" w14:textId="77777777" w:rsidR="00000000" w:rsidRDefault="00EB4933">
            <w:pPr>
              <w:pStyle w:val="NormalWeb"/>
              <w:spacing w:before="0" w:beforeAutospacing="0" w:after="0" w:afterAutospacing="0"/>
              <w:rPr>
                <w:sz w:val="20"/>
                <w:szCs w:val="20"/>
              </w:rPr>
            </w:pPr>
            <w:r>
              <w:rPr>
                <w:sz w:val="20"/>
                <w:szCs w:val="20"/>
              </w:rPr>
              <w:t> </w:t>
            </w:r>
          </w:p>
        </w:tc>
      </w:tr>
      <w:tr w:rsidR="00000000" w14:paraId="7B08C0DA" w14:textId="77777777">
        <w:trPr>
          <w:divId w:val="98525094"/>
          <w:trHeight w:val="225"/>
          <w:tblCellSpacing w:w="15" w:type="dxa"/>
        </w:trPr>
        <w:tc>
          <w:tcPr>
            <w:tcW w:w="0" w:type="auto"/>
            <w:shd w:val="clear" w:color="auto" w:fill="FFFFFF"/>
            <w:hideMark/>
          </w:tcPr>
          <w:p w14:paraId="75ADE1F5" w14:textId="77777777" w:rsidR="00000000" w:rsidRDefault="00EB4933">
            <w:pPr>
              <w:pStyle w:val="NormalWeb"/>
              <w:spacing w:before="0" w:beforeAutospacing="0" w:after="0" w:afterAutospacing="0"/>
              <w:jc w:val="both"/>
              <w:rPr>
                <w:sz w:val="20"/>
                <w:szCs w:val="20"/>
              </w:rPr>
            </w:pPr>
            <w:r>
              <w:rPr>
                <w:sz w:val="20"/>
                <w:szCs w:val="20"/>
              </w:rPr>
              <w:t>Amortization</w:t>
            </w:r>
          </w:p>
        </w:tc>
        <w:tc>
          <w:tcPr>
            <w:tcW w:w="50" w:type="pct"/>
            <w:shd w:val="clear" w:color="auto" w:fill="FFFFFF"/>
            <w:noWrap/>
            <w:vAlign w:val="center"/>
            <w:hideMark/>
          </w:tcPr>
          <w:p w14:paraId="2AC2632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E61847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E247C48" w14:textId="77777777" w:rsidR="00000000" w:rsidRDefault="00EB4933">
            <w:pPr>
              <w:jc w:val="right"/>
              <w:rPr>
                <w:rFonts w:eastAsia="Times New Roman"/>
                <w:sz w:val="20"/>
                <w:szCs w:val="20"/>
              </w:rPr>
            </w:pPr>
            <w:r>
              <w:rPr>
                <w:rFonts w:eastAsia="Times New Roman"/>
                <w:sz w:val="20"/>
                <w:szCs w:val="20"/>
              </w:rPr>
              <w:t>2</w:t>
            </w:r>
          </w:p>
        </w:tc>
        <w:tc>
          <w:tcPr>
            <w:tcW w:w="50" w:type="pct"/>
            <w:shd w:val="clear" w:color="auto" w:fill="FFFFFF"/>
            <w:noWrap/>
            <w:tcMar>
              <w:top w:w="0" w:type="dxa"/>
              <w:left w:w="0" w:type="dxa"/>
              <w:bottom w:w="15" w:type="dxa"/>
              <w:right w:w="0" w:type="dxa"/>
            </w:tcMar>
            <w:vAlign w:val="center"/>
            <w:hideMark/>
          </w:tcPr>
          <w:p w14:paraId="58C0E472" w14:textId="77777777" w:rsidR="00000000" w:rsidRDefault="00EB4933">
            <w:pPr>
              <w:pStyle w:val="NormalWeb"/>
              <w:spacing w:before="0" w:beforeAutospacing="0" w:after="0" w:afterAutospacing="0"/>
              <w:rPr>
                <w:sz w:val="20"/>
                <w:szCs w:val="20"/>
              </w:rPr>
            </w:pPr>
            <w:r>
              <w:rPr>
                <w:sz w:val="20"/>
                <w:szCs w:val="20"/>
              </w:rPr>
              <w:t> </w:t>
            </w:r>
          </w:p>
        </w:tc>
      </w:tr>
      <w:tr w:rsidR="00000000" w14:paraId="35C19364" w14:textId="77777777">
        <w:trPr>
          <w:divId w:val="98525094"/>
          <w:trHeight w:val="225"/>
          <w:tblCellSpacing w:w="15" w:type="dxa"/>
        </w:trPr>
        <w:tc>
          <w:tcPr>
            <w:tcW w:w="0" w:type="auto"/>
            <w:shd w:val="clear" w:color="auto" w:fill="CCEEFF"/>
            <w:hideMark/>
          </w:tcPr>
          <w:p w14:paraId="19DB6A6D" w14:textId="77777777" w:rsidR="00000000" w:rsidRDefault="00EB4933">
            <w:pPr>
              <w:pStyle w:val="NormalWeb"/>
              <w:spacing w:before="0" w:beforeAutospacing="0" w:after="0" w:afterAutospacing="0"/>
              <w:jc w:val="both"/>
              <w:rPr>
                <w:sz w:val="20"/>
                <w:szCs w:val="20"/>
              </w:rPr>
            </w:pPr>
            <w:r>
              <w:rPr>
                <w:sz w:val="20"/>
                <w:szCs w:val="20"/>
              </w:rPr>
              <w:t>At January 1, 2019</w:t>
            </w:r>
          </w:p>
        </w:tc>
        <w:tc>
          <w:tcPr>
            <w:tcW w:w="50" w:type="pct"/>
            <w:shd w:val="clear" w:color="auto" w:fill="CCEEFF"/>
            <w:noWrap/>
            <w:vAlign w:val="center"/>
            <w:hideMark/>
          </w:tcPr>
          <w:p w14:paraId="118E9B9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6F28D2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421CC5BD" w14:textId="77777777" w:rsidR="00000000" w:rsidRDefault="00EB4933">
            <w:pPr>
              <w:jc w:val="right"/>
              <w:rPr>
                <w:rFonts w:eastAsia="Times New Roman"/>
                <w:sz w:val="20"/>
                <w:szCs w:val="20"/>
              </w:rPr>
            </w:pPr>
            <w:r>
              <w:rPr>
                <w:rFonts w:eastAsia="Times New Roman"/>
                <w:sz w:val="20"/>
                <w:szCs w:val="20"/>
              </w:rPr>
              <w:t>2</w:t>
            </w:r>
          </w:p>
        </w:tc>
        <w:tc>
          <w:tcPr>
            <w:tcW w:w="50" w:type="pct"/>
            <w:shd w:val="clear" w:color="auto" w:fill="CCEEFF"/>
            <w:noWrap/>
            <w:tcMar>
              <w:top w:w="0" w:type="dxa"/>
              <w:left w:w="0" w:type="dxa"/>
              <w:bottom w:w="45" w:type="dxa"/>
              <w:right w:w="0" w:type="dxa"/>
            </w:tcMar>
            <w:vAlign w:val="center"/>
            <w:hideMark/>
          </w:tcPr>
          <w:p w14:paraId="64DAB794" w14:textId="77777777" w:rsidR="00000000" w:rsidRDefault="00EB4933">
            <w:pPr>
              <w:pStyle w:val="NormalWeb"/>
              <w:spacing w:before="0" w:beforeAutospacing="0" w:after="0" w:afterAutospacing="0"/>
              <w:rPr>
                <w:sz w:val="20"/>
                <w:szCs w:val="20"/>
              </w:rPr>
            </w:pPr>
            <w:r>
              <w:rPr>
                <w:sz w:val="20"/>
                <w:szCs w:val="20"/>
              </w:rPr>
              <w:t> </w:t>
            </w:r>
          </w:p>
        </w:tc>
      </w:tr>
      <w:tr w:rsidR="00000000" w14:paraId="3685DBFB" w14:textId="77777777">
        <w:trPr>
          <w:divId w:val="98525094"/>
          <w:trHeight w:val="225"/>
          <w:tblCellSpacing w:w="15" w:type="dxa"/>
        </w:trPr>
        <w:tc>
          <w:tcPr>
            <w:tcW w:w="0" w:type="auto"/>
            <w:shd w:val="clear" w:color="auto" w:fill="FFFFFF"/>
            <w:vAlign w:val="center"/>
            <w:hideMark/>
          </w:tcPr>
          <w:p w14:paraId="5E40290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722F1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850E0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478BEE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403D8B" w14:textId="77777777" w:rsidR="00000000" w:rsidRDefault="00EB4933">
            <w:pPr>
              <w:pStyle w:val="NormalWeb"/>
              <w:spacing w:before="0" w:beforeAutospacing="0" w:after="0" w:afterAutospacing="0"/>
              <w:rPr>
                <w:sz w:val="20"/>
                <w:szCs w:val="20"/>
              </w:rPr>
            </w:pPr>
            <w:r>
              <w:rPr>
                <w:sz w:val="20"/>
                <w:szCs w:val="20"/>
              </w:rPr>
              <w:t> </w:t>
            </w:r>
          </w:p>
        </w:tc>
      </w:tr>
      <w:tr w:rsidR="00000000" w14:paraId="7647456E" w14:textId="77777777">
        <w:trPr>
          <w:divId w:val="98525094"/>
          <w:trHeight w:val="225"/>
          <w:tblCellSpacing w:w="15" w:type="dxa"/>
        </w:trPr>
        <w:tc>
          <w:tcPr>
            <w:tcW w:w="0" w:type="auto"/>
            <w:shd w:val="clear" w:color="auto" w:fill="CCEEFF"/>
            <w:hideMark/>
          </w:tcPr>
          <w:p w14:paraId="485507E5" w14:textId="77777777" w:rsidR="00000000" w:rsidRDefault="00EB4933">
            <w:pPr>
              <w:pStyle w:val="NormalWeb"/>
              <w:spacing w:before="0" w:beforeAutospacing="0" w:after="0" w:afterAutospacing="0"/>
              <w:jc w:val="both"/>
              <w:rPr>
                <w:sz w:val="20"/>
                <w:szCs w:val="20"/>
              </w:rPr>
            </w:pPr>
            <w:r>
              <w:rPr>
                <w:rStyle w:val="Strong"/>
                <w:sz w:val="20"/>
                <w:szCs w:val="20"/>
              </w:rPr>
              <w:t>Net book value</w:t>
            </w:r>
          </w:p>
        </w:tc>
        <w:tc>
          <w:tcPr>
            <w:tcW w:w="50" w:type="pct"/>
            <w:shd w:val="clear" w:color="auto" w:fill="CCEEFF"/>
            <w:noWrap/>
            <w:vAlign w:val="center"/>
            <w:hideMark/>
          </w:tcPr>
          <w:p w14:paraId="011CC29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630CD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DF0DEC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9FB749" w14:textId="77777777" w:rsidR="00000000" w:rsidRDefault="00EB4933">
            <w:pPr>
              <w:pStyle w:val="NormalWeb"/>
              <w:spacing w:before="0" w:beforeAutospacing="0" w:after="0" w:afterAutospacing="0"/>
              <w:rPr>
                <w:sz w:val="20"/>
                <w:szCs w:val="20"/>
              </w:rPr>
            </w:pPr>
            <w:r>
              <w:rPr>
                <w:sz w:val="20"/>
                <w:szCs w:val="20"/>
              </w:rPr>
              <w:t> </w:t>
            </w:r>
          </w:p>
        </w:tc>
      </w:tr>
      <w:tr w:rsidR="00000000" w14:paraId="7BA525C0" w14:textId="77777777">
        <w:trPr>
          <w:divId w:val="98525094"/>
          <w:trHeight w:val="225"/>
          <w:tblCellSpacing w:w="15" w:type="dxa"/>
        </w:trPr>
        <w:tc>
          <w:tcPr>
            <w:tcW w:w="0" w:type="auto"/>
            <w:shd w:val="clear" w:color="auto" w:fill="FFFFFF"/>
            <w:hideMark/>
          </w:tcPr>
          <w:p w14:paraId="273F8BF7" w14:textId="77777777" w:rsidR="00000000" w:rsidRDefault="00EB4933">
            <w:pPr>
              <w:pStyle w:val="NormalWeb"/>
              <w:spacing w:before="0" w:beforeAutospacing="0" w:after="0" w:afterAutospacing="0"/>
              <w:jc w:val="both"/>
              <w:rPr>
                <w:sz w:val="20"/>
                <w:szCs w:val="20"/>
              </w:rPr>
            </w:pPr>
            <w:r>
              <w:rPr>
                <w:sz w:val="20"/>
                <w:szCs w:val="20"/>
              </w:rPr>
              <w:t>At December 31, 2018</w:t>
            </w:r>
          </w:p>
        </w:tc>
        <w:tc>
          <w:tcPr>
            <w:tcW w:w="50" w:type="pct"/>
            <w:shd w:val="clear" w:color="auto" w:fill="FFFFFF"/>
            <w:noWrap/>
            <w:vAlign w:val="center"/>
            <w:hideMark/>
          </w:tcPr>
          <w:p w14:paraId="4BE9581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51E4A67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4BD33411" w14:textId="77777777" w:rsidR="00000000" w:rsidRDefault="00EB4933">
            <w:pPr>
              <w:jc w:val="right"/>
              <w:rPr>
                <w:rFonts w:eastAsia="Times New Roman"/>
                <w:sz w:val="20"/>
                <w:szCs w:val="20"/>
              </w:rPr>
            </w:pPr>
            <w:r>
              <w:rPr>
                <w:rFonts w:eastAsia="Times New Roman"/>
                <w:sz w:val="20"/>
                <w:szCs w:val="20"/>
              </w:rPr>
              <w:t>9</w:t>
            </w:r>
          </w:p>
        </w:tc>
        <w:tc>
          <w:tcPr>
            <w:tcW w:w="50" w:type="pct"/>
            <w:shd w:val="clear" w:color="auto" w:fill="FFFFFF"/>
            <w:noWrap/>
            <w:tcMar>
              <w:top w:w="0" w:type="dxa"/>
              <w:left w:w="0" w:type="dxa"/>
              <w:bottom w:w="45" w:type="dxa"/>
              <w:right w:w="0" w:type="dxa"/>
            </w:tcMar>
            <w:vAlign w:val="center"/>
            <w:hideMark/>
          </w:tcPr>
          <w:p w14:paraId="00814E4A" w14:textId="77777777" w:rsidR="00000000" w:rsidRDefault="00EB4933">
            <w:pPr>
              <w:pStyle w:val="NormalWeb"/>
              <w:spacing w:before="0" w:beforeAutospacing="0" w:after="0" w:afterAutospacing="0"/>
              <w:rPr>
                <w:sz w:val="20"/>
                <w:szCs w:val="20"/>
              </w:rPr>
            </w:pPr>
            <w:r>
              <w:rPr>
                <w:sz w:val="20"/>
                <w:szCs w:val="20"/>
              </w:rPr>
              <w:t> </w:t>
            </w:r>
          </w:p>
        </w:tc>
      </w:tr>
      <w:tr w:rsidR="00000000" w14:paraId="23A18B2E" w14:textId="77777777">
        <w:trPr>
          <w:divId w:val="98525094"/>
          <w:trHeight w:val="225"/>
          <w:tblCellSpacing w:w="15" w:type="dxa"/>
        </w:trPr>
        <w:tc>
          <w:tcPr>
            <w:tcW w:w="0" w:type="auto"/>
            <w:shd w:val="clear" w:color="auto" w:fill="CCEEFF"/>
            <w:hideMark/>
          </w:tcPr>
          <w:p w14:paraId="09A631C9" w14:textId="77777777" w:rsidR="00000000" w:rsidRDefault="00EB4933">
            <w:pPr>
              <w:pStyle w:val="NormalWeb"/>
              <w:spacing w:before="0" w:beforeAutospacing="0" w:after="0" w:afterAutospacing="0"/>
              <w:jc w:val="both"/>
              <w:rPr>
                <w:sz w:val="20"/>
                <w:szCs w:val="20"/>
              </w:rPr>
            </w:pPr>
            <w:r>
              <w:rPr>
                <w:sz w:val="20"/>
                <w:szCs w:val="20"/>
              </w:rPr>
              <w:t>At December 31, 2019</w:t>
            </w:r>
          </w:p>
        </w:tc>
        <w:tc>
          <w:tcPr>
            <w:tcW w:w="50" w:type="pct"/>
            <w:shd w:val="clear" w:color="auto" w:fill="CCEEFF"/>
            <w:noWrap/>
            <w:vAlign w:val="center"/>
            <w:hideMark/>
          </w:tcPr>
          <w:p w14:paraId="47D0B4C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CB3F81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0F41038A" w14:textId="77777777" w:rsidR="00000000" w:rsidRDefault="00EB4933">
            <w:pPr>
              <w:jc w:val="right"/>
              <w:rPr>
                <w:rFonts w:eastAsia="Times New Roman"/>
                <w:sz w:val="20"/>
                <w:szCs w:val="20"/>
              </w:rPr>
            </w:pPr>
            <w:r>
              <w:rPr>
                <w:rFonts w:eastAsia="Times New Roman"/>
                <w:sz w:val="20"/>
                <w:szCs w:val="20"/>
              </w:rPr>
              <w:t>7</w:t>
            </w:r>
          </w:p>
        </w:tc>
        <w:tc>
          <w:tcPr>
            <w:tcW w:w="50" w:type="pct"/>
            <w:shd w:val="clear" w:color="auto" w:fill="CCEEFF"/>
            <w:noWrap/>
            <w:tcMar>
              <w:top w:w="0" w:type="dxa"/>
              <w:left w:w="0" w:type="dxa"/>
              <w:bottom w:w="45" w:type="dxa"/>
              <w:right w:w="0" w:type="dxa"/>
            </w:tcMar>
            <w:vAlign w:val="center"/>
            <w:hideMark/>
          </w:tcPr>
          <w:p w14:paraId="4C318AAA" w14:textId="77777777" w:rsidR="00000000" w:rsidRDefault="00EB4933">
            <w:pPr>
              <w:pStyle w:val="NormalWeb"/>
              <w:spacing w:before="0" w:beforeAutospacing="0" w:after="0" w:afterAutospacing="0"/>
              <w:rPr>
                <w:sz w:val="20"/>
                <w:szCs w:val="20"/>
              </w:rPr>
            </w:pPr>
            <w:r>
              <w:rPr>
                <w:sz w:val="20"/>
                <w:szCs w:val="20"/>
              </w:rPr>
              <w:t> </w:t>
            </w:r>
          </w:p>
        </w:tc>
      </w:tr>
    </w:tbl>
    <w:p w14:paraId="07651B03"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B2949FB" w14:textId="77777777">
        <w:trPr>
          <w:divId w:val="98525094"/>
          <w:trHeight w:val="225"/>
          <w:tblCellSpacing w:w="15" w:type="dxa"/>
        </w:trPr>
        <w:tc>
          <w:tcPr>
            <w:tcW w:w="0" w:type="auto"/>
            <w:vAlign w:val="center"/>
            <w:hideMark/>
          </w:tcPr>
          <w:p w14:paraId="4CC9F783" w14:textId="77777777" w:rsidR="00000000" w:rsidRDefault="00EB4933">
            <w:pPr>
              <w:rPr>
                <w:rFonts w:eastAsia="Times New Roman"/>
                <w:sz w:val="20"/>
                <w:szCs w:val="20"/>
              </w:rPr>
            </w:pPr>
            <w:r>
              <w:rPr>
                <w:rFonts w:eastAsia="Times New Roman"/>
                <w:sz w:val="20"/>
                <w:szCs w:val="20"/>
              </w:rPr>
              <w:t> </w:t>
            </w:r>
          </w:p>
        </w:tc>
      </w:tr>
      <w:tr w:rsidR="00000000" w14:paraId="263B74C8" w14:textId="77777777">
        <w:trPr>
          <w:divId w:val="98525094"/>
          <w:trHeight w:val="225"/>
          <w:tblCellSpacing w:w="15" w:type="dxa"/>
        </w:trPr>
        <w:tc>
          <w:tcPr>
            <w:tcW w:w="0" w:type="auto"/>
            <w:tcBorders>
              <w:bottom w:val="single" w:sz="6" w:space="0" w:color="000000"/>
            </w:tcBorders>
            <w:vAlign w:val="center"/>
            <w:hideMark/>
          </w:tcPr>
          <w:p w14:paraId="7A0829E0" w14:textId="77777777" w:rsidR="00000000" w:rsidRDefault="00EB4933">
            <w:pPr>
              <w:jc w:val="center"/>
              <w:rPr>
                <w:rFonts w:eastAsia="Times New Roman"/>
                <w:sz w:val="20"/>
                <w:szCs w:val="20"/>
              </w:rPr>
            </w:pPr>
            <w:r>
              <w:rPr>
                <w:rFonts w:eastAsia="Times New Roman"/>
                <w:sz w:val="20"/>
                <w:szCs w:val="20"/>
              </w:rPr>
              <w:t>F-56</w:t>
            </w:r>
          </w:p>
        </w:tc>
      </w:tr>
      <w:tr w:rsidR="00000000" w14:paraId="46E4DD92" w14:textId="77777777">
        <w:trPr>
          <w:divId w:val="98525094"/>
          <w:trHeight w:val="225"/>
          <w:tblCellSpacing w:w="15" w:type="dxa"/>
        </w:trPr>
        <w:tc>
          <w:tcPr>
            <w:tcW w:w="0" w:type="auto"/>
            <w:vAlign w:val="center"/>
            <w:hideMark/>
          </w:tcPr>
          <w:p w14:paraId="51FBE09E" w14:textId="77777777" w:rsidR="00000000" w:rsidRDefault="00EB4933">
            <w:pPr>
              <w:rPr>
                <w:rFonts w:eastAsia="Times New Roman"/>
                <w:sz w:val="20"/>
                <w:szCs w:val="20"/>
              </w:rPr>
            </w:pPr>
          </w:p>
        </w:tc>
      </w:tr>
      <w:tr w:rsidR="00000000" w14:paraId="244DC8E0" w14:textId="77777777">
        <w:trPr>
          <w:divId w:val="98525094"/>
          <w:trHeight w:val="225"/>
          <w:tblCellSpacing w:w="15" w:type="dxa"/>
        </w:trPr>
        <w:tc>
          <w:tcPr>
            <w:tcW w:w="0" w:type="auto"/>
            <w:vAlign w:val="center"/>
            <w:hideMark/>
          </w:tcPr>
          <w:p w14:paraId="55151184" w14:textId="77777777" w:rsidR="00000000" w:rsidRDefault="00EB4933">
            <w:pPr>
              <w:rPr>
                <w:rFonts w:eastAsia="Times New Roman"/>
                <w:sz w:val="20"/>
                <w:szCs w:val="20"/>
              </w:rPr>
            </w:pPr>
            <w:hyperlink r:id="rId273" w:anchor="finindex" w:history="1">
              <w:r>
                <w:rPr>
                  <w:rStyle w:val="Hyperlink"/>
                  <w:rFonts w:eastAsia="Times New Roman"/>
                  <w:i/>
                  <w:iCs/>
                  <w:sz w:val="20"/>
                  <w:szCs w:val="20"/>
                </w:rPr>
                <w:t>Table of Contents</w:t>
              </w:r>
            </w:hyperlink>
          </w:p>
        </w:tc>
      </w:tr>
    </w:tbl>
    <w:p w14:paraId="571FFDA2"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01521BE7"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46051D8C"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4D4B5947"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5EACE0C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938AA15" w14:textId="77777777" w:rsidR="00000000" w:rsidRDefault="00EB4933">
      <w:pPr>
        <w:pStyle w:val="NormalWeb"/>
        <w:spacing w:before="0" w:beforeAutospacing="0" w:after="0" w:afterAutospacing="0"/>
        <w:jc w:val="both"/>
        <w:divId w:val="98525094"/>
        <w:rPr>
          <w:sz w:val="20"/>
          <w:szCs w:val="20"/>
        </w:rPr>
      </w:pPr>
      <w:r>
        <w:rPr>
          <w:rStyle w:val="Strong"/>
          <w:sz w:val="20"/>
          <w:szCs w:val="20"/>
        </w:rPr>
        <w:t>19. Loans payable</w:t>
      </w:r>
    </w:p>
    <w:p w14:paraId="7DE1B56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6F91F16" w14:textId="77777777" w:rsidR="00000000" w:rsidRDefault="00EB4933">
      <w:pPr>
        <w:pStyle w:val="NormalWeb"/>
        <w:spacing w:before="0" w:beforeAutospacing="0" w:after="0" w:afterAutospacing="0"/>
        <w:ind w:left="675"/>
        <w:jc w:val="both"/>
        <w:divId w:val="98525094"/>
        <w:rPr>
          <w:sz w:val="20"/>
          <w:szCs w:val="20"/>
        </w:rPr>
      </w:pPr>
      <w:r>
        <w:rPr>
          <w:sz w:val="20"/>
          <w:szCs w:val="20"/>
        </w:rPr>
        <w:t>Loans payable represent borrowings from various individuals and companies through various securities exchanges and loans from shareholders</w:t>
      </w:r>
      <w:r>
        <w:rPr>
          <w:sz w:val="20"/>
          <w:szCs w:val="20"/>
        </w:rPr>
        <w:t>. The average annual interest rates were approximately 9.6% and 10.5% at December 31, 2018 and 2019, respectively.</w:t>
      </w:r>
    </w:p>
    <w:p w14:paraId="2E2A73C6"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6362"/>
        <w:gridCol w:w="113"/>
        <w:gridCol w:w="113"/>
        <w:gridCol w:w="778"/>
        <w:gridCol w:w="113"/>
        <w:gridCol w:w="113"/>
        <w:gridCol w:w="113"/>
        <w:gridCol w:w="778"/>
        <w:gridCol w:w="128"/>
      </w:tblGrid>
      <w:tr w:rsidR="00000000" w14:paraId="5FB39689" w14:textId="77777777">
        <w:trPr>
          <w:divId w:val="98525094"/>
          <w:trHeight w:val="225"/>
          <w:tblCellSpacing w:w="15" w:type="dxa"/>
        </w:trPr>
        <w:tc>
          <w:tcPr>
            <w:tcW w:w="0" w:type="auto"/>
            <w:vAlign w:val="center"/>
            <w:hideMark/>
          </w:tcPr>
          <w:p w14:paraId="2DA8322C"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899812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000000"/>
            </w:tcBorders>
            <w:vAlign w:val="bottom"/>
            <w:hideMark/>
          </w:tcPr>
          <w:p w14:paraId="23FC6D5E" w14:textId="77777777" w:rsidR="00000000" w:rsidRDefault="00EB4933">
            <w:pPr>
              <w:pStyle w:val="NormalWeb"/>
              <w:spacing w:before="0" w:beforeAutospacing="0" w:after="0" w:afterAutospacing="0"/>
              <w:jc w:val="center"/>
              <w:rPr>
                <w:sz w:val="20"/>
                <w:szCs w:val="20"/>
              </w:rPr>
            </w:pPr>
            <w:r>
              <w:rPr>
                <w:rStyle w:val="Strong"/>
                <w:sz w:val="20"/>
                <w:szCs w:val="20"/>
              </w:rPr>
              <w:t>As at December 31,</w:t>
            </w:r>
          </w:p>
        </w:tc>
        <w:tc>
          <w:tcPr>
            <w:tcW w:w="0" w:type="auto"/>
            <w:noWrap/>
            <w:vAlign w:val="center"/>
            <w:hideMark/>
          </w:tcPr>
          <w:p w14:paraId="25FC6B78" w14:textId="77777777" w:rsidR="00000000" w:rsidRDefault="00EB4933">
            <w:pPr>
              <w:pStyle w:val="NormalWeb"/>
              <w:spacing w:before="0" w:beforeAutospacing="0" w:after="0" w:afterAutospacing="0"/>
              <w:rPr>
                <w:sz w:val="20"/>
                <w:szCs w:val="20"/>
              </w:rPr>
            </w:pPr>
            <w:r>
              <w:rPr>
                <w:sz w:val="20"/>
                <w:szCs w:val="20"/>
              </w:rPr>
              <w:t> </w:t>
            </w:r>
          </w:p>
        </w:tc>
      </w:tr>
      <w:tr w:rsidR="00000000" w14:paraId="7119BCE6" w14:textId="77777777">
        <w:trPr>
          <w:divId w:val="98525094"/>
          <w:trHeight w:val="225"/>
          <w:tblCellSpacing w:w="15" w:type="dxa"/>
        </w:trPr>
        <w:tc>
          <w:tcPr>
            <w:tcW w:w="0" w:type="auto"/>
            <w:vAlign w:val="center"/>
            <w:hideMark/>
          </w:tcPr>
          <w:p w14:paraId="07A2EB9A"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03520A8"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613278DD"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vAlign w:val="center"/>
            <w:hideMark/>
          </w:tcPr>
          <w:p w14:paraId="68539A1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A4B3C18"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634D5975"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296DB732" w14:textId="77777777" w:rsidR="00000000" w:rsidRDefault="00EB4933">
            <w:pPr>
              <w:pStyle w:val="NormalWeb"/>
              <w:spacing w:before="0" w:beforeAutospacing="0" w:after="0" w:afterAutospacing="0"/>
              <w:rPr>
                <w:sz w:val="20"/>
                <w:szCs w:val="20"/>
              </w:rPr>
            </w:pPr>
            <w:r>
              <w:rPr>
                <w:sz w:val="20"/>
                <w:szCs w:val="20"/>
              </w:rPr>
              <w:t> </w:t>
            </w:r>
          </w:p>
        </w:tc>
      </w:tr>
      <w:tr w:rsidR="00000000" w14:paraId="3BB241D9" w14:textId="77777777">
        <w:trPr>
          <w:divId w:val="98525094"/>
          <w:trHeight w:val="225"/>
          <w:tblCellSpacing w:w="15" w:type="dxa"/>
        </w:trPr>
        <w:tc>
          <w:tcPr>
            <w:tcW w:w="0" w:type="auto"/>
            <w:vAlign w:val="center"/>
            <w:hideMark/>
          </w:tcPr>
          <w:p w14:paraId="0370A531" w14:textId="77777777" w:rsidR="00000000" w:rsidRDefault="00EB4933">
            <w:pPr>
              <w:pStyle w:val="NormalWeb"/>
              <w:spacing w:before="0" w:beforeAutospacing="0" w:after="0" w:afterAutospacing="0"/>
              <w:rPr>
                <w:sz w:val="20"/>
                <w:szCs w:val="20"/>
              </w:rPr>
            </w:pPr>
            <w:r>
              <w:rPr>
                <w:sz w:val="20"/>
                <w:szCs w:val="20"/>
              </w:rPr>
              <w:lastRenderedPageBreak/>
              <w:t> </w:t>
            </w:r>
          </w:p>
        </w:tc>
        <w:tc>
          <w:tcPr>
            <w:tcW w:w="0" w:type="auto"/>
            <w:noWrap/>
            <w:vAlign w:val="center"/>
            <w:hideMark/>
          </w:tcPr>
          <w:p w14:paraId="137DEFFE"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616C96AC"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1DDD358E"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A5C3FBC"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5005DD26"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0C01CA15" w14:textId="77777777" w:rsidR="00000000" w:rsidRDefault="00EB4933">
            <w:pPr>
              <w:pStyle w:val="NormalWeb"/>
              <w:spacing w:before="0" w:beforeAutospacing="0" w:after="0" w:afterAutospacing="0"/>
              <w:rPr>
                <w:sz w:val="20"/>
                <w:szCs w:val="20"/>
              </w:rPr>
            </w:pPr>
            <w:r>
              <w:rPr>
                <w:sz w:val="20"/>
                <w:szCs w:val="20"/>
              </w:rPr>
              <w:t> </w:t>
            </w:r>
          </w:p>
        </w:tc>
      </w:tr>
      <w:tr w:rsidR="00000000" w14:paraId="3D0C8FD9" w14:textId="77777777">
        <w:trPr>
          <w:divId w:val="98525094"/>
          <w:trHeight w:val="225"/>
          <w:tblCellSpacing w:w="15" w:type="dxa"/>
        </w:trPr>
        <w:tc>
          <w:tcPr>
            <w:tcW w:w="0" w:type="auto"/>
            <w:vAlign w:val="center"/>
            <w:hideMark/>
          </w:tcPr>
          <w:p w14:paraId="409500D7"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F4E1E3C"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2EAAD60"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00A23F3"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012069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4E934BC8"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3CF26B5" w14:textId="77777777" w:rsidR="00000000" w:rsidRDefault="00EB4933">
            <w:pPr>
              <w:pStyle w:val="NormalWeb"/>
              <w:spacing w:before="0" w:beforeAutospacing="0" w:after="0" w:afterAutospacing="0"/>
              <w:rPr>
                <w:sz w:val="20"/>
                <w:szCs w:val="20"/>
              </w:rPr>
            </w:pPr>
            <w:r>
              <w:rPr>
                <w:sz w:val="20"/>
                <w:szCs w:val="20"/>
              </w:rPr>
              <w:t> </w:t>
            </w:r>
          </w:p>
        </w:tc>
      </w:tr>
      <w:tr w:rsidR="00000000" w14:paraId="455BC39C" w14:textId="77777777">
        <w:trPr>
          <w:divId w:val="98525094"/>
          <w:trHeight w:val="225"/>
          <w:tblCellSpacing w:w="15" w:type="dxa"/>
        </w:trPr>
        <w:tc>
          <w:tcPr>
            <w:tcW w:w="0" w:type="auto"/>
            <w:shd w:val="clear" w:color="auto" w:fill="CCEEFF"/>
            <w:hideMark/>
          </w:tcPr>
          <w:p w14:paraId="25F7441C" w14:textId="77777777" w:rsidR="00000000" w:rsidRDefault="00EB4933">
            <w:pPr>
              <w:pStyle w:val="NormalWeb"/>
              <w:spacing w:before="0" w:beforeAutospacing="0" w:after="0" w:afterAutospacing="0"/>
              <w:rPr>
                <w:sz w:val="20"/>
                <w:szCs w:val="20"/>
              </w:rPr>
            </w:pPr>
            <w:r>
              <w:rPr>
                <w:sz w:val="20"/>
                <w:szCs w:val="20"/>
              </w:rPr>
              <w:t>Loans payable to third parties</w:t>
            </w:r>
          </w:p>
        </w:tc>
        <w:tc>
          <w:tcPr>
            <w:tcW w:w="50" w:type="pct"/>
            <w:shd w:val="clear" w:color="auto" w:fill="CCEEFF"/>
            <w:noWrap/>
            <w:vAlign w:val="center"/>
            <w:hideMark/>
          </w:tcPr>
          <w:p w14:paraId="19FCBC9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DACAB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79F7F42" w14:textId="77777777" w:rsidR="00000000" w:rsidRDefault="00EB4933">
            <w:pPr>
              <w:jc w:val="right"/>
              <w:rPr>
                <w:rFonts w:eastAsia="Times New Roman"/>
                <w:sz w:val="20"/>
                <w:szCs w:val="20"/>
              </w:rPr>
            </w:pPr>
            <w:r>
              <w:rPr>
                <w:rFonts w:eastAsia="Times New Roman"/>
                <w:sz w:val="20"/>
                <w:szCs w:val="20"/>
              </w:rPr>
              <w:t>110,917</w:t>
            </w:r>
          </w:p>
        </w:tc>
        <w:tc>
          <w:tcPr>
            <w:tcW w:w="50" w:type="pct"/>
            <w:shd w:val="clear" w:color="auto" w:fill="CCEEFF"/>
            <w:noWrap/>
            <w:vAlign w:val="center"/>
            <w:hideMark/>
          </w:tcPr>
          <w:p w14:paraId="1CE1EA5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E7932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05E61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958B170" w14:textId="77777777" w:rsidR="00000000" w:rsidRDefault="00EB4933">
            <w:pPr>
              <w:jc w:val="right"/>
              <w:rPr>
                <w:rFonts w:eastAsia="Times New Roman"/>
                <w:sz w:val="20"/>
                <w:szCs w:val="20"/>
              </w:rPr>
            </w:pPr>
            <w:r>
              <w:rPr>
                <w:rFonts w:eastAsia="Times New Roman"/>
                <w:sz w:val="20"/>
                <w:szCs w:val="20"/>
              </w:rPr>
              <w:t>140,558</w:t>
            </w:r>
          </w:p>
        </w:tc>
        <w:tc>
          <w:tcPr>
            <w:tcW w:w="50" w:type="pct"/>
            <w:shd w:val="clear" w:color="auto" w:fill="CCEEFF"/>
            <w:noWrap/>
            <w:vAlign w:val="center"/>
            <w:hideMark/>
          </w:tcPr>
          <w:p w14:paraId="7A9BC830" w14:textId="77777777" w:rsidR="00000000" w:rsidRDefault="00EB4933">
            <w:pPr>
              <w:pStyle w:val="NormalWeb"/>
              <w:spacing w:before="0" w:beforeAutospacing="0" w:after="0" w:afterAutospacing="0"/>
              <w:rPr>
                <w:sz w:val="20"/>
                <w:szCs w:val="20"/>
              </w:rPr>
            </w:pPr>
            <w:r>
              <w:rPr>
                <w:sz w:val="20"/>
                <w:szCs w:val="20"/>
              </w:rPr>
              <w:t> </w:t>
            </w:r>
          </w:p>
        </w:tc>
      </w:tr>
      <w:tr w:rsidR="00000000" w14:paraId="0AFA4E3A" w14:textId="77777777">
        <w:trPr>
          <w:divId w:val="98525094"/>
          <w:trHeight w:val="225"/>
          <w:tblCellSpacing w:w="15" w:type="dxa"/>
        </w:trPr>
        <w:tc>
          <w:tcPr>
            <w:tcW w:w="0" w:type="auto"/>
            <w:shd w:val="clear" w:color="auto" w:fill="FFFFFF"/>
            <w:hideMark/>
          </w:tcPr>
          <w:p w14:paraId="6C6C2058" w14:textId="77777777" w:rsidR="00000000" w:rsidRDefault="00EB4933">
            <w:pPr>
              <w:pStyle w:val="NormalWeb"/>
              <w:spacing w:before="0" w:beforeAutospacing="0" w:after="0" w:afterAutospacing="0"/>
              <w:rPr>
                <w:sz w:val="20"/>
                <w:szCs w:val="20"/>
              </w:rPr>
            </w:pPr>
            <w:r>
              <w:rPr>
                <w:sz w:val="20"/>
                <w:szCs w:val="20"/>
              </w:rPr>
              <w:t>Loans payable to related parties</w:t>
            </w:r>
            <w:r>
              <w:rPr>
                <w:sz w:val="20"/>
                <w:szCs w:val="20"/>
                <w:vertAlign w:val="superscript"/>
              </w:rPr>
              <w:t>(1)</w:t>
            </w:r>
          </w:p>
        </w:tc>
        <w:tc>
          <w:tcPr>
            <w:tcW w:w="50" w:type="pct"/>
            <w:shd w:val="clear" w:color="auto" w:fill="FFFFFF"/>
            <w:noWrap/>
            <w:vAlign w:val="center"/>
            <w:hideMark/>
          </w:tcPr>
          <w:p w14:paraId="0B21C6A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CEEA1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1F6F350" w14:textId="77777777" w:rsidR="00000000" w:rsidRDefault="00EB4933">
            <w:pPr>
              <w:jc w:val="right"/>
              <w:rPr>
                <w:rFonts w:eastAsia="Times New Roman"/>
                <w:sz w:val="20"/>
                <w:szCs w:val="20"/>
              </w:rPr>
            </w:pPr>
            <w:r>
              <w:rPr>
                <w:rFonts w:eastAsia="Times New Roman"/>
                <w:sz w:val="20"/>
                <w:szCs w:val="20"/>
              </w:rPr>
              <w:t>79,500</w:t>
            </w:r>
          </w:p>
        </w:tc>
        <w:tc>
          <w:tcPr>
            <w:tcW w:w="50" w:type="pct"/>
            <w:shd w:val="clear" w:color="auto" w:fill="FFFFFF"/>
            <w:noWrap/>
            <w:vAlign w:val="center"/>
            <w:hideMark/>
          </w:tcPr>
          <w:p w14:paraId="79E0E2B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661EC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B6E3B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64A2118" w14:textId="77777777" w:rsidR="00000000" w:rsidRDefault="00EB4933">
            <w:pPr>
              <w:jc w:val="right"/>
              <w:rPr>
                <w:rFonts w:eastAsia="Times New Roman"/>
                <w:sz w:val="20"/>
                <w:szCs w:val="20"/>
              </w:rPr>
            </w:pPr>
            <w:r>
              <w:rPr>
                <w:rFonts w:eastAsia="Times New Roman"/>
                <w:sz w:val="20"/>
                <w:szCs w:val="20"/>
              </w:rPr>
              <w:t>12,333</w:t>
            </w:r>
          </w:p>
        </w:tc>
        <w:tc>
          <w:tcPr>
            <w:tcW w:w="50" w:type="pct"/>
            <w:shd w:val="clear" w:color="auto" w:fill="FFFFFF"/>
            <w:noWrap/>
            <w:vAlign w:val="center"/>
            <w:hideMark/>
          </w:tcPr>
          <w:p w14:paraId="44E4721B" w14:textId="77777777" w:rsidR="00000000" w:rsidRDefault="00EB4933">
            <w:pPr>
              <w:pStyle w:val="NormalWeb"/>
              <w:spacing w:before="0" w:beforeAutospacing="0" w:after="0" w:afterAutospacing="0"/>
              <w:rPr>
                <w:sz w:val="20"/>
                <w:szCs w:val="20"/>
              </w:rPr>
            </w:pPr>
            <w:r>
              <w:rPr>
                <w:sz w:val="20"/>
                <w:szCs w:val="20"/>
              </w:rPr>
              <w:t> </w:t>
            </w:r>
          </w:p>
        </w:tc>
      </w:tr>
      <w:tr w:rsidR="00000000" w14:paraId="02A8ECCF" w14:textId="77777777">
        <w:trPr>
          <w:divId w:val="98525094"/>
          <w:trHeight w:val="225"/>
          <w:tblCellSpacing w:w="15" w:type="dxa"/>
        </w:trPr>
        <w:tc>
          <w:tcPr>
            <w:tcW w:w="0" w:type="auto"/>
            <w:shd w:val="clear" w:color="auto" w:fill="CCEEFF"/>
            <w:hideMark/>
          </w:tcPr>
          <w:p w14:paraId="3F97C76F" w14:textId="77777777" w:rsidR="00000000" w:rsidRDefault="00EB4933">
            <w:pPr>
              <w:pStyle w:val="NormalWeb"/>
              <w:spacing w:before="0" w:beforeAutospacing="0" w:after="0" w:afterAutospacing="0"/>
              <w:rPr>
                <w:sz w:val="20"/>
                <w:szCs w:val="20"/>
              </w:rPr>
            </w:pPr>
            <w:r>
              <w:rPr>
                <w:sz w:val="20"/>
                <w:szCs w:val="20"/>
              </w:rPr>
              <w:t>Loans payable to shareholders</w:t>
            </w:r>
            <w:r>
              <w:rPr>
                <w:sz w:val="20"/>
                <w:szCs w:val="20"/>
                <w:vertAlign w:val="superscript"/>
              </w:rPr>
              <w:t>(2)</w:t>
            </w:r>
          </w:p>
        </w:tc>
        <w:tc>
          <w:tcPr>
            <w:tcW w:w="50" w:type="pct"/>
            <w:shd w:val="clear" w:color="auto" w:fill="CCEEFF"/>
            <w:noWrap/>
            <w:vAlign w:val="center"/>
            <w:hideMark/>
          </w:tcPr>
          <w:p w14:paraId="3CCAC84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A7285F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68B2336" w14:textId="77777777" w:rsidR="00000000" w:rsidRDefault="00EB4933">
            <w:pPr>
              <w:jc w:val="right"/>
              <w:rPr>
                <w:rFonts w:eastAsia="Times New Roman"/>
                <w:sz w:val="20"/>
                <w:szCs w:val="20"/>
              </w:rPr>
            </w:pPr>
            <w:r>
              <w:rPr>
                <w:rFonts w:eastAsia="Times New Roman"/>
                <w:sz w:val="20"/>
                <w:szCs w:val="20"/>
              </w:rPr>
              <w:t>10,000</w:t>
            </w:r>
          </w:p>
        </w:tc>
        <w:tc>
          <w:tcPr>
            <w:tcW w:w="50" w:type="pct"/>
            <w:shd w:val="clear" w:color="auto" w:fill="CCEEFF"/>
            <w:noWrap/>
            <w:tcMar>
              <w:top w:w="0" w:type="dxa"/>
              <w:left w:w="0" w:type="dxa"/>
              <w:bottom w:w="15" w:type="dxa"/>
              <w:right w:w="0" w:type="dxa"/>
            </w:tcMar>
            <w:vAlign w:val="center"/>
            <w:hideMark/>
          </w:tcPr>
          <w:p w14:paraId="42D2A27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AF6C8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5E31A7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47BDDAB" w14:textId="77777777" w:rsidR="00000000" w:rsidRDefault="00EB4933">
            <w:pPr>
              <w:jc w:val="right"/>
              <w:rPr>
                <w:rFonts w:eastAsia="Times New Roman"/>
                <w:sz w:val="20"/>
                <w:szCs w:val="20"/>
              </w:rPr>
            </w:pPr>
            <w:r>
              <w:rPr>
                <w:rFonts w:eastAsia="Times New Roman"/>
                <w:sz w:val="20"/>
                <w:szCs w:val="20"/>
              </w:rPr>
              <w:t>20,000</w:t>
            </w:r>
          </w:p>
        </w:tc>
        <w:tc>
          <w:tcPr>
            <w:tcW w:w="50" w:type="pct"/>
            <w:shd w:val="clear" w:color="auto" w:fill="CCEEFF"/>
            <w:noWrap/>
            <w:tcMar>
              <w:top w:w="0" w:type="dxa"/>
              <w:left w:w="0" w:type="dxa"/>
              <w:bottom w:w="15" w:type="dxa"/>
              <w:right w:w="0" w:type="dxa"/>
            </w:tcMar>
            <w:vAlign w:val="center"/>
            <w:hideMark/>
          </w:tcPr>
          <w:p w14:paraId="1EF39BB3" w14:textId="77777777" w:rsidR="00000000" w:rsidRDefault="00EB4933">
            <w:pPr>
              <w:pStyle w:val="NormalWeb"/>
              <w:spacing w:before="0" w:beforeAutospacing="0" w:after="0" w:afterAutospacing="0"/>
              <w:rPr>
                <w:sz w:val="20"/>
                <w:szCs w:val="20"/>
              </w:rPr>
            </w:pPr>
            <w:r>
              <w:rPr>
                <w:sz w:val="20"/>
                <w:szCs w:val="20"/>
              </w:rPr>
              <w:t> </w:t>
            </w:r>
          </w:p>
        </w:tc>
      </w:tr>
      <w:tr w:rsidR="00000000" w14:paraId="5551D00C" w14:textId="77777777">
        <w:trPr>
          <w:divId w:val="98525094"/>
          <w:trHeight w:val="225"/>
          <w:tblCellSpacing w:w="15" w:type="dxa"/>
        </w:trPr>
        <w:tc>
          <w:tcPr>
            <w:tcW w:w="0" w:type="auto"/>
            <w:shd w:val="clear" w:color="auto" w:fill="FFFFFF"/>
            <w:hideMark/>
          </w:tcPr>
          <w:p w14:paraId="25917F51" w14:textId="77777777" w:rsidR="00000000" w:rsidRDefault="00EB4933">
            <w:pPr>
              <w:pStyle w:val="NormalWeb"/>
              <w:spacing w:before="0" w:beforeAutospacing="0" w:after="0" w:afterAutospacing="0"/>
              <w:rPr>
                <w:sz w:val="20"/>
                <w:szCs w:val="20"/>
              </w:rPr>
            </w:pPr>
            <w:r>
              <w:rPr>
                <w:sz w:val="20"/>
                <w:szCs w:val="20"/>
              </w:rPr>
              <w:t>Total</w:t>
            </w:r>
          </w:p>
        </w:tc>
        <w:tc>
          <w:tcPr>
            <w:tcW w:w="50" w:type="pct"/>
            <w:shd w:val="clear" w:color="auto" w:fill="FFFFFF"/>
            <w:noWrap/>
            <w:vAlign w:val="center"/>
            <w:hideMark/>
          </w:tcPr>
          <w:p w14:paraId="59CE102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514EB52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5389A011" w14:textId="77777777" w:rsidR="00000000" w:rsidRDefault="00EB4933">
            <w:pPr>
              <w:jc w:val="right"/>
              <w:rPr>
                <w:rFonts w:eastAsia="Times New Roman"/>
                <w:sz w:val="20"/>
                <w:szCs w:val="20"/>
              </w:rPr>
            </w:pPr>
            <w:r>
              <w:rPr>
                <w:rFonts w:eastAsia="Times New Roman"/>
                <w:sz w:val="20"/>
                <w:szCs w:val="20"/>
              </w:rPr>
              <w:t>200,417</w:t>
            </w:r>
          </w:p>
        </w:tc>
        <w:tc>
          <w:tcPr>
            <w:tcW w:w="50" w:type="pct"/>
            <w:shd w:val="clear" w:color="auto" w:fill="FFFFFF"/>
            <w:noWrap/>
            <w:tcMar>
              <w:top w:w="0" w:type="dxa"/>
              <w:left w:w="0" w:type="dxa"/>
              <w:bottom w:w="45" w:type="dxa"/>
              <w:right w:w="0" w:type="dxa"/>
            </w:tcMar>
            <w:vAlign w:val="center"/>
            <w:hideMark/>
          </w:tcPr>
          <w:p w14:paraId="61CE9DC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87502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3819D95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52B449F4" w14:textId="77777777" w:rsidR="00000000" w:rsidRDefault="00EB4933">
            <w:pPr>
              <w:jc w:val="right"/>
              <w:rPr>
                <w:rFonts w:eastAsia="Times New Roman"/>
                <w:sz w:val="20"/>
                <w:szCs w:val="20"/>
              </w:rPr>
            </w:pPr>
            <w:r>
              <w:rPr>
                <w:rFonts w:eastAsia="Times New Roman"/>
                <w:sz w:val="20"/>
                <w:szCs w:val="20"/>
              </w:rPr>
              <w:t>172,891</w:t>
            </w:r>
          </w:p>
        </w:tc>
        <w:tc>
          <w:tcPr>
            <w:tcW w:w="50" w:type="pct"/>
            <w:shd w:val="clear" w:color="auto" w:fill="FFFFFF"/>
            <w:noWrap/>
            <w:tcMar>
              <w:top w:w="0" w:type="dxa"/>
              <w:left w:w="0" w:type="dxa"/>
              <w:bottom w:w="45" w:type="dxa"/>
              <w:right w:w="0" w:type="dxa"/>
            </w:tcMar>
            <w:vAlign w:val="center"/>
            <w:hideMark/>
          </w:tcPr>
          <w:p w14:paraId="698603EF" w14:textId="77777777" w:rsidR="00000000" w:rsidRDefault="00EB4933">
            <w:pPr>
              <w:pStyle w:val="NormalWeb"/>
              <w:spacing w:before="0" w:beforeAutospacing="0" w:after="0" w:afterAutospacing="0"/>
              <w:rPr>
                <w:sz w:val="20"/>
                <w:szCs w:val="20"/>
              </w:rPr>
            </w:pPr>
            <w:r>
              <w:rPr>
                <w:sz w:val="20"/>
                <w:szCs w:val="20"/>
              </w:rPr>
              <w:t> </w:t>
            </w:r>
          </w:p>
        </w:tc>
      </w:tr>
    </w:tbl>
    <w:p w14:paraId="3EA74F9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3A5885C" w14:textId="77777777" w:rsidR="00000000" w:rsidRDefault="00EB4933">
      <w:pPr>
        <w:pStyle w:val="NormalWeb"/>
        <w:spacing w:before="0" w:beforeAutospacing="0" w:after="0" w:afterAutospacing="0"/>
        <w:ind w:left="675"/>
        <w:jc w:val="both"/>
        <w:divId w:val="98525094"/>
        <w:rPr>
          <w:sz w:val="20"/>
          <w:szCs w:val="20"/>
        </w:rPr>
      </w:pPr>
      <w:r>
        <w:rPr>
          <w:sz w:val="20"/>
          <w:szCs w:val="20"/>
        </w:rPr>
        <w:t>As of December 31, 2019, loans payable to third parties, related parties and shareholders are all overdue. Although certain loans payable were negotiated with schedule of repayments, the Group is unable to fulfill those obligations due to liquidity issue.</w:t>
      </w:r>
    </w:p>
    <w:p w14:paraId="706CFAD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FE05756" w14:textId="77777777" w:rsidR="00000000" w:rsidRDefault="00EB4933">
      <w:pPr>
        <w:pStyle w:val="NormalWeb"/>
        <w:spacing w:before="0" w:beforeAutospacing="0" w:after="0" w:afterAutospacing="0"/>
        <w:ind w:left="675"/>
        <w:jc w:val="both"/>
        <w:divId w:val="98525094"/>
        <w:rPr>
          <w:sz w:val="20"/>
          <w:szCs w:val="20"/>
        </w:rPr>
      </w:pPr>
      <w:r>
        <w:rPr>
          <w:sz w:val="20"/>
          <w:szCs w:val="20"/>
          <w:vertAlign w:val="superscript"/>
        </w:rPr>
        <w:t>(1)</w:t>
      </w:r>
      <w:r>
        <w:rPr>
          <w:sz w:val="20"/>
          <w:szCs w:val="20"/>
        </w:rPr>
        <w:t xml:space="preserve"> See Note 27 of Notes to the Consolidated Financial Statements, sub-sections 3.1 and 3.2 of Section 3. Loans payable to related parties for detailed disclosure. </w:t>
      </w:r>
    </w:p>
    <w:p w14:paraId="7C83457F"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530E0F5F" w14:textId="77777777" w:rsidR="00000000" w:rsidRDefault="00EB4933">
      <w:pPr>
        <w:pStyle w:val="NormalWeb"/>
        <w:spacing w:before="0" w:beforeAutospacing="0" w:after="0" w:afterAutospacing="0"/>
        <w:ind w:left="675"/>
        <w:jc w:val="both"/>
        <w:divId w:val="98525094"/>
        <w:rPr>
          <w:sz w:val="20"/>
          <w:szCs w:val="20"/>
        </w:rPr>
      </w:pPr>
      <w:r>
        <w:rPr>
          <w:sz w:val="20"/>
          <w:szCs w:val="20"/>
          <w:vertAlign w:val="superscript"/>
        </w:rPr>
        <w:t>(2)</w:t>
      </w:r>
      <w:r>
        <w:rPr>
          <w:sz w:val="20"/>
          <w:szCs w:val="20"/>
        </w:rPr>
        <w:t xml:space="preserve"> See Note 27 of Notes to the Consolidated Financial Statements, sub-sections 4.1 and</w:t>
      </w:r>
      <w:r>
        <w:rPr>
          <w:sz w:val="20"/>
          <w:szCs w:val="20"/>
        </w:rPr>
        <w:t xml:space="preserve"> 4.4 of Section 4. Loans payable to shareholders for detailed disclosure.      </w:t>
      </w:r>
    </w:p>
    <w:p w14:paraId="5D70A1A0"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5DBDB1E" w14:textId="77777777">
        <w:trPr>
          <w:divId w:val="98525094"/>
          <w:trHeight w:val="225"/>
          <w:tblCellSpacing w:w="15" w:type="dxa"/>
        </w:trPr>
        <w:tc>
          <w:tcPr>
            <w:tcW w:w="0" w:type="auto"/>
            <w:vAlign w:val="center"/>
            <w:hideMark/>
          </w:tcPr>
          <w:p w14:paraId="44F56977" w14:textId="77777777" w:rsidR="00000000" w:rsidRDefault="00EB4933">
            <w:pPr>
              <w:rPr>
                <w:rFonts w:eastAsia="Times New Roman"/>
                <w:sz w:val="20"/>
                <w:szCs w:val="20"/>
              </w:rPr>
            </w:pPr>
            <w:r>
              <w:rPr>
                <w:rFonts w:eastAsia="Times New Roman"/>
                <w:sz w:val="20"/>
                <w:szCs w:val="20"/>
              </w:rPr>
              <w:t> </w:t>
            </w:r>
          </w:p>
        </w:tc>
      </w:tr>
      <w:tr w:rsidR="00000000" w14:paraId="5C483ABA" w14:textId="77777777">
        <w:trPr>
          <w:divId w:val="98525094"/>
          <w:trHeight w:val="225"/>
          <w:tblCellSpacing w:w="15" w:type="dxa"/>
        </w:trPr>
        <w:tc>
          <w:tcPr>
            <w:tcW w:w="0" w:type="auto"/>
            <w:tcBorders>
              <w:bottom w:val="single" w:sz="6" w:space="0" w:color="000000"/>
            </w:tcBorders>
            <w:vAlign w:val="center"/>
            <w:hideMark/>
          </w:tcPr>
          <w:p w14:paraId="2E71BC0E" w14:textId="77777777" w:rsidR="00000000" w:rsidRDefault="00EB4933">
            <w:pPr>
              <w:jc w:val="center"/>
              <w:rPr>
                <w:rFonts w:eastAsia="Times New Roman"/>
                <w:sz w:val="20"/>
                <w:szCs w:val="20"/>
              </w:rPr>
            </w:pPr>
            <w:r>
              <w:rPr>
                <w:rFonts w:eastAsia="Times New Roman"/>
                <w:sz w:val="20"/>
                <w:szCs w:val="20"/>
              </w:rPr>
              <w:t>F-57</w:t>
            </w:r>
          </w:p>
        </w:tc>
      </w:tr>
      <w:tr w:rsidR="00000000" w14:paraId="156EC415" w14:textId="77777777">
        <w:trPr>
          <w:divId w:val="98525094"/>
          <w:trHeight w:val="225"/>
          <w:tblCellSpacing w:w="15" w:type="dxa"/>
        </w:trPr>
        <w:tc>
          <w:tcPr>
            <w:tcW w:w="0" w:type="auto"/>
            <w:vAlign w:val="center"/>
            <w:hideMark/>
          </w:tcPr>
          <w:p w14:paraId="5A01E303" w14:textId="77777777" w:rsidR="00000000" w:rsidRDefault="00EB4933">
            <w:pPr>
              <w:rPr>
                <w:rFonts w:eastAsia="Times New Roman"/>
                <w:sz w:val="20"/>
                <w:szCs w:val="20"/>
              </w:rPr>
            </w:pPr>
          </w:p>
        </w:tc>
      </w:tr>
      <w:tr w:rsidR="00000000" w14:paraId="2191EC86" w14:textId="77777777">
        <w:trPr>
          <w:divId w:val="98525094"/>
          <w:trHeight w:val="225"/>
          <w:tblCellSpacing w:w="15" w:type="dxa"/>
        </w:trPr>
        <w:tc>
          <w:tcPr>
            <w:tcW w:w="0" w:type="auto"/>
            <w:vAlign w:val="center"/>
            <w:hideMark/>
          </w:tcPr>
          <w:p w14:paraId="556512E0" w14:textId="77777777" w:rsidR="00000000" w:rsidRDefault="00EB4933">
            <w:pPr>
              <w:rPr>
                <w:rFonts w:eastAsia="Times New Roman"/>
                <w:sz w:val="20"/>
                <w:szCs w:val="20"/>
              </w:rPr>
            </w:pPr>
            <w:hyperlink r:id="rId274" w:anchor="finindex" w:history="1">
              <w:r>
                <w:rPr>
                  <w:rStyle w:val="Hyperlink"/>
                  <w:rFonts w:eastAsia="Times New Roman"/>
                  <w:i/>
                  <w:iCs/>
                  <w:sz w:val="20"/>
                  <w:szCs w:val="20"/>
                </w:rPr>
                <w:t>Table of Contents</w:t>
              </w:r>
            </w:hyperlink>
          </w:p>
        </w:tc>
      </w:tr>
    </w:tbl>
    <w:p w14:paraId="762B9FA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298B4BF"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375AA63B"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2BA7EAAC"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63E28CA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53B6134" w14:textId="77777777" w:rsidR="00000000" w:rsidRDefault="00EB4933">
      <w:pPr>
        <w:pStyle w:val="NormalWeb"/>
        <w:spacing w:before="0" w:beforeAutospacing="0" w:after="0" w:afterAutospacing="0"/>
        <w:jc w:val="both"/>
        <w:divId w:val="98525094"/>
        <w:rPr>
          <w:sz w:val="20"/>
          <w:szCs w:val="20"/>
        </w:rPr>
      </w:pPr>
      <w:r>
        <w:rPr>
          <w:rStyle w:val="Strong"/>
          <w:sz w:val="20"/>
          <w:szCs w:val="20"/>
        </w:rPr>
        <w:t>20. Salary and benefit payable</w:t>
      </w:r>
    </w:p>
    <w:p w14:paraId="520CBCA4"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6362"/>
        <w:gridCol w:w="113"/>
        <w:gridCol w:w="113"/>
        <w:gridCol w:w="778"/>
        <w:gridCol w:w="113"/>
        <w:gridCol w:w="113"/>
        <w:gridCol w:w="113"/>
        <w:gridCol w:w="778"/>
        <w:gridCol w:w="128"/>
      </w:tblGrid>
      <w:tr w:rsidR="00000000" w14:paraId="336CE470" w14:textId="77777777">
        <w:trPr>
          <w:divId w:val="98525094"/>
          <w:trHeight w:val="225"/>
          <w:tblCellSpacing w:w="15" w:type="dxa"/>
        </w:trPr>
        <w:tc>
          <w:tcPr>
            <w:tcW w:w="0" w:type="auto"/>
            <w:vAlign w:val="center"/>
            <w:hideMark/>
          </w:tcPr>
          <w:p w14:paraId="4DADB49F"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BF717D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000000"/>
            </w:tcBorders>
            <w:vAlign w:val="bottom"/>
            <w:hideMark/>
          </w:tcPr>
          <w:p w14:paraId="7159A7E1" w14:textId="77777777" w:rsidR="00000000" w:rsidRDefault="00EB4933">
            <w:pPr>
              <w:pStyle w:val="NormalWeb"/>
              <w:spacing w:before="0" w:beforeAutospacing="0" w:after="0" w:afterAutospacing="0"/>
              <w:jc w:val="center"/>
              <w:rPr>
                <w:sz w:val="20"/>
                <w:szCs w:val="20"/>
              </w:rPr>
            </w:pPr>
            <w:r>
              <w:rPr>
                <w:rStyle w:val="Strong"/>
                <w:sz w:val="20"/>
                <w:szCs w:val="20"/>
              </w:rPr>
              <w:t>As at December 31,</w:t>
            </w:r>
          </w:p>
        </w:tc>
        <w:tc>
          <w:tcPr>
            <w:tcW w:w="0" w:type="auto"/>
            <w:noWrap/>
            <w:vAlign w:val="center"/>
            <w:hideMark/>
          </w:tcPr>
          <w:p w14:paraId="178A65B7" w14:textId="77777777" w:rsidR="00000000" w:rsidRDefault="00EB4933">
            <w:pPr>
              <w:pStyle w:val="NormalWeb"/>
              <w:spacing w:before="0" w:beforeAutospacing="0" w:after="0" w:afterAutospacing="0"/>
              <w:rPr>
                <w:sz w:val="20"/>
                <w:szCs w:val="20"/>
              </w:rPr>
            </w:pPr>
            <w:r>
              <w:rPr>
                <w:sz w:val="20"/>
                <w:szCs w:val="20"/>
              </w:rPr>
              <w:t> </w:t>
            </w:r>
          </w:p>
        </w:tc>
      </w:tr>
      <w:tr w:rsidR="00000000" w14:paraId="6CB58CEC" w14:textId="77777777">
        <w:trPr>
          <w:divId w:val="98525094"/>
          <w:trHeight w:val="225"/>
          <w:tblCellSpacing w:w="15" w:type="dxa"/>
        </w:trPr>
        <w:tc>
          <w:tcPr>
            <w:tcW w:w="0" w:type="auto"/>
            <w:vAlign w:val="center"/>
            <w:hideMark/>
          </w:tcPr>
          <w:p w14:paraId="7384770C"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BD809C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69FD2D2D"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vAlign w:val="center"/>
            <w:hideMark/>
          </w:tcPr>
          <w:p w14:paraId="30BB1587"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435B164"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6AE2F888"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206563E2" w14:textId="77777777" w:rsidR="00000000" w:rsidRDefault="00EB4933">
            <w:pPr>
              <w:pStyle w:val="NormalWeb"/>
              <w:spacing w:before="0" w:beforeAutospacing="0" w:after="0" w:afterAutospacing="0"/>
              <w:rPr>
                <w:sz w:val="20"/>
                <w:szCs w:val="20"/>
              </w:rPr>
            </w:pPr>
            <w:r>
              <w:rPr>
                <w:sz w:val="20"/>
                <w:szCs w:val="20"/>
              </w:rPr>
              <w:t> </w:t>
            </w:r>
          </w:p>
        </w:tc>
      </w:tr>
      <w:tr w:rsidR="00000000" w14:paraId="71344883" w14:textId="77777777">
        <w:trPr>
          <w:divId w:val="98525094"/>
          <w:trHeight w:val="225"/>
          <w:tblCellSpacing w:w="15" w:type="dxa"/>
        </w:trPr>
        <w:tc>
          <w:tcPr>
            <w:tcW w:w="0" w:type="auto"/>
            <w:vAlign w:val="center"/>
            <w:hideMark/>
          </w:tcPr>
          <w:p w14:paraId="0BEC1FF1"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C920AB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09B2B241"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276D2714"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180FE5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6CA9FB70"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vAlign w:val="center"/>
            <w:hideMark/>
          </w:tcPr>
          <w:p w14:paraId="501FDB7E" w14:textId="77777777" w:rsidR="00000000" w:rsidRDefault="00EB4933">
            <w:pPr>
              <w:pStyle w:val="NormalWeb"/>
              <w:spacing w:before="0" w:beforeAutospacing="0" w:after="0" w:afterAutospacing="0"/>
              <w:rPr>
                <w:sz w:val="20"/>
                <w:szCs w:val="20"/>
              </w:rPr>
            </w:pPr>
            <w:r>
              <w:rPr>
                <w:sz w:val="20"/>
                <w:szCs w:val="20"/>
              </w:rPr>
              <w:t> </w:t>
            </w:r>
          </w:p>
        </w:tc>
      </w:tr>
      <w:tr w:rsidR="00000000" w14:paraId="4D7EA168" w14:textId="77777777">
        <w:trPr>
          <w:divId w:val="98525094"/>
          <w:trHeight w:val="225"/>
          <w:tblCellSpacing w:w="15" w:type="dxa"/>
        </w:trPr>
        <w:tc>
          <w:tcPr>
            <w:tcW w:w="0" w:type="auto"/>
            <w:vAlign w:val="center"/>
            <w:hideMark/>
          </w:tcPr>
          <w:p w14:paraId="7DCEBE53"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F68765A"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59152CE"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3228946"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EF8ED24"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EAE4616"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EC382D3" w14:textId="77777777" w:rsidR="00000000" w:rsidRDefault="00EB4933">
            <w:pPr>
              <w:pStyle w:val="NormalWeb"/>
              <w:spacing w:before="0" w:beforeAutospacing="0" w:after="0" w:afterAutospacing="0"/>
              <w:rPr>
                <w:sz w:val="20"/>
                <w:szCs w:val="20"/>
              </w:rPr>
            </w:pPr>
            <w:r>
              <w:rPr>
                <w:sz w:val="20"/>
                <w:szCs w:val="20"/>
              </w:rPr>
              <w:t> </w:t>
            </w:r>
          </w:p>
        </w:tc>
      </w:tr>
      <w:tr w:rsidR="00000000" w14:paraId="5B1BB86D" w14:textId="77777777">
        <w:trPr>
          <w:divId w:val="98525094"/>
          <w:trHeight w:val="225"/>
          <w:tblCellSpacing w:w="15" w:type="dxa"/>
        </w:trPr>
        <w:tc>
          <w:tcPr>
            <w:tcW w:w="0" w:type="auto"/>
            <w:shd w:val="clear" w:color="auto" w:fill="CCEEFF"/>
            <w:hideMark/>
          </w:tcPr>
          <w:p w14:paraId="0E02FAEF" w14:textId="77777777" w:rsidR="00000000" w:rsidRDefault="00EB4933">
            <w:pPr>
              <w:pStyle w:val="NormalWeb"/>
              <w:spacing w:before="0" w:beforeAutospacing="0" w:after="0" w:afterAutospacing="0"/>
              <w:rPr>
                <w:sz w:val="20"/>
                <w:szCs w:val="20"/>
              </w:rPr>
            </w:pPr>
            <w:r>
              <w:rPr>
                <w:sz w:val="20"/>
                <w:szCs w:val="20"/>
              </w:rPr>
              <w:t>Salary and benefit payable to employees</w:t>
            </w:r>
          </w:p>
        </w:tc>
        <w:tc>
          <w:tcPr>
            <w:tcW w:w="50" w:type="pct"/>
            <w:shd w:val="clear" w:color="auto" w:fill="CCEEFF"/>
            <w:noWrap/>
            <w:vAlign w:val="center"/>
            <w:hideMark/>
          </w:tcPr>
          <w:p w14:paraId="236168B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FBB9D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614E96F" w14:textId="77777777" w:rsidR="00000000" w:rsidRDefault="00EB4933">
            <w:pPr>
              <w:jc w:val="right"/>
              <w:rPr>
                <w:rFonts w:eastAsia="Times New Roman"/>
                <w:sz w:val="20"/>
                <w:szCs w:val="20"/>
              </w:rPr>
            </w:pPr>
            <w:r>
              <w:rPr>
                <w:rFonts w:eastAsia="Times New Roman"/>
                <w:sz w:val="20"/>
                <w:szCs w:val="20"/>
              </w:rPr>
              <w:t>895</w:t>
            </w:r>
          </w:p>
        </w:tc>
        <w:tc>
          <w:tcPr>
            <w:tcW w:w="50" w:type="pct"/>
            <w:shd w:val="clear" w:color="auto" w:fill="CCEEFF"/>
            <w:noWrap/>
            <w:vAlign w:val="center"/>
            <w:hideMark/>
          </w:tcPr>
          <w:p w14:paraId="7B4C250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36933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BA1B5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1B6BBB5" w14:textId="77777777" w:rsidR="00000000" w:rsidRDefault="00EB4933">
            <w:pPr>
              <w:jc w:val="right"/>
              <w:rPr>
                <w:rFonts w:eastAsia="Times New Roman"/>
                <w:sz w:val="20"/>
                <w:szCs w:val="20"/>
              </w:rPr>
            </w:pPr>
            <w:r>
              <w:rPr>
                <w:rFonts w:eastAsia="Times New Roman"/>
                <w:sz w:val="20"/>
                <w:szCs w:val="20"/>
              </w:rPr>
              <w:t>4,229</w:t>
            </w:r>
          </w:p>
        </w:tc>
        <w:tc>
          <w:tcPr>
            <w:tcW w:w="50" w:type="pct"/>
            <w:shd w:val="clear" w:color="auto" w:fill="CCEEFF"/>
            <w:noWrap/>
            <w:vAlign w:val="center"/>
            <w:hideMark/>
          </w:tcPr>
          <w:p w14:paraId="4A4BDAF5" w14:textId="77777777" w:rsidR="00000000" w:rsidRDefault="00EB4933">
            <w:pPr>
              <w:pStyle w:val="NormalWeb"/>
              <w:spacing w:before="0" w:beforeAutospacing="0" w:after="0" w:afterAutospacing="0"/>
              <w:rPr>
                <w:sz w:val="20"/>
                <w:szCs w:val="20"/>
              </w:rPr>
            </w:pPr>
            <w:r>
              <w:rPr>
                <w:sz w:val="20"/>
                <w:szCs w:val="20"/>
              </w:rPr>
              <w:t> </w:t>
            </w:r>
          </w:p>
        </w:tc>
      </w:tr>
      <w:tr w:rsidR="00000000" w14:paraId="6457E993" w14:textId="77777777">
        <w:trPr>
          <w:divId w:val="98525094"/>
          <w:trHeight w:val="225"/>
          <w:tblCellSpacing w:w="15" w:type="dxa"/>
        </w:trPr>
        <w:tc>
          <w:tcPr>
            <w:tcW w:w="0" w:type="auto"/>
            <w:shd w:val="clear" w:color="auto" w:fill="FFFFFF"/>
            <w:hideMark/>
          </w:tcPr>
          <w:p w14:paraId="517F1C1E" w14:textId="77777777" w:rsidR="00000000" w:rsidRDefault="00EB4933">
            <w:pPr>
              <w:pStyle w:val="NormalWeb"/>
              <w:spacing w:before="0" w:beforeAutospacing="0" w:after="0" w:afterAutospacing="0"/>
              <w:rPr>
                <w:sz w:val="20"/>
                <w:szCs w:val="20"/>
              </w:rPr>
            </w:pPr>
            <w:r>
              <w:rPr>
                <w:sz w:val="20"/>
                <w:szCs w:val="20"/>
              </w:rPr>
              <w:t>Consulting expenses payable to a shareholder’s representatives</w:t>
            </w:r>
            <w:r>
              <w:rPr>
                <w:sz w:val="20"/>
                <w:szCs w:val="20"/>
                <w:vertAlign w:val="superscript"/>
              </w:rPr>
              <w:t>(1)</w:t>
            </w:r>
          </w:p>
        </w:tc>
        <w:tc>
          <w:tcPr>
            <w:tcW w:w="50" w:type="pct"/>
            <w:shd w:val="clear" w:color="auto" w:fill="FFFFFF"/>
            <w:noWrap/>
            <w:vAlign w:val="center"/>
            <w:hideMark/>
          </w:tcPr>
          <w:p w14:paraId="146681A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B893DA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B0E58C1" w14:textId="77777777" w:rsidR="00000000" w:rsidRDefault="00EB4933">
            <w:pPr>
              <w:jc w:val="right"/>
              <w:rPr>
                <w:rFonts w:eastAsia="Times New Roman"/>
                <w:sz w:val="20"/>
                <w:szCs w:val="20"/>
              </w:rPr>
            </w:pPr>
            <w:r>
              <w:rPr>
                <w:rFonts w:eastAsia="Times New Roman"/>
                <w:sz w:val="20"/>
                <w:szCs w:val="20"/>
              </w:rPr>
              <w:t>516</w:t>
            </w:r>
          </w:p>
        </w:tc>
        <w:tc>
          <w:tcPr>
            <w:tcW w:w="50" w:type="pct"/>
            <w:shd w:val="clear" w:color="auto" w:fill="FFFFFF"/>
            <w:noWrap/>
            <w:tcMar>
              <w:top w:w="0" w:type="dxa"/>
              <w:left w:w="0" w:type="dxa"/>
              <w:bottom w:w="15" w:type="dxa"/>
              <w:right w:w="0" w:type="dxa"/>
            </w:tcMar>
            <w:vAlign w:val="center"/>
            <w:hideMark/>
          </w:tcPr>
          <w:p w14:paraId="106FA2F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CC39D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6D4ECD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18DC85E" w14:textId="77777777" w:rsidR="00000000" w:rsidRDefault="00EB4933">
            <w:pPr>
              <w:jc w:val="right"/>
              <w:rPr>
                <w:rFonts w:eastAsia="Times New Roman"/>
                <w:sz w:val="20"/>
                <w:szCs w:val="20"/>
              </w:rPr>
            </w:pPr>
            <w:r>
              <w:rPr>
                <w:rFonts w:eastAsia="Times New Roman"/>
                <w:sz w:val="20"/>
                <w:szCs w:val="20"/>
              </w:rPr>
              <w:t>1,032</w:t>
            </w:r>
          </w:p>
        </w:tc>
        <w:tc>
          <w:tcPr>
            <w:tcW w:w="50" w:type="pct"/>
            <w:shd w:val="clear" w:color="auto" w:fill="FFFFFF"/>
            <w:noWrap/>
            <w:tcMar>
              <w:top w:w="0" w:type="dxa"/>
              <w:left w:w="0" w:type="dxa"/>
              <w:bottom w:w="15" w:type="dxa"/>
              <w:right w:w="0" w:type="dxa"/>
            </w:tcMar>
            <w:vAlign w:val="center"/>
            <w:hideMark/>
          </w:tcPr>
          <w:p w14:paraId="474CB210" w14:textId="77777777" w:rsidR="00000000" w:rsidRDefault="00EB4933">
            <w:pPr>
              <w:pStyle w:val="NormalWeb"/>
              <w:spacing w:before="0" w:beforeAutospacing="0" w:after="0" w:afterAutospacing="0"/>
              <w:rPr>
                <w:sz w:val="20"/>
                <w:szCs w:val="20"/>
              </w:rPr>
            </w:pPr>
            <w:r>
              <w:rPr>
                <w:sz w:val="20"/>
                <w:szCs w:val="20"/>
              </w:rPr>
              <w:t> </w:t>
            </w:r>
          </w:p>
        </w:tc>
      </w:tr>
      <w:tr w:rsidR="00000000" w14:paraId="6C760C11" w14:textId="77777777">
        <w:trPr>
          <w:divId w:val="98525094"/>
          <w:trHeight w:val="225"/>
          <w:tblCellSpacing w:w="15" w:type="dxa"/>
        </w:trPr>
        <w:tc>
          <w:tcPr>
            <w:tcW w:w="0" w:type="auto"/>
            <w:shd w:val="clear" w:color="auto" w:fill="CCEEFF"/>
            <w:hideMark/>
          </w:tcPr>
          <w:p w14:paraId="1BA89D79" w14:textId="77777777" w:rsidR="00000000" w:rsidRDefault="00EB4933">
            <w:pPr>
              <w:pStyle w:val="NormalWeb"/>
              <w:spacing w:before="0" w:beforeAutospacing="0" w:after="0" w:afterAutospacing="0"/>
              <w:rPr>
                <w:sz w:val="20"/>
                <w:szCs w:val="20"/>
              </w:rPr>
            </w:pPr>
            <w:r>
              <w:rPr>
                <w:sz w:val="20"/>
                <w:szCs w:val="20"/>
              </w:rPr>
              <w:t>Total</w:t>
            </w:r>
          </w:p>
        </w:tc>
        <w:tc>
          <w:tcPr>
            <w:tcW w:w="50" w:type="pct"/>
            <w:shd w:val="clear" w:color="auto" w:fill="CCEEFF"/>
            <w:noWrap/>
            <w:vAlign w:val="center"/>
            <w:hideMark/>
          </w:tcPr>
          <w:p w14:paraId="2EADE21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FC7F3A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14DB69AC" w14:textId="77777777" w:rsidR="00000000" w:rsidRDefault="00EB4933">
            <w:pPr>
              <w:jc w:val="right"/>
              <w:rPr>
                <w:rFonts w:eastAsia="Times New Roman"/>
                <w:sz w:val="20"/>
                <w:szCs w:val="20"/>
              </w:rPr>
            </w:pPr>
            <w:r>
              <w:rPr>
                <w:rFonts w:eastAsia="Times New Roman"/>
                <w:sz w:val="20"/>
                <w:szCs w:val="20"/>
              </w:rPr>
              <w:t>1,411</w:t>
            </w:r>
          </w:p>
        </w:tc>
        <w:tc>
          <w:tcPr>
            <w:tcW w:w="50" w:type="pct"/>
            <w:shd w:val="clear" w:color="auto" w:fill="CCEEFF"/>
            <w:noWrap/>
            <w:tcMar>
              <w:top w:w="0" w:type="dxa"/>
              <w:left w:w="0" w:type="dxa"/>
              <w:bottom w:w="45" w:type="dxa"/>
              <w:right w:w="0" w:type="dxa"/>
            </w:tcMar>
            <w:vAlign w:val="center"/>
            <w:hideMark/>
          </w:tcPr>
          <w:p w14:paraId="4071A5B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EEC96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DB1342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122BB8A8" w14:textId="77777777" w:rsidR="00000000" w:rsidRDefault="00EB4933">
            <w:pPr>
              <w:jc w:val="right"/>
              <w:rPr>
                <w:rFonts w:eastAsia="Times New Roman"/>
                <w:sz w:val="20"/>
                <w:szCs w:val="20"/>
              </w:rPr>
            </w:pPr>
            <w:r>
              <w:rPr>
                <w:rFonts w:eastAsia="Times New Roman"/>
                <w:sz w:val="20"/>
                <w:szCs w:val="20"/>
              </w:rPr>
              <w:t>5,261</w:t>
            </w:r>
          </w:p>
        </w:tc>
        <w:tc>
          <w:tcPr>
            <w:tcW w:w="50" w:type="pct"/>
            <w:shd w:val="clear" w:color="auto" w:fill="CCEEFF"/>
            <w:noWrap/>
            <w:tcMar>
              <w:top w:w="0" w:type="dxa"/>
              <w:left w:w="0" w:type="dxa"/>
              <w:bottom w:w="45" w:type="dxa"/>
              <w:right w:w="0" w:type="dxa"/>
            </w:tcMar>
            <w:vAlign w:val="center"/>
            <w:hideMark/>
          </w:tcPr>
          <w:p w14:paraId="3257C6E5" w14:textId="77777777" w:rsidR="00000000" w:rsidRDefault="00EB4933">
            <w:pPr>
              <w:pStyle w:val="NormalWeb"/>
              <w:spacing w:before="0" w:beforeAutospacing="0" w:after="0" w:afterAutospacing="0"/>
              <w:rPr>
                <w:sz w:val="20"/>
                <w:szCs w:val="20"/>
              </w:rPr>
            </w:pPr>
            <w:r>
              <w:rPr>
                <w:sz w:val="20"/>
                <w:szCs w:val="20"/>
              </w:rPr>
              <w:t> </w:t>
            </w:r>
          </w:p>
        </w:tc>
      </w:tr>
    </w:tbl>
    <w:p w14:paraId="07B9CFF5"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E6B8D24" w14:textId="77777777" w:rsidR="00000000" w:rsidRDefault="00EB4933">
      <w:pPr>
        <w:pStyle w:val="NormalWeb"/>
        <w:spacing w:before="0" w:beforeAutospacing="0" w:after="0" w:afterAutospacing="0"/>
        <w:ind w:left="675"/>
        <w:jc w:val="both"/>
        <w:divId w:val="98525094"/>
        <w:rPr>
          <w:sz w:val="20"/>
          <w:szCs w:val="20"/>
        </w:rPr>
      </w:pPr>
      <w:r>
        <w:rPr>
          <w:sz w:val="20"/>
          <w:szCs w:val="20"/>
        </w:rPr>
        <w:t>As of December 31, 2019, due to liquidity issue faced by the Group, the Group is unable to pay its employees.</w:t>
      </w:r>
    </w:p>
    <w:p w14:paraId="7F12A58C"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965D54A" w14:textId="77777777" w:rsidR="00000000" w:rsidRDefault="00EB4933">
      <w:pPr>
        <w:pStyle w:val="NormalWeb"/>
        <w:spacing w:before="0" w:beforeAutospacing="0" w:after="0" w:afterAutospacing="0"/>
        <w:ind w:left="675"/>
        <w:jc w:val="both"/>
        <w:divId w:val="98525094"/>
        <w:rPr>
          <w:sz w:val="20"/>
          <w:szCs w:val="20"/>
        </w:rPr>
      </w:pPr>
      <w:r>
        <w:rPr>
          <w:sz w:val="20"/>
          <w:szCs w:val="20"/>
          <w:vertAlign w:val="superscript"/>
        </w:rPr>
        <w:t>(1)</w:t>
      </w:r>
      <w:r>
        <w:rPr>
          <w:sz w:val="20"/>
          <w:szCs w:val="20"/>
        </w:rPr>
        <w:t xml:space="preserve"> </w:t>
      </w:r>
      <w:r>
        <w:rPr>
          <w:sz w:val="20"/>
          <w:szCs w:val="20"/>
        </w:rPr>
        <w:t>See Note 27 of Notes to the Consolidated Financial Statements, Section 5. Consulting expenses for representatives from a shareholder for detailed disclosure.</w:t>
      </w:r>
    </w:p>
    <w:p w14:paraId="22B41AE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277D68B" w14:textId="77777777" w:rsidR="00000000" w:rsidRDefault="00EB4933">
      <w:pPr>
        <w:pStyle w:val="NormalWeb"/>
        <w:spacing w:before="0" w:beforeAutospacing="0" w:after="0" w:afterAutospacing="0"/>
        <w:jc w:val="both"/>
        <w:divId w:val="98525094"/>
        <w:rPr>
          <w:sz w:val="20"/>
          <w:szCs w:val="20"/>
        </w:rPr>
      </w:pPr>
      <w:r>
        <w:rPr>
          <w:rStyle w:val="Strong"/>
          <w:sz w:val="20"/>
          <w:szCs w:val="20"/>
        </w:rPr>
        <w:t>21. Income taxes payable</w:t>
      </w:r>
    </w:p>
    <w:p w14:paraId="7A6E842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CD107DC" w14:textId="77777777" w:rsidR="00000000" w:rsidRDefault="00EB4933">
      <w:pPr>
        <w:pStyle w:val="NormalWeb"/>
        <w:spacing w:before="0" w:beforeAutospacing="0" w:after="0" w:afterAutospacing="0"/>
        <w:ind w:left="675"/>
        <w:jc w:val="both"/>
        <w:divId w:val="98525094"/>
        <w:rPr>
          <w:sz w:val="20"/>
          <w:szCs w:val="20"/>
        </w:rPr>
      </w:pPr>
      <w:r>
        <w:rPr>
          <w:sz w:val="20"/>
          <w:szCs w:val="20"/>
        </w:rPr>
        <w:t>As of December 31, 2019, Chutian has not been paying its corporate in</w:t>
      </w:r>
      <w:r>
        <w:rPr>
          <w:sz w:val="20"/>
          <w:szCs w:val="20"/>
        </w:rPr>
        <w:t xml:space="preserve">come tax of RMB32.5 million to the China State Taxation Administration since 2018 due to liquidity issue. </w:t>
      </w:r>
    </w:p>
    <w:p w14:paraId="7A27839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8EF7398" w14:textId="77777777" w:rsidR="00000000" w:rsidRDefault="00EB4933">
      <w:pPr>
        <w:pStyle w:val="NormalWeb"/>
        <w:spacing w:before="0" w:beforeAutospacing="0" w:after="0" w:afterAutospacing="0"/>
        <w:jc w:val="both"/>
        <w:divId w:val="98525094"/>
        <w:rPr>
          <w:sz w:val="20"/>
          <w:szCs w:val="20"/>
        </w:rPr>
      </w:pPr>
      <w:r>
        <w:rPr>
          <w:rStyle w:val="Strong"/>
          <w:sz w:val="20"/>
          <w:szCs w:val="20"/>
        </w:rPr>
        <w:t>22. Interest payable</w:t>
      </w:r>
    </w:p>
    <w:p w14:paraId="75327C49"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6362"/>
        <w:gridCol w:w="113"/>
        <w:gridCol w:w="113"/>
        <w:gridCol w:w="778"/>
        <w:gridCol w:w="113"/>
        <w:gridCol w:w="113"/>
        <w:gridCol w:w="113"/>
        <w:gridCol w:w="778"/>
        <w:gridCol w:w="128"/>
      </w:tblGrid>
      <w:tr w:rsidR="00000000" w14:paraId="467DDFB5" w14:textId="77777777">
        <w:trPr>
          <w:divId w:val="98525094"/>
          <w:trHeight w:val="225"/>
          <w:tblCellSpacing w:w="15" w:type="dxa"/>
        </w:trPr>
        <w:tc>
          <w:tcPr>
            <w:tcW w:w="0" w:type="auto"/>
            <w:vAlign w:val="center"/>
            <w:hideMark/>
          </w:tcPr>
          <w:p w14:paraId="2CD6F634"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DB00221"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000000"/>
            </w:tcBorders>
            <w:vAlign w:val="bottom"/>
            <w:hideMark/>
          </w:tcPr>
          <w:p w14:paraId="744E92A3" w14:textId="77777777" w:rsidR="00000000" w:rsidRDefault="00EB4933">
            <w:pPr>
              <w:pStyle w:val="NormalWeb"/>
              <w:spacing w:before="0" w:beforeAutospacing="0" w:after="0" w:afterAutospacing="0"/>
              <w:jc w:val="center"/>
              <w:rPr>
                <w:sz w:val="20"/>
                <w:szCs w:val="20"/>
              </w:rPr>
            </w:pPr>
            <w:r>
              <w:rPr>
                <w:rStyle w:val="Strong"/>
                <w:sz w:val="20"/>
                <w:szCs w:val="20"/>
              </w:rPr>
              <w:t>As at December 31,</w:t>
            </w:r>
          </w:p>
        </w:tc>
        <w:tc>
          <w:tcPr>
            <w:tcW w:w="0" w:type="auto"/>
            <w:noWrap/>
            <w:vAlign w:val="center"/>
            <w:hideMark/>
          </w:tcPr>
          <w:p w14:paraId="055C7194" w14:textId="77777777" w:rsidR="00000000" w:rsidRDefault="00EB4933">
            <w:pPr>
              <w:pStyle w:val="NormalWeb"/>
              <w:spacing w:before="0" w:beforeAutospacing="0" w:after="0" w:afterAutospacing="0"/>
              <w:rPr>
                <w:sz w:val="20"/>
                <w:szCs w:val="20"/>
              </w:rPr>
            </w:pPr>
            <w:r>
              <w:rPr>
                <w:sz w:val="20"/>
                <w:szCs w:val="20"/>
              </w:rPr>
              <w:t> </w:t>
            </w:r>
          </w:p>
        </w:tc>
      </w:tr>
      <w:tr w:rsidR="00000000" w14:paraId="6369C4A3" w14:textId="77777777">
        <w:trPr>
          <w:divId w:val="98525094"/>
          <w:trHeight w:val="225"/>
          <w:tblCellSpacing w:w="15" w:type="dxa"/>
        </w:trPr>
        <w:tc>
          <w:tcPr>
            <w:tcW w:w="0" w:type="auto"/>
            <w:vAlign w:val="center"/>
            <w:hideMark/>
          </w:tcPr>
          <w:p w14:paraId="65FBEB48"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C7E22C5"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5E088B79"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vAlign w:val="center"/>
            <w:hideMark/>
          </w:tcPr>
          <w:p w14:paraId="08DB8BBC"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98C588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482E0E56"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29E8CF69" w14:textId="77777777" w:rsidR="00000000" w:rsidRDefault="00EB4933">
            <w:pPr>
              <w:pStyle w:val="NormalWeb"/>
              <w:spacing w:before="0" w:beforeAutospacing="0" w:after="0" w:afterAutospacing="0"/>
              <w:rPr>
                <w:sz w:val="20"/>
                <w:szCs w:val="20"/>
              </w:rPr>
            </w:pPr>
            <w:r>
              <w:rPr>
                <w:sz w:val="20"/>
                <w:szCs w:val="20"/>
              </w:rPr>
              <w:t> </w:t>
            </w:r>
          </w:p>
        </w:tc>
      </w:tr>
      <w:tr w:rsidR="00000000" w14:paraId="5C1CFD8A" w14:textId="77777777">
        <w:trPr>
          <w:divId w:val="98525094"/>
          <w:trHeight w:val="225"/>
          <w:tblCellSpacing w:w="15" w:type="dxa"/>
        </w:trPr>
        <w:tc>
          <w:tcPr>
            <w:tcW w:w="0" w:type="auto"/>
            <w:vAlign w:val="center"/>
            <w:hideMark/>
          </w:tcPr>
          <w:p w14:paraId="6BA984B8"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155691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24ACDCD7"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tcMar>
              <w:top w:w="0" w:type="dxa"/>
              <w:left w:w="0" w:type="dxa"/>
              <w:bottom w:w="15" w:type="dxa"/>
              <w:right w:w="0" w:type="dxa"/>
            </w:tcMar>
            <w:vAlign w:val="center"/>
            <w:hideMark/>
          </w:tcPr>
          <w:p w14:paraId="16A0DCE7"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447579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2FF9301A"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tcMar>
              <w:top w:w="0" w:type="dxa"/>
              <w:left w:w="0" w:type="dxa"/>
              <w:bottom w:w="15" w:type="dxa"/>
              <w:right w:w="0" w:type="dxa"/>
            </w:tcMar>
            <w:vAlign w:val="center"/>
            <w:hideMark/>
          </w:tcPr>
          <w:p w14:paraId="05B717E9" w14:textId="77777777" w:rsidR="00000000" w:rsidRDefault="00EB4933">
            <w:pPr>
              <w:pStyle w:val="NormalWeb"/>
              <w:spacing w:before="0" w:beforeAutospacing="0" w:after="0" w:afterAutospacing="0"/>
              <w:rPr>
                <w:sz w:val="20"/>
                <w:szCs w:val="20"/>
              </w:rPr>
            </w:pPr>
            <w:r>
              <w:rPr>
                <w:sz w:val="20"/>
                <w:szCs w:val="20"/>
              </w:rPr>
              <w:t> </w:t>
            </w:r>
          </w:p>
        </w:tc>
      </w:tr>
      <w:tr w:rsidR="00000000" w14:paraId="4F46665C" w14:textId="77777777">
        <w:trPr>
          <w:divId w:val="98525094"/>
          <w:trHeight w:val="225"/>
          <w:tblCellSpacing w:w="15" w:type="dxa"/>
        </w:trPr>
        <w:tc>
          <w:tcPr>
            <w:tcW w:w="0" w:type="auto"/>
            <w:vAlign w:val="center"/>
            <w:hideMark/>
          </w:tcPr>
          <w:p w14:paraId="5F37844D"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FDB70C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5081CD2B"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EA8CCDB"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CC7A60E"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223A3F47"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F9A589E" w14:textId="77777777" w:rsidR="00000000" w:rsidRDefault="00EB4933">
            <w:pPr>
              <w:pStyle w:val="NormalWeb"/>
              <w:spacing w:before="0" w:beforeAutospacing="0" w:after="0" w:afterAutospacing="0"/>
              <w:rPr>
                <w:sz w:val="20"/>
                <w:szCs w:val="20"/>
              </w:rPr>
            </w:pPr>
            <w:r>
              <w:rPr>
                <w:sz w:val="20"/>
                <w:szCs w:val="20"/>
              </w:rPr>
              <w:t> </w:t>
            </w:r>
          </w:p>
        </w:tc>
      </w:tr>
      <w:tr w:rsidR="00000000" w14:paraId="1BF4F3D2" w14:textId="77777777">
        <w:trPr>
          <w:divId w:val="98525094"/>
          <w:trHeight w:val="225"/>
          <w:tblCellSpacing w:w="15" w:type="dxa"/>
        </w:trPr>
        <w:tc>
          <w:tcPr>
            <w:tcW w:w="0" w:type="auto"/>
            <w:shd w:val="clear" w:color="auto" w:fill="CCEEFF"/>
            <w:hideMark/>
          </w:tcPr>
          <w:p w14:paraId="5AD1C3C4" w14:textId="77777777" w:rsidR="00000000" w:rsidRDefault="00EB4933">
            <w:pPr>
              <w:pStyle w:val="NormalWeb"/>
              <w:spacing w:before="0" w:beforeAutospacing="0" w:after="0" w:afterAutospacing="0"/>
              <w:rPr>
                <w:sz w:val="20"/>
                <w:szCs w:val="20"/>
              </w:rPr>
            </w:pPr>
            <w:r>
              <w:rPr>
                <w:sz w:val="20"/>
                <w:szCs w:val="20"/>
              </w:rPr>
              <w:lastRenderedPageBreak/>
              <w:t>Interest payable to third parties</w:t>
            </w:r>
          </w:p>
        </w:tc>
        <w:tc>
          <w:tcPr>
            <w:tcW w:w="50" w:type="pct"/>
            <w:shd w:val="clear" w:color="auto" w:fill="CCEEFF"/>
            <w:noWrap/>
            <w:vAlign w:val="center"/>
            <w:hideMark/>
          </w:tcPr>
          <w:p w14:paraId="3C50291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445C7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B9C6BFE" w14:textId="77777777" w:rsidR="00000000" w:rsidRDefault="00EB4933">
            <w:pPr>
              <w:jc w:val="right"/>
              <w:rPr>
                <w:rFonts w:eastAsia="Times New Roman"/>
                <w:sz w:val="20"/>
                <w:szCs w:val="20"/>
              </w:rPr>
            </w:pPr>
            <w:r>
              <w:rPr>
                <w:rFonts w:eastAsia="Times New Roman"/>
                <w:sz w:val="20"/>
                <w:szCs w:val="20"/>
              </w:rPr>
              <w:t>3,234</w:t>
            </w:r>
          </w:p>
        </w:tc>
        <w:tc>
          <w:tcPr>
            <w:tcW w:w="50" w:type="pct"/>
            <w:shd w:val="clear" w:color="auto" w:fill="CCEEFF"/>
            <w:noWrap/>
            <w:vAlign w:val="center"/>
            <w:hideMark/>
          </w:tcPr>
          <w:p w14:paraId="1AE7C78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DED1E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282DF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B773CE8" w14:textId="77777777" w:rsidR="00000000" w:rsidRDefault="00EB4933">
            <w:pPr>
              <w:jc w:val="right"/>
              <w:rPr>
                <w:rFonts w:eastAsia="Times New Roman"/>
                <w:sz w:val="20"/>
                <w:szCs w:val="20"/>
              </w:rPr>
            </w:pPr>
            <w:r>
              <w:rPr>
                <w:rFonts w:eastAsia="Times New Roman"/>
                <w:sz w:val="20"/>
                <w:szCs w:val="20"/>
              </w:rPr>
              <w:t>14,510</w:t>
            </w:r>
          </w:p>
        </w:tc>
        <w:tc>
          <w:tcPr>
            <w:tcW w:w="50" w:type="pct"/>
            <w:shd w:val="clear" w:color="auto" w:fill="CCEEFF"/>
            <w:noWrap/>
            <w:vAlign w:val="center"/>
            <w:hideMark/>
          </w:tcPr>
          <w:p w14:paraId="38687FA0" w14:textId="77777777" w:rsidR="00000000" w:rsidRDefault="00EB4933">
            <w:pPr>
              <w:pStyle w:val="NormalWeb"/>
              <w:spacing w:before="0" w:beforeAutospacing="0" w:after="0" w:afterAutospacing="0"/>
              <w:rPr>
                <w:sz w:val="20"/>
                <w:szCs w:val="20"/>
              </w:rPr>
            </w:pPr>
            <w:r>
              <w:rPr>
                <w:sz w:val="20"/>
                <w:szCs w:val="20"/>
              </w:rPr>
              <w:t> </w:t>
            </w:r>
          </w:p>
        </w:tc>
      </w:tr>
      <w:tr w:rsidR="00000000" w14:paraId="1FC750D6" w14:textId="77777777">
        <w:trPr>
          <w:divId w:val="98525094"/>
          <w:trHeight w:val="225"/>
          <w:tblCellSpacing w:w="15" w:type="dxa"/>
        </w:trPr>
        <w:tc>
          <w:tcPr>
            <w:tcW w:w="0" w:type="auto"/>
            <w:shd w:val="clear" w:color="auto" w:fill="FFFFFF"/>
            <w:hideMark/>
          </w:tcPr>
          <w:p w14:paraId="1F3A78D6" w14:textId="77777777" w:rsidR="00000000" w:rsidRDefault="00EB4933">
            <w:pPr>
              <w:pStyle w:val="NormalWeb"/>
              <w:spacing w:before="0" w:beforeAutospacing="0" w:after="0" w:afterAutospacing="0"/>
              <w:rPr>
                <w:sz w:val="20"/>
                <w:szCs w:val="20"/>
              </w:rPr>
            </w:pPr>
            <w:r>
              <w:rPr>
                <w:sz w:val="20"/>
                <w:szCs w:val="20"/>
              </w:rPr>
              <w:t>Interest payable to related parties</w:t>
            </w:r>
            <w:r>
              <w:rPr>
                <w:sz w:val="20"/>
                <w:szCs w:val="20"/>
                <w:vertAlign w:val="superscript"/>
              </w:rPr>
              <w:t>(1)</w:t>
            </w:r>
          </w:p>
        </w:tc>
        <w:tc>
          <w:tcPr>
            <w:tcW w:w="50" w:type="pct"/>
            <w:shd w:val="clear" w:color="auto" w:fill="FFFFFF"/>
            <w:noWrap/>
            <w:vAlign w:val="center"/>
            <w:hideMark/>
          </w:tcPr>
          <w:p w14:paraId="213A706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F6DDE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EABF9DA" w14:textId="77777777" w:rsidR="00000000" w:rsidRDefault="00EB4933">
            <w:pPr>
              <w:jc w:val="right"/>
              <w:rPr>
                <w:rFonts w:eastAsia="Times New Roman"/>
                <w:sz w:val="20"/>
                <w:szCs w:val="20"/>
              </w:rPr>
            </w:pPr>
            <w:r>
              <w:rPr>
                <w:rFonts w:eastAsia="Times New Roman"/>
                <w:sz w:val="20"/>
                <w:szCs w:val="20"/>
              </w:rPr>
              <w:t>1,662</w:t>
            </w:r>
          </w:p>
        </w:tc>
        <w:tc>
          <w:tcPr>
            <w:tcW w:w="50" w:type="pct"/>
            <w:shd w:val="clear" w:color="auto" w:fill="FFFFFF"/>
            <w:noWrap/>
            <w:vAlign w:val="center"/>
            <w:hideMark/>
          </w:tcPr>
          <w:p w14:paraId="569D019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534FE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2C49E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91BCA41" w14:textId="77777777" w:rsidR="00000000" w:rsidRDefault="00EB4933">
            <w:pPr>
              <w:jc w:val="right"/>
              <w:rPr>
                <w:rFonts w:eastAsia="Times New Roman"/>
                <w:sz w:val="20"/>
                <w:szCs w:val="20"/>
              </w:rPr>
            </w:pPr>
            <w:r>
              <w:rPr>
                <w:rFonts w:eastAsia="Times New Roman"/>
                <w:sz w:val="20"/>
                <w:szCs w:val="20"/>
              </w:rPr>
              <w:t>127</w:t>
            </w:r>
          </w:p>
        </w:tc>
        <w:tc>
          <w:tcPr>
            <w:tcW w:w="50" w:type="pct"/>
            <w:shd w:val="clear" w:color="auto" w:fill="FFFFFF"/>
            <w:noWrap/>
            <w:vAlign w:val="center"/>
            <w:hideMark/>
          </w:tcPr>
          <w:p w14:paraId="3A2B0764" w14:textId="77777777" w:rsidR="00000000" w:rsidRDefault="00EB4933">
            <w:pPr>
              <w:pStyle w:val="NormalWeb"/>
              <w:spacing w:before="0" w:beforeAutospacing="0" w:after="0" w:afterAutospacing="0"/>
              <w:rPr>
                <w:sz w:val="20"/>
                <w:szCs w:val="20"/>
              </w:rPr>
            </w:pPr>
            <w:r>
              <w:rPr>
                <w:sz w:val="20"/>
                <w:szCs w:val="20"/>
              </w:rPr>
              <w:t> </w:t>
            </w:r>
          </w:p>
        </w:tc>
      </w:tr>
      <w:tr w:rsidR="00000000" w14:paraId="33742B23" w14:textId="77777777">
        <w:trPr>
          <w:divId w:val="98525094"/>
          <w:trHeight w:val="225"/>
          <w:tblCellSpacing w:w="15" w:type="dxa"/>
        </w:trPr>
        <w:tc>
          <w:tcPr>
            <w:tcW w:w="0" w:type="auto"/>
            <w:shd w:val="clear" w:color="auto" w:fill="CCEEFF"/>
            <w:hideMark/>
          </w:tcPr>
          <w:p w14:paraId="3C74DC7D" w14:textId="77777777" w:rsidR="00000000" w:rsidRDefault="00EB4933">
            <w:pPr>
              <w:pStyle w:val="NormalWeb"/>
              <w:spacing w:before="0" w:beforeAutospacing="0" w:after="0" w:afterAutospacing="0"/>
              <w:rPr>
                <w:sz w:val="20"/>
                <w:szCs w:val="20"/>
              </w:rPr>
            </w:pPr>
            <w:r>
              <w:rPr>
                <w:sz w:val="20"/>
                <w:szCs w:val="20"/>
              </w:rPr>
              <w:t>Interest payable to shareholders</w:t>
            </w:r>
            <w:r>
              <w:rPr>
                <w:sz w:val="20"/>
                <w:szCs w:val="20"/>
                <w:vertAlign w:val="superscript"/>
              </w:rPr>
              <w:t>(2)</w:t>
            </w:r>
          </w:p>
        </w:tc>
        <w:tc>
          <w:tcPr>
            <w:tcW w:w="50" w:type="pct"/>
            <w:shd w:val="clear" w:color="auto" w:fill="CCEEFF"/>
            <w:noWrap/>
            <w:vAlign w:val="center"/>
            <w:hideMark/>
          </w:tcPr>
          <w:p w14:paraId="6A3B6A7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4706D3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81B895C" w14:textId="77777777" w:rsidR="00000000" w:rsidRDefault="00EB4933">
            <w:pPr>
              <w:jc w:val="right"/>
              <w:rPr>
                <w:rFonts w:eastAsia="Times New Roman"/>
                <w:sz w:val="20"/>
                <w:szCs w:val="20"/>
              </w:rPr>
            </w:pPr>
            <w:r>
              <w:rPr>
                <w:rFonts w:eastAsia="Times New Roman"/>
                <w:sz w:val="20"/>
                <w:szCs w:val="20"/>
              </w:rPr>
              <w:t>243</w:t>
            </w:r>
          </w:p>
        </w:tc>
        <w:tc>
          <w:tcPr>
            <w:tcW w:w="50" w:type="pct"/>
            <w:shd w:val="clear" w:color="auto" w:fill="CCEEFF"/>
            <w:noWrap/>
            <w:tcMar>
              <w:top w:w="0" w:type="dxa"/>
              <w:left w:w="0" w:type="dxa"/>
              <w:bottom w:w="15" w:type="dxa"/>
              <w:right w:w="0" w:type="dxa"/>
            </w:tcMar>
            <w:vAlign w:val="center"/>
            <w:hideMark/>
          </w:tcPr>
          <w:p w14:paraId="0371843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E9D3C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96E29B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242788A" w14:textId="77777777" w:rsidR="00000000" w:rsidRDefault="00EB4933">
            <w:pPr>
              <w:jc w:val="right"/>
              <w:rPr>
                <w:rFonts w:eastAsia="Times New Roman"/>
                <w:sz w:val="20"/>
                <w:szCs w:val="20"/>
              </w:rPr>
            </w:pPr>
            <w:r>
              <w:rPr>
                <w:rFonts w:eastAsia="Times New Roman"/>
                <w:sz w:val="20"/>
                <w:szCs w:val="20"/>
              </w:rPr>
              <w:t>3,086</w:t>
            </w:r>
          </w:p>
        </w:tc>
        <w:tc>
          <w:tcPr>
            <w:tcW w:w="50" w:type="pct"/>
            <w:shd w:val="clear" w:color="auto" w:fill="CCEEFF"/>
            <w:noWrap/>
            <w:tcMar>
              <w:top w:w="0" w:type="dxa"/>
              <w:left w:w="0" w:type="dxa"/>
              <w:bottom w:w="15" w:type="dxa"/>
              <w:right w:w="0" w:type="dxa"/>
            </w:tcMar>
            <w:vAlign w:val="center"/>
            <w:hideMark/>
          </w:tcPr>
          <w:p w14:paraId="2B172F09" w14:textId="77777777" w:rsidR="00000000" w:rsidRDefault="00EB4933">
            <w:pPr>
              <w:pStyle w:val="NormalWeb"/>
              <w:spacing w:before="0" w:beforeAutospacing="0" w:after="0" w:afterAutospacing="0"/>
              <w:rPr>
                <w:sz w:val="20"/>
                <w:szCs w:val="20"/>
              </w:rPr>
            </w:pPr>
            <w:r>
              <w:rPr>
                <w:sz w:val="20"/>
                <w:szCs w:val="20"/>
              </w:rPr>
              <w:t> </w:t>
            </w:r>
          </w:p>
        </w:tc>
      </w:tr>
      <w:tr w:rsidR="00000000" w14:paraId="5A4E55FB" w14:textId="77777777">
        <w:trPr>
          <w:divId w:val="98525094"/>
          <w:trHeight w:val="225"/>
          <w:tblCellSpacing w:w="15" w:type="dxa"/>
        </w:trPr>
        <w:tc>
          <w:tcPr>
            <w:tcW w:w="0" w:type="auto"/>
            <w:shd w:val="clear" w:color="auto" w:fill="FFFFFF"/>
            <w:hideMark/>
          </w:tcPr>
          <w:p w14:paraId="0AA7A068" w14:textId="77777777" w:rsidR="00000000" w:rsidRDefault="00EB4933">
            <w:pPr>
              <w:pStyle w:val="NormalWeb"/>
              <w:spacing w:before="0" w:beforeAutospacing="0" w:after="0" w:afterAutospacing="0"/>
              <w:rPr>
                <w:sz w:val="20"/>
                <w:szCs w:val="20"/>
              </w:rPr>
            </w:pPr>
            <w:r>
              <w:rPr>
                <w:sz w:val="20"/>
                <w:szCs w:val="20"/>
              </w:rPr>
              <w:t>Total</w:t>
            </w:r>
          </w:p>
        </w:tc>
        <w:tc>
          <w:tcPr>
            <w:tcW w:w="50" w:type="pct"/>
            <w:shd w:val="clear" w:color="auto" w:fill="FFFFFF"/>
            <w:noWrap/>
            <w:vAlign w:val="center"/>
            <w:hideMark/>
          </w:tcPr>
          <w:p w14:paraId="5BC15C3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23FBB12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09C7F2B9" w14:textId="77777777" w:rsidR="00000000" w:rsidRDefault="00EB4933">
            <w:pPr>
              <w:jc w:val="right"/>
              <w:rPr>
                <w:rFonts w:eastAsia="Times New Roman"/>
                <w:sz w:val="20"/>
                <w:szCs w:val="20"/>
              </w:rPr>
            </w:pPr>
            <w:r>
              <w:rPr>
                <w:rFonts w:eastAsia="Times New Roman"/>
                <w:sz w:val="20"/>
                <w:szCs w:val="20"/>
              </w:rPr>
              <w:t>5,139</w:t>
            </w:r>
          </w:p>
        </w:tc>
        <w:tc>
          <w:tcPr>
            <w:tcW w:w="50" w:type="pct"/>
            <w:shd w:val="clear" w:color="auto" w:fill="FFFFFF"/>
            <w:noWrap/>
            <w:tcMar>
              <w:top w:w="0" w:type="dxa"/>
              <w:left w:w="0" w:type="dxa"/>
              <w:bottom w:w="45" w:type="dxa"/>
              <w:right w:w="0" w:type="dxa"/>
            </w:tcMar>
            <w:vAlign w:val="center"/>
            <w:hideMark/>
          </w:tcPr>
          <w:p w14:paraId="56B7569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82696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7011656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666B54D0" w14:textId="77777777" w:rsidR="00000000" w:rsidRDefault="00EB4933">
            <w:pPr>
              <w:jc w:val="right"/>
              <w:rPr>
                <w:rFonts w:eastAsia="Times New Roman"/>
                <w:sz w:val="20"/>
                <w:szCs w:val="20"/>
              </w:rPr>
            </w:pPr>
            <w:r>
              <w:rPr>
                <w:rFonts w:eastAsia="Times New Roman"/>
                <w:sz w:val="20"/>
                <w:szCs w:val="20"/>
              </w:rPr>
              <w:t>17,723</w:t>
            </w:r>
          </w:p>
        </w:tc>
        <w:tc>
          <w:tcPr>
            <w:tcW w:w="50" w:type="pct"/>
            <w:shd w:val="clear" w:color="auto" w:fill="FFFFFF"/>
            <w:noWrap/>
            <w:tcMar>
              <w:top w:w="0" w:type="dxa"/>
              <w:left w:w="0" w:type="dxa"/>
              <w:bottom w:w="45" w:type="dxa"/>
              <w:right w:w="0" w:type="dxa"/>
            </w:tcMar>
            <w:vAlign w:val="center"/>
            <w:hideMark/>
          </w:tcPr>
          <w:p w14:paraId="3EA1A546" w14:textId="77777777" w:rsidR="00000000" w:rsidRDefault="00EB4933">
            <w:pPr>
              <w:pStyle w:val="NormalWeb"/>
              <w:spacing w:before="0" w:beforeAutospacing="0" w:after="0" w:afterAutospacing="0"/>
              <w:rPr>
                <w:sz w:val="20"/>
                <w:szCs w:val="20"/>
              </w:rPr>
            </w:pPr>
            <w:r>
              <w:rPr>
                <w:sz w:val="20"/>
                <w:szCs w:val="20"/>
              </w:rPr>
              <w:t> </w:t>
            </w:r>
          </w:p>
        </w:tc>
      </w:tr>
    </w:tbl>
    <w:p w14:paraId="0A45591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176EE0B" w14:textId="77777777" w:rsidR="00000000" w:rsidRDefault="00EB4933">
      <w:pPr>
        <w:pStyle w:val="NormalWeb"/>
        <w:spacing w:before="0" w:beforeAutospacing="0" w:after="0" w:afterAutospacing="0"/>
        <w:ind w:left="675"/>
        <w:jc w:val="both"/>
        <w:divId w:val="98525094"/>
        <w:rPr>
          <w:sz w:val="20"/>
          <w:szCs w:val="20"/>
        </w:rPr>
      </w:pPr>
      <w:r>
        <w:rPr>
          <w:sz w:val="20"/>
          <w:szCs w:val="20"/>
          <w:vertAlign w:val="superscript"/>
        </w:rPr>
        <w:t>(1)</w:t>
      </w:r>
      <w:r>
        <w:rPr>
          <w:sz w:val="20"/>
          <w:szCs w:val="20"/>
        </w:rPr>
        <w:t xml:space="preserve"> </w:t>
      </w:r>
      <w:r>
        <w:rPr>
          <w:sz w:val="20"/>
          <w:szCs w:val="20"/>
        </w:rPr>
        <w:t>See Note 27 of Notes to the Consolidated Financial Statements, sub-sections 3.1 and 3.2 of Section 3. Loans payable to related parties for detailed disclosure.</w:t>
      </w:r>
    </w:p>
    <w:p w14:paraId="6A96E20D"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396B068F" w14:textId="77777777" w:rsidR="00000000" w:rsidRDefault="00EB4933">
      <w:pPr>
        <w:pStyle w:val="NormalWeb"/>
        <w:spacing w:before="0" w:beforeAutospacing="0" w:after="0" w:afterAutospacing="0"/>
        <w:ind w:left="675"/>
        <w:jc w:val="both"/>
        <w:divId w:val="98525094"/>
        <w:rPr>
          <w:sz w:val="20"/>
          <w:szCs w:val="20"/>
        </w:rPr>
      </w:pPr>
      <w:r>
        <w:rPr>
          <w:sz w:val="20"/>
          <w:szCs w:val="20"/>
          <w:vertAlign w:val="superscript"/>
        </w:rPr>
        <w:t xml:space="preserve">(2) </w:t>
      </w:r>
      <w:r>
        <w:rPr>
          <w:sz w:val="20"/>
          <w:szCs w:val="20"/>
        </w:rPr>
        <w:t xml:space="preserve">See Note 27 of Notes to the Consolidated Financial Statements, sub-section 4.1 and 4.4 of </w:t>
      </w:r>
      <w:r>
        <w:rPr>
          <w:sz w:val="20"/>
          <w:szCs w:val="20"/>
        </w:rPr>
        <w:t xml:space="preserve">Section 4. Loans payable to shareholders for detailed disclosure. </w:t>
      </w:r>
    </w:p>
    <w:p w14:paraId="59E75CC3" w14:textId="77777777" w:rsidR="00000000" w:rsidRDefault="00EB4933">
      <w:pPr>
        <w:pStyle w:val="NormalWeb"/>
        <w:spacing w:before="0" w:beforeAutospacing="0" w:after="0" w:afterAutospacing="0"/>
        <w:ind w:left="117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25E02FE" w14:textId="77777777">
        <w:trPr>
          <w:divId w:val="98525094"/>
          <w:trHeight w:val="225"/>
          <w:tblCellSpacing w:w="15" w:type="dxa"/>
        </w:trPr>
        <w:tc>
          <w:tcPr>
            <w:tcW w:w="0" w:type="auto"/>
            <w:vAlign w:val="center"/>
            <w:hideMark/>
          </w:tcPr>
          <w:p w14:paraId="1BDE8341" w14:textId="77777777" w:rsidR="00000000" w:rsidRDefault="00EB4933">
            <w:pPr>
              <w:rPr>
                <w:rFonts w:eastAsia="Times New Roman"/>
                <w:sz w:val="20"/>
                <w:szCs w:val="20"/>
              </w:rPr>
            </w:pPr>
            <w:r>
              <w:rPr>
                <w:rFonts w:eastAsia="Times New Roman"/>
                <w:sz w:val="20"/>
                <w:szCs w:val="20"/>
              </w:rPr>
              <w:t> </w:t>
            </w:r>
          </w:p>
        </w:tc>
      </w:tr>
      <w:tr w:rsidR="00000000" w14:paraId="0F16C15F" w14:textId="77777777">
        <w:trPr>
          <w:divId w:val="98525094"/>
          <w:trHeight w:val="225"/>
          <w:tblCellSpacing w:w="15" w:type="dxa"/>
        </w:trPr>
        <w:tc>
          <w:tcPr>
            <w:tcW w:w="0" w:type="auto"/>
            <w:tcBorders>
              <w:bottom w:val="single" w:sz="6" w:space="0" w:color="000000"/>
            </w:tcBorders>
            <w:vAlign w:val="center"/>
            <w:hideMark/>
          </w:tcPr>
          <w:p w14:paraId="2BA5B4D3" w14:textId="77777777" w:rsidR="00000000" w:rsidRDefault="00EB4933">
            <w:pPr>
              <w:jc w:val="center"/>
              <w:rPr>
                <w:rFonts w:eastAsia="Times New Roman"/>
                <w:sz w:val="20"/>
                <w:szCs w:val="20"/>
              </w:rPr>
            </w:pPr>
            <w:r>
              <w:rPr>
                <w:rFonts w:eastAsia="Times New Roman"/>
                <w:sz w:val="20"/>
                <w:szCs w:val="20"/>
              </w:rPr>
              <w:t>F-58</w:t>
            </w:r>
          </w:p>
        </w:tc>
      </w:tr>
      <w:tr w:rsidR="00000000" w14:paraId="1800F563" w14:textId="77777777">
        <w:trPr>
          <w:divId w:val="98525094"/>
          <w:trHeight w:val="225"/>
          <w:tblCellSpacing w:w="15" w:type="dxa"/>
        </w:trPr>
        <w:tc>
          <w:tcPr>
            <w:tcW w:w="0" w:type="auto"/>
            <w:vAlign w:val="center"/>
            <w:hideMark/>
          </w:tcPr>
          <w:p w14:paraId="77050E42" w14:textId="77777777" w:rsidR="00000000" w:rsidRDefault="00EB4933">
            <w:pPr>
              <w:rPr>
                <w:rFonts w:eastAsia="Times New Roman"/>
                <w:sz w:val="20"/>
                <w:szCs w:val="20"/>
              </w:rPr>
            </w:pPr>
          </w:p>
        </w:tc>
      </w:tr>
      <w:tr w:rsidR="00000000" w14:paraId="640757DB" w14:textId="77777777">
        <w:trPr>
          <w:divId w:val="98525094"/>
          <w:trHeight w:val="225"/>
          <w:tblCellSpacing w:w="15" w:type="dxa"/>
        </w:trPr>
        <w:tc>
          <w:tcPr>
            <w:tcW w:w="0" w:type="auto"/>
            <w:vAlign w:val="center"/>
            <w:hideMark/>
          </w:tcPr>
          <w:p w14:paraId="77D290BB" w14:textId="77777777" w:rsidR="00000000" w:rsidRDefault="00EB4933">
            <w:pPr>
              <w:rPr>
                <w:rFonts w:eastAsia="Times New Roman"/>
                <w:sz w:val="20"/>
                <w:szCs w:val="20"/>
              </w:rPr>
            </w:pPr>
            <w:hyperlink r:id="rId275" w:anchor="finindex" w:history="1">
              <w:r>
                <w:rPr>
                  <w:rStyle w:val="Hyperlink"/>
                  <w:rFonts w:eastAsia="Times New Roman"/>
                  <w:i/>
                  <w:iCs/>
                  <w:sz w:val="20"/>
                  <w:szCs w:val="20"/>
                </w:rPr>
                <w:t>Table of Contents</w:t>
              </w:r>
            </w:hyperlink>
          </w:p>
        </w:tc>
      </w:tr>
    </w:tbl>
    <w:p w14:paraId="08C26B9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5A54895"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50DE4ABA"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7AE5B029"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58A418F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A5FAB1B" w14:textId="77777777" w:rsidR="00000000" w:rsidRDefault="00EB4933">
      <w:pPr>
        <w:pStyle w:val="NormalWeb"/>
        <w:spacing w:before="0" w:beforeAutospacing="0" w:after="0" w:afterAutospacing="0"/>
        <w:jc w:val="both"/>
        <w:divId w:val="98525094"/>
        <w:rPr>
          <w:sz w:val="20"/>
          <w:szCs w:val="20"/>
        </w:rPr>
      </w:pPr>
      <w:r>
        <w:rPr>
          <w:rStyle w:val="Strong"/>
          <w:sz w:val="20"/>
          <w:szCs w:val="20"/>
        </w:rPr>
        <w:t>23. Other payable</w:t>
      </w:r>
    </w:p>
    <w:p w14:paraId="3333F4B0"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6362"/>
        <w:gridCol w:w="113"/>
        <w:gridCol w:w="113"/>
        <w:gridCol w:w="778"/>
        <w:gridCol w:w="113"/>
        <w:gridCol w:w="113"/>
        <w:gridCol w:w="113"/>
        <w:gridCol w:w="778"/>
        <w:gridCol w:w="128"/>
      </w:tblGrid>
      <w:tr w:rsidR="00000000" w14:paraId="09AC7F9E" w14:textId="77777777">
        <w:trPr>
          <w:divId w:val="98525094"/>
          <w:trHeight w:val="225"/>
          <w:tblCellSpacing w:w="15" w:type="dxa"/>
        </w:trPr>
        <w:tc>
          <w:tcPr>
            <w:tcW w:w="0" w:type="auto"/>
            <w:vAlign w:val="center"/>
            <w:hideMark/>
          </w:tcPr>
          <w:p w14:paraId="6B3EE185"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65EA67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000000"/>
            </w:tcBorders>
            <w:vAlign w:val="bottom"/>
            <w:hideMark/>
          </w:tcPr>
          <w:p w14:paraId="582647A7" w14:textId="77777777" w:rsidR="00000000" w:rsidRDefault="00EB4933">
            <w:pPr>
              <w:pStyle w:val="NormalWeb"/>
              <w:spacing w:before="0" w:beforeAutospacing="0" w:after="0" w:afterAutospacing="0"/>
              <w:jc w:val="center"/>
              <w:rPr>
                <w:sz w:val="20"/>
                <w:szCs w:val="20"/>
              </w:rPr>
            </w:pPr>
            <w:r>
              <w:rPr>
                <w:rStyle w:val="Strong"/>
                <w:sz w:val="20"/>
                <w:szCs w:val="20"/>
              </w:rPr>
              <w:t>As at December 31,</w:t>
            </w:r>
          </w:p>
        </w:tc>
        <w:tc>
          <w:tcPr>
            <w:tcW w:w="0" w:type="auto"/>
            <w:noWrap/>
            <w:vAlign w:val="center"/>
            <w:hideMark/>
          </w:tcPr>
          <w:p w14:paraId="4F97B2A0" w14:textId="77777777" w:rsidR="00000000" w:rsidRDefault="00EB4933">
            <w:pPr>
              <w:pStyle w:val="NormalWeb"/>
              <w:spacing w:before="0" w:beforeAutospacing="0" w:after="0" w:afterAutospacing="0"/>
              <w:rPr>
                <w:sz w:val="20"/>
                <w:szCs w:val="20"/>
              </w:rPr>
            </w:pPr>
            <w:r>
              <w:rPr>
                <w:sz w:val="20"/>
                <w:szCs w:val="20"/>
              </w:rPr>
              <w:t> </w:t>
            </w:r>
          </w:p>
        </w:tc>
      </w:tr>
      <w:tr w:rsidR="00000000" w14:paraId="5CF57485" w14:textId="77777777">
        <w:trPr>
          <w:divId w:val="98525094"/>
          <w:trHeight w:val="225"/>
          <w:tblCellSpacing w:w="15" w:type="dxa"/>
        </w:trPr>
        <w:tc>
          <w:tcPr>
            <w:tcW w:w="0" w:type="auto"/>
            <w:vAlign w:val="center"/>
            <w:hideMark/>
          </w:tcPr>
          <w:p w14:paraId="39A87B8F"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F98E868"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78188DE2" w14:textId="77777777" w:rsidR="00000000" w:rsidRDefault="00EB4933">
            <w:pPr>
              <w:pStyle w:val="NormalWeb"/>
              <w:spacing w:before="0" w:beforeAutospacing="0" w:after="0" w:afterAutospacing="0"/>
              <w:jc w:val="center"/>
              <w:rPr>
                <w:sz w:val="20"/>
                <w:szCs w:val="20"/>
              </w:rPr>
            </w:pPr>
            <w:r>
              <w:rPr>
                <w:rStyle w:val="Strong"/>
                <w:sz w:val="20"/>
                <w:szCs w:val="20"/>
              </w:rPr>
              <w:t>2018</w:t>
            </w:r>
          </w:p>
        </w:tc>
        <w:tc>
          <w:tcPr>
            <w:tcW w:w="0" w:type="auto"/>
            <w:noWrap/>
            <w:vAlign w:val="center"/>
            <w:hideMark/>
          </w:tcPr>
          <w:p w14:paraId="61080877"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C39B6B1"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1D2268A3" w14:textId="77777777" w:rsidR="00000000" w:rsidRDefault="00EB4933">
            <w:pPr>
              <w:pStyle w:val="NormalWeb"/>
              <w:spacing w:before="0" w:beforeAutospacing="0" w:after="0" w:afterAutospacing="0"/>
              <w:jc w:val="center"/>
              <w:rPr>
                <w:sz w:val="20"/>
                <w:szCs w:val="20"/>
              </w:rPr>
            </w:pPr>
            <w:r>
              <w:rPr>
                <w:rStyle w:val="Strong"/>
                <w:sz w:val="20"/>
                <w:szCs w:val="20"/>
              </w:rPr>
              <w:t>2019</w:t>
            </w:r>
          </w:p>
        </w:tc>
        <w:tc>
          <w:tcPr>
            <w:tcW w:w="0" w:type="auto"/>
            <w:noWrap/>
            <w:vAlign w:val="center"/>
            <w:hideMark/>
          </w:tcPr>
          <w:p w14:paraId="4C1501DE" w14:textId="77777777" w:rsidR="00000000" w:rsidRDefault="00EB4933">
            <w:pPr>
              <w:pStyle w:val="NormalWeb"/>
              <w:spacing w:before="0" w:beforeAutospacing="0" w:after="0" w:afterAutospacing="0"/>
              <w:rPr>
                <w:sz w:val="20"/>
                <w:szCs w:val="20"/>
              </w:rPr>
            </w:pPr>
            <w:r>
              <w:rPr>
                <w:sz w:val="20"/>
                <w:szCs w:val="20"/>
              </w:rPr>
              <w:t> </w:t>
            </w:r>
          </w:p>
        </w:tc>
      </w:tr>
      <w:tr w:rsidR="00000000" w14:paraId="3C546AD7" w14:textId="77777777">
        <w:trPr>
          <w:divId w:val="98525094"/>
          <w:trHeight w:val="225"/>
          <w:tblCellSpacing w:w="15" w:type="dxa"/>
        </w:trPr>
        <w:tc>
          <w:tcPr>
            <w:tcW w:w="0" w:type="auto"/>
            <w:vAlign w:val="center"/>
            <w:hideMark/>
          </w:tcPr>
          <w:p w14:paraId="4F83E81C"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26C5331"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60C02A2F"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tcMar>
              <w:top w:w="0" w:type="dxa"/>
              <w:left w:w="0" w:type="dxa"/>
              <w:bottom w:w="15" w:type="dxa"/>
              <w:right w:w="0" w:type="dxa"/>
            </w:tcMar>
            <w:vAlign w:val="center"/>
            <w:hideMark/>
          </w:tcPr>
          <w:p w14:paraId="471F2D6F"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21EC56E"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4188D917"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tcMar>
              <w:top w:w="0" w:type="dxa"/>
              <w:left w:w="0" w:type="dxa"/>
              <w:bottom w:w="15" w:type="dxa"/>
              <w:right w:w="0" w:type="dxa"/>
            </w:tcMar>
            <w:vAlign w:val="center"/>
            <w:hideMark/>
          </w:tcPr>
          <w:p w14:paraId="39FD0FD0" w14:textId="77777777" w:rsidR="00000000" w:rsidRDefault="00EB4933">
            <w:pPr>
              <w:pStyle w:val="NormalWeb"/>
              <w:spacing w:before="0" w:beforeAutospacing="0" w:after="0" w:afterAutospacing="0"/>
              <w:rPr>
                <w:sz w:val="20"/>
                <w:szCs w:val="20"/>
              </w:rPr>
            </w:pPr>
            <w:r>
              <w:rPr>
                <w:sz w:val="20"/>
                <w:szCs w:val="20"/>
              </w:rPr>
              <w:t> </w:t>
            </w:r>
          </w:p>
        </w:tc>
      </w:tr>
      <w:tr w:rsidR="00000000" w14:paraId="4682C32A" w14:textId="77777777">
        <w:trPr>
          <w:divId w:val="98525094"/>
          <w:trHeight w:val="225"/>
          <w:tblCellSpacing w:w="15" w:type="dxa"/>
        </w:trPr>
        <w:tc>
          <w:tcPr>
            <w:tcW w:w="0" w:type="auto"/>
            <w:vAlign w:val="center"/>
            <w:hideMark/>
          </w:tcPr>
          <w:p w14:paraId="0D939080"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11B4288"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DD458E9"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663C614"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CB2A22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C04083D"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1BCE3FB" w14:textId="77777777" w:rsidR="00000000" w:rsidRDefault="00EB4933">
            <w:pPr>
              <w:pStyle w:val="NormalWeb"/>
              <w:spacing w:before="0" w:beforeAutospacing="0" w:after="0" w:afterAutospacing="0"/>
              <w:rPr>
                <w:sz w:val="20"/>
                <w:szCs w:val="20"/>
              </w:rPr>
            </w:pPr>
            <w:r>
              <w:rPr>
                <w:sz w:val="20"/>
                <w:szCs w:val="20"/>
              </w:rPr>
              <w:t> </w:t>
            </w:r>
          </w:p>
        </w:tc>
      </w:tr>
      <w:tr w:rsidR="00000000" w14:paraId="4E8351B8" w14:textId="77777777">
        <w:trPr>
          <w:divId w:val="98525094"/>
          <w:trHeight w:val="225"/>
          <w:tblCellSpacing w:w="15" w:type="dxa"/>
        </w:trPr>
        <w:tc>
          <w:tcPr>
            <w:tcW w:w="0" w:type="auto"/>
            <w:shd w:val="clear" w:color="auto" w:fill="CCEEFF"/>
            <w:hideMark/>
          </w:tcPr>
          <w:p w14:paraId="2185F7D5" w14:textId="77777777" w:rsidR="00000000" w:rsidRDefault="00EB4933">
            <w:pPr>
              <w:pStyle w:val="NormalWeb"/>
              <w:spacing w:before="0" w:beforeAutospacing="0" w:after="0" w:afterAutospacing="0"/>
              <w:rPr>
                <w:sz w:val="20"/>
                <w:szCs w:val="20"/>
              </w:rPr>
            </w:pPr>
            <w:r>
              <w:rPr>
                <w:sz w:val="20"/>
                <w:szCs w:val="20"/>
              </w:rPr>
              <w:t>Other payable to related parties</w:t>
            </w:r>
            <w:r>
              <w:rPr>
                <w:sz w:val="20"/>
                <w:szCs w:val="20"/>
                <w:vertAlign w:val="superscript"/>
              </w:rPr>
              <w:t>(1)</w:t>
            </w:r>
          </w:p>
        </w:tc>
        <w:tc>
          <w:tcPr>
            <w:tcW w:w="50" w:type="pct"/>
            <w:shd w:val="clear" w:color="auto" w:fill="CCEEFF"/>
            <w:noWrap/>
            <w:vAlign w:val="center"/>
            <w:hideMark/>
          </w:tcPr>
          <w:p w14:paraId="2B815B2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91D60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1CCD0F7" w14:textId="77777777" w:rsidR="00000000" w:rsidRDefault="00EB4933">
            <w:pPr>
              <w:jc w:val="right"/>
              <w:rPr>
                <w:rFonts w:eastAsia="Times New Roman"/>
                <w:sz w:val="20"/>
                <w:szCs w:val="20"/>
              </w:rPr>
            </w:pPr>
            <w:r>
              <w:rPr>
                <w:rFonts w:eastAsia="Times New Roman"/>
                <w:sz w:val="20"/>
                <w:szCs w:val="20"/>
              </w:rPr>
              <w:t>27,804</w:t>
            </w:r>
          </w:p>
        </w:tc>
        <w:tc>
          <w:tcPr>
            <w:tcW w:w="50" w:type="pct"/>
            <w:shd w:val="clear" w:color="auto" w:fill="CCEEFF"/>
            <w:noWrap/>
            <w:vAlign w:val="center"/>
            <w:hideMark/>
          </w:tcPr>
          <w:p w14:paraId="4979685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A414C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BD6A2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39E8142" w14:textId="77777777" w:rsidR="00000000" w:rsidRDefault="00EB4933">
            <w:pPr>
              <w:jc w:val="right"/>
              <w:rPr>
                <w:rFonts w:eastAsia="Times New Roman"/>
                <w:sz w:val="20"/>
                <w:szCs w:val="20"/>
              </w:rPr>
            </w:pPr>
            <w:r>
              <w:rPr>
                <w:rFonts w:eastAsia="Times New Roman"/>
                <w:sz w:val="20"/>
                <w:szCs w:val="20"/>
              </w:rPr>
              <w:t>1,735</w:t>
            </w:r>
          </w:p>
        </w:tc>
        <w:tc>
          <w:tcPr>
            <w:tcW w:w="50" w:type="pct"/>
            <w:shd w:val="clear" w:color="auto" w:fill="CCEEFF"/>
            <w:noWrap/>
            <w:vAlign w:val="center"/>
            <w:hideMark/>
          </w:tcPr>
          <w:p w14:paraId="52D19D10" w14:textId="77777777" w:rsidR="00000000" w:rsidRDefault="00EB4933">
            <w:pPr>
              <w:pStyle w:val="NormalWeb"/>
              <w:spacing w:before="0" w:beforeAutospacing="0" w:after="0" w:afterAutospacing="0"/>
              <w:rPr>
                <w:sz w:val="20"/>
                <w:szCs w:val="20"/>
              </w:rPr>
            </w:pPr>
            <w:r>
              <w:rPr>
                <w:sz w:val="20"/>
                <w:szCs w:val="20"/>
              </w:rPr>
              <w:t> </w:t>
            </w:r>
          </w:p>
        </w:tc>
      </w:tr>
      <w:tr w:rsidR="00000000" w14:paraId="26872853" w14:textId="77777777">
        <w:trPr>
          <w:divId w:val="98525094"/>
          <w:trHeight w:val="225"/>
          <w:tblCellSpacing w:w="15" w:type="dxa"/>
        </w:trPr>
        <w:tc>
          <w:tcPr>
            <w:tcW w:w="0" w:type="auto"/>
            <w:shd w:val="clear" w:color="auto" w:fill="FFFFFF"/>
            <w:hideMark/>
          </w:tcPr>
          <w:p w14:paraId="1EE2D0B2" w14:textId="77777777" w:rsidR="00000000" w:rsidRDefault="00EB4933">
            <w:pPr>
              <w:pStyle w:val="NormalWeb"/>
              <w:spacing w:before="0" w:beforeAutospacing="0" w:after="0" w:afterAutospacing="0"/>
              <w:rPr>
                <w:sz w:val="20"/>
                <w:szCs w:val="20"/>
              </w:rPr>
            </w:pPr>
            <w:r>
              <w:rPr>
                <w:sz w:val="20"/>
                <w:szCs w:val="20"/>
              </w:rPr>
              <w:t>Accrued expenses</w:t>
            </w:r>
          </w:p>
        </w:tc>
        <w:tc>
          <w:tcPr>
            <w:tcW w:w="50" w:type="pct"/>
            <w:shd w:val="clear" w:color="auto" w:fill="FFFFFF"/>
            <w:noWrap/>
            <w:vAlign w:val="center"/>
            <w:hideMark/>
          </w:tcPr>
          <w:p w14:paraId="7E6CEFC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37076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E239BC3" w14:textId="77777777" w:rsidR="00000000" w:rsidRDefault="00EB4933">
            <w:pPr>
              <w:jc w:val="right"/>
              <w:rPr>
                <w:rFonts w:eastAsia="Times New Roman"/>
                <w:sz w:val="20"/>
                <w:szCs w:val="20"/>
              </w:rPr>
            </w:pPr>
            <w:r>
              <w:rPr>
                <w:rFonts w:eastAsia="Times New Roman"/>
                <w:sz w:val="20"/>
                <w:szCs w:val="20"/>
              </w:rPr>
              <w:t>5,734</w:t>
            </w:r>
          </w:p>
        </w:tc>
        <w:tc>
          <w:tcPr>
            <w:tcW w:w="50" w:type="pct"/>
            <w:shd w:val="clear" w:color="auto" w:fill="FFFFFF"/>
            <w:noWrap/>
            <w:vAlign w:val="center"/>
            <w:hideMark/>
          </w:tcPr>
          <w:p w14:paraId="771B5B2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850D2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55B81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983B24E" w14:textId="77777777" w:rsidR="00000000" w:rsidRDefault="00EB4933">
            <w:pPr>
              <w:jc w:val="right"/>
              <w:rPr>
                <w:rFonts w:eastAsia="Times New Roman"/>
                <w:sz w:val="20"/>
                <w:szCs w:val="20"/>
              </w:rPr>
            </w:pPr>
            <w:r>
              <w:rPr>
                <w:rFonts w:eastAsia="Times New Roman"/>
                <w:sz w:val="20"/>
                <w:szCs w:val="20"/>
              </w:rPr>
              <w:t>5,515</w:t>
            </w:r>
          </w:p>
        </w:tc>
        <w:tc>
          <w:tcPr>
            <w:tcW w:w="50" w:type="pct"/>
            <w:shd w:val="clear" w:color="auto" w:fill="FFFFFF"/>
            <w:noWrap/>
            <w:vAlign w:val="center"/>
            <w:hideMark/>
          </w:tcPr>
          <w:p w14:paraId="6C5C2869" w14:textId="77777777" w:rsidR="00000000" w:rsidRDefault="00EB4933">
            <w:pPr>
              <w:pStyle w:val="NormalWeb"/>
              <w:spacing w:before="0" w:beforeAutospacing="0" w:after="0" w:afterAutospacing="0"/>
              <w:rPr>
                <w:sz w:val="20"/>
                <w:szCs w:val="20"/>
              </w:rPr>
            </w:pPr>
            <w:r>
              <w:rPr>
                <w:sz w:val="20"/>
                <w:szCs w:val="20"/>
              </w:rPr>
              <w:t> </w:t>
            </w:r>
          </w:p>
        </w:tc>
      </w:tr>
      <w:tr w:rsidR="00000000" w14:paraId="22AE9E06" w14:textId="77777777">
        <w:trPr>
          <w:divId w:val="98525094"/>
          <w:trHeight w:val="225"/>
          <w:tblCellSpacing w:w="15" w:type="dxa"/>
        </w:trPr>
        <w:tc>
          <w:tcPr>
            <w:tcW w:w="0" w:type="auto"/>
            <w:shd w:val="clear" w:color="auto" w:fill="CCEEFF"/>
            <w:hideMark/>
          </w:tcPr>
          <w:p w14:paraId="2A22CC73" w14:textId="77777777" w:rsidR="00000000" w:rsidRDefault="00EB4933">
            <w:pPr>
              <w:pStyle w:val="NormalWeb"/>
              <w:spacing w:before="0" w:beforeAutospacing="0" w:after="0" w:afterAutospacing="0"/>
              <w:rPr>
                <w:sz w:val="20"/>
                <w:szCs w:val="20"/>
              </w:rPr>
            </w:pPr>
            <w:r>
              <w:rPr>
                <w:sz w:val="20"/>
                <w:szCs w:val="20"/>
              </w:rPr>
              <w:t>Other taxes payable</w:t>
            </w:r>
            <w:r>
              <w:rPr>
                <w:sz w:val="20"/>
                <w:szCs w:val="20"/>
                <w:vertAlign w:val="superscript"/>
              </w:rPr>
              <w:t>(2)</w:t>
            </w:r>
          </w:p>
        </w:tc>
        <w:tc>
          <w:tcPr>
            <w:tcW w:w="50" w:type="pct"/>
            <w:shd w:val="clear" w:color="auto" w:fill="CCEEFF"/>
            <w:noWrap/>
            <w:vAlign w:val="center"/>
            <w:hideMark/>
          </w:tcPr>
          <w:p w14:paraId="140A188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25B576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534968E" w14:textId="77777777" w:rsidR="00000000" w:rsidRDefault="00EB4933">
            <w:pPr>
              <w:jc w:val="right"/>
              <w:rPr>
                <w:rFonts w:eastAsia="Times New Roman"/>
                <w:sz w:val="20"/>
                <w:szCs w:val="20"/>
              </w:rPr>
            </w:pPr>
            <w:r>
              <w:rPr>
                <w:rFonts w:eastAsia="Times New Roman"/>
                <w:sz w:val="20"/>
                <w:szCs w:val="20"/>
              </w:rPr>
              <w:t>1,722</w:t>
            </w:r>
          </w:p>
        </w:tc>
        <w:tc>
          <w:tcPr>
            <w:tcW w:w="50" w:type="pct"/>
            <w:shd w:val="clear" w:color="auto" w:fill="CCEEFF"/>
            <w:noWrap/>
            <w:tcMar>
              <w:top w:w="0" w:type="dxa"/>
              <w:left w:w="0" w:type="dxa"/>
              <w:bottom w:w="15" w:type="dxa"/>
              <w:right w:w="0" w:type="dxa"/>
            </w:tcMar>
            <w:vAlign w:val="center"/>
            <w:hideMark/>
          </w:tcPr>
          <w:p w14:paraId="2D80AFC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E38E1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0CE5EA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810CCF0" w14:textId="77777777" w:rsidR="00000000" w:rsidRDefault="00EB4933">
            <w:pPr>
              <w:jc w:val="right"/>
              <w:rPr>
                <w:rFonts w:eastAsia="Times New Roman"/>
                <w:sz w:val="20"/>
                <w:szCs w:val="20"/>
              </w:rPr>
            </w:pPr>
            <w:r>
              <w:rPr>
                <w:rFonts w:eastAsia="Times New Roman"/>
                <w:sz w:val="20"/>
                <w:szCs w:val="20"/>
              </w:rPr>
              <w:t>1,984</w:t>
            </w:r>
          </w:p>
        </w:tc>
        <w:tc>
          <w:tcPr>
            <w:tcW w:w="50" w:type="pct"/>
            <w:shd w:val="clear" w:color="auto" w:fill="CCEEFF"/>
            <w:noWrap/>
            <w:tcMar>
              <w:top w:w="0" w:type="dxa"/>
              <w:left w:w="0" w:type="dxa"/>
              <w:bottom w:w="15" w:type="dxa"/>
              <w:right w:w="0" w:type="dxa"/>
            </w:tcMar>
            <w:vAlign w:val="center"/>
            <w:hideMark/>
          </w:tcPr>
          <w:p w14:paraId="0792B822" w14:textId="77777777" w:rsidR="00000000" w:rsidRDefault="00EB4933">
            <w:pPr>
              <w:pStyle w:val="NormalWeb"/>
              <w:spacing w:before="0" w:beforeAutospacing="0" w:after="0" w:afterAutospacing="0"/>
              <w:rPr>
                <w:sz w:val="20"/>
                <w:szCs w:val="20"/>
              </w:rPr>
            </w:pPr>
            <w:r>
              <w:rPr>
                <w:sz w:val="20"/>
                <w:szCs w:val="20"/>
              </w:rPr>
              <w:t> </w:t>
            </w:r>
          </w:p>
        </w:tc>
      </w:tr>
      <w:tr w:rsidR="00000000" w14:paraId="18C865FD" w14:textId="77777777">
        <w:trPr>
          <w:divId w:val="98525094"/>
          <w:trHeight w:val="225"/>
          <w:tblCellSpacing w:w="15" w:type="dxa"/>
        </w:trPr>
        <w:tc>
          <w:tcPr>
            <w:tcW w:w="0" w:type="auto"/>
            <w:shd w:val="clear" w:color="auto" w:fill="FFFFFF"/>
            <w:hideMark/>
          </w:tcPr>
          <w:p w14:paraId="1FF107B6" w14:textId="77777777" w:rsidR="00000000" w:rsidRDefault="00EB4933">
            <w:pPr>
              <w:pStyle w:val="NormalWeb"/>
              <w:spacing w:before="0" w:beforeAutospacing="0" w:after="0" w:afterAutospacing="0"/>
              <w:rPr>
                <w:sz w:val="20"/>
                <w:szCs w:val="20"/>
              </w:rPr>
            </w:pPr>
            <w:r>
              <w:rPr>
                <w:sz w:val="20"/>
                <w:szCs w:val="20"/>
              </w:rPr>
              <w:t>Total</w:t>
            </w:r>
          </w:p>
        </w:tc>
        <w:tc>
          <w:tcPr>
            <w:tcW w:w="50" w:type="pct"/>
            <w:shd w:val="clear" w:color="auto" w:fill="FFFFFF"/>
            <w:noWrap/>
            <w:vAlign w:val="center"/>
            <w:hideMark/>
          </w:tcPr>
          <w:p w14:paraId="7CC1A3C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2BB5C70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77A127CA" w14:textId="77777777" w:rsidR="00000000" w:rsidRDefault="00EB4933">
            <w:pPr>
              <w:jc w:val="right"/>
              <w:rPr>
                <w:rFonts w:eastAsia="Times New Roman"/>
                <w:sz w:val="20"/>
                <w:szCs w:val="20"/>
              </w:rPr>
            </w:pPr>
            <w:r>
              <w:rPr>
                <w:rFonts w:eastAsia="Times New Roman"/>
                <w:sz w:val="20"/>
                <w:szCs w:val="20"/>
              </w:rPr>
              <w:t>35,260</w:t>
            </w:r>
          </w:p>
        </w:tc>
        <w:tc>
          <w:tcPr>
            <w:tcW w:w="50" w:type="pct"/>
            <w:shd w:val="clear" w:color="auto" w:fill="FFFFFF"/>
            <w:noWrap/>
            <w:tcMar>
              <w:top w:w="0" w:type="dxa"/>
              <w:left w:w="0" w:type="dxa"/>
              <w:bottom w:w="45" w:type="dxa"/>
              <w:right w:w="0" w:type="dxa"/>
            </w:tcMar>
            <w:vAlign w:val="center"/>
            <w:hideMark/>
          </w:tcPr>
          <w:p w14:paraId="7C805ED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C2BAF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408B686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3F301220" w14:textId="77777777" w:rsidR="00000000" w:rsidRDefault="00EB4933">
            <w:pPr>
              <w:jc w:val="right"/>
              <w:rPr>
                <w:rFonts w:eastAsia="Times New Roman"/>
                <w:sz w:val="20"/>
                <w:szCs w:val="20"/>
              </w:rPr>
            </w:pPr>
            <w:r>
              <w:rPr>
                <w:rFonts w:eastAsia="Times New Roman"/>
                <w:sz w:val="20"/>
                <w:szCs w:val="20"/>
              </w:rPr>
              <w:t>9,234</w:t>
            </w:r>
          </w:p>
        </w:tc>
        <w:tc>
          <w:tcPr>
            <w:tcW w:w="50" w:type="pct"/>
            <w:shd w:val="clear" w:color="auto" w:fill="FFFFFF"/>
            <w:noWrap/>
            <w:tcMar>
              <w:top w:w="0" w:type="dxa"/>
              <w:left w:w="0" w:type="dxa"/>
              <w:bottom w:w="45" w:type="dxa"/>
              <w:right w:w="0" w:type="dxa"/>
            </w:tcMar>
            <w:vAlign w:val="center"/>
            <w:hideMark/>
          </w:tcPr>
          <w:p w14:paraId="32343B01" w14:textId="77777777" w:rsidR="00000000" w:rsidRDefault="00EB4933">
            <w:pPr>
              <w:pStyle w:val="NormalWeb"/>
              <w:spacing w:before="0" w:beforeAutospacing="0" w:after="0" w:afterAutospacing="0"/>
              <w:rPr>
                <w:sz w:val="20"/>
                <w:szCs w:val="20"/>
              </w:rPr>
            </w:pPr>
            <w:r>
              <w:rPr>
                <w:sz w:val="20"/>
                <w:szCs w:val="20"/>
              </w:rPr>
              <w:t> </w:t>
            </w:r>
          </w:p>
        </w:tc>
      </w:tr>
    </w:tbl>
    <w:p w14:paraId="5AFD5F7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5446026" w14:textId="77777777" w:rsidR="00000000" w:rsidRDefault="00EB4933">
      <w:pPr>
        <w:pStyle w:val="NormalWeb"/>
        <w:spacing w:before="0" w:beforeAutospacing="0" w:after="0" w:afterAutospacing="0"/>
        <w:ind w:left="675"/>
        <w:jc w:val="both"/>
        <w:divId w:val="98525094"/>
        <w:rPr>
          <w:sz w:val="20"/>
          <w:szCs w:val="20"/>
        </w:rPr>
      </w:pPr>
      <w:r>
        <w:rPr>
          <w:sz w:val="20"/>
          <w:szCs w:val="20"/>
          <w:vertAlign w:val="superscript"/>
        </w:rPr>
        <w:t>(1)</w:t>
      </w:r>
      <w:r>
        <w:rPr>
          <w:sz w:val="20"/>
          <w:szCs w:val="20"/>
        </w:rPr>
        <w:t xml:space="preserve"> </w:t>
      </w:r>
      <w:r>
        <w:rPr>
          <w:sz w:val="20"/>
          <w:szCs w:val="20"/>
        </w:rPr>
        <w:t>See Note 27 of Notes to the Consolidated Financial Statements, Section 6. Reverse merger expenses and operating expenses payable to a related party, Section 7. Advisory expenses payable to a related party, Section 8. Intermediary agreement payable to a rel</w:t>
      </w:r>
      <w:r>
        <w:rPr>
          <w:sz w:val="20"/>
          <w:szCs w:val="20"/>
        </w:rPr>
        <w:t>ated party and Section 9. Funds provided by related parties for payments to certain loans payable for detailed disclosure.</w:t>
      </w:r>
    </w:p>
    <w:p w14:paraId="6B297EAC" w14:textId="77777777" w:rsidR="00000000" w:rsidRDefault="00EB4933">
      <w:pPr>
        <w:pStyle w:val="NormalWeb"/>
        <w:spacing w:before="0" w:beforeAutospacing="0" w:after="0" w:afterAutospacing="0"/>
        <w:ind w:left="675"/>
        <w:jc w:val="both"/>
        <w:divId w:val="98525094"/>
        <w:rPr>
          <w:sz w:val="20"/>
          <w:szCs w:val="20"/>
        </w:rPr>
      </w:pPr>
      <w:r>
        <w:rPr>
          <w:sz w:val="20"/>
          <w:szCs w:val="20"/>
        </w:rPr>
        <w:t> </w:t>
      </w:r>
    </w:p>
    <w:p w14:paraId="31ED89C4" w14:textId="77777777" w:rsidR="00000000" w:rsidRDefault="00EB4933">
      <w:pPr>
        <w:pStyle w:val="NormalWeb"/>
        <w:spacing w:before="0" w:beforeAutospacing="0" w:after="0" w:afterAutospacing="0"/>
        <w:ind w:left="675"/>
        <w:jc w:val="both"/>
        <w:divId w:val="98525094"/>
        <w:rPr>
          <w:sz w:val="20"/>
          <w:szCs w:val="20"/>
        </w:rPr>
      </w:pPr>
      <w:r>
        <w:rPr>
          <w:sz w:val="20"/>
          <w:szCs w:val="20"/>
          <w:vertAlign w:val="superscript"/>
        </w:rPr>
        <w:t>(2)</w:t>
      </w:r>
      <w:r>
        <w:rPr>
          <w:sz w:val="20"/>
          <w:szCs w:val="20"/>
        </w:rPr>
        <w:t xml:space="preserve"> Other taxes payable include value-added taxes, urban construction and maintenance taxes, educational surcharge tax, local educa</w:t>
      </w:r>
      <w:r>
        <w:rPr>
          <w:sz w:val="20"/>
          <w:szCs w:val="20"/>
        </w:rPr>
        <w:t>tion surcharge tax, disability insurance tax, property tax and urban land use tax, which are all outstanding to the State Administration of Taxation since 2018.</w:t>
      </w:r>
    </w:p>
    <w:p w14:paraId="00CAF2A8" w14:textId="77777777" w:rsidR="00000000" w:rsidRDefault="00EB4933">
      <w:pPr>
        <w:pStyle w:val="NormalWeb"/>
        <w:spacing w:before="0" w:beforeAutospacing="0" w:after="0" w:afterAutospacing="0"/>
        <w:ind w:left="117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A2A4322" w14:textId="77777777">
        <w:trPr>
          <w:divId w:val="98525094"/>
          <w:trHeight w:val="225"/>
          <w:tblCellSpacing w:w="15" w:type="dxa"/>
        </w:trPr>
        <w:tc>
          <w:tcPr>
            <w:tcW w:w="0" w:type="auto"/>
            <w:vAlign w:val="center"/>
            <w:hideMark/>
          </w:tcPr>
          <w:p w14:paraId="04CBD154" w14:textId="77777777" w:rsidR="00000000" w:rsidRDefault="00EB4933">
            <w:pPr>
              <w:rPr>
                <w:rFonts w:eastAsia="Times New Roman"/>
                <w:sz w:val="20"/>
                <w:szCs w:val="20"/>
              </w:rPr>
            </w:pPr>
            <w:r>
              <w:rPr>
                <w:rFonts w:eastAsia="Times New Roman"/>
                <w:sz w:val="20"/>
                <w:szCs w:val="20"/>
              </w:rPr>
              <w:t> </w:t>
            </w:r>
          </w:p>
        </w:tc>
      </w:tr>
      <w:tr w:rsidR="00000000" w14:paraId="535D50C0" w14:textId="77777777">
        <w:trPr>
          <w:divId w:val="98525094"/>
          <w:trHeight w:val="225"/>
          <w:tblCellSpacing w:w="15" w:type="dxa"/>
        </w:trPr>
        <w:tc>
          <w:tcPr>
            <w:tcW w:w="0" w:type="auto"/>
            <w:tcBorders>
              <w:bottom w:val="single" w:sz="6" w:space="0" w:color="000000"/>
            </w:tcBorders>
            <w:vAlign w:val="center"/>
            <w:hideMark/>
          </w:tcPr>
          <w:p w14:paraId="625E367D" w14:textId="77777777" w:rsidR="00000000" w:rsidRDefault="00EB4933">
            <w:pPr>
              <w:jc w:val="center"/>
              <w:rPr>
                <w:rFonts w:eastAsia="Times New Roman"/>
                <w:sz w:val="20"/>
                <w:szCs w:val="20"/>
              </w:rPr>
            </w:pPr>
            <w:r>
              <w:rPr>
                <w:rFonts w:eastAsia="Times New Roman"/>
                <w:sz w:val="20"/>
                <w:szCs w:val="20"/>
              </w:rPr>
              <w:t>F-59</w:t>
            </w:r>
          </w:p>
        </w:tc>
      </w:tr>
      <w:tr w:rsidR="00000000" w14:paraId="3266208B" w14:textId="77777777">
        <w:trPr>
          <w:divId w:val="98525094"/>
          <w:trHeight w:val="225"/>
          <w:tblCellSpacing w:w="15" w:type="dxa"/>
        </w:trPr>
        <w:tc>
          <w:tcPr>
            <w:tcW w:w="0" w:type="auto"/>
            <w:vAlign w:val="center"/>
            <w:hideMark/>
          </w:tcPr>
          <w:p w14:paraId="3DEFC505" w14:textId="77777777" w:rsidR="00000000" w:rsidRDefault="00EB4933">
            <w:pPr>
              <w:rPr>
                <w:rFonts w:eastAsia="Times New Roman"/>
                <w:sz w:val="20"/>
                <w:szCs w:val="20"/>
              </w:rPr>
            </w:pPr>
          </w:p>
        </w:tc>
      </w:tr>
      <w:tr w:rsidR="00000000" w14:paraId="49C03B8A" w14:textId="77777777">
        <w:trPr>
          <w:divId w:val="98525094"/>
          <w:trHeight w:val="225"/>
          <w:tblCellSpacing w:w="15" w:type="dxa"/>
        </w:trPr>
        <w:tc>
          <w:tcPr>
            <w:tcW w:w="0" w:type="auto"/>
            <w:vAlign w:val="center"/>
            <w:hideMark/>
          </w:tcPr>
          <w:p w14:paraId="12FB322A" w14:textId="77777777" w:rsidR="00000000" w:rsidRDefault="00EB4933">
            <w:pPr>
              <w:rPr>
                <w:rFonts w:eastAsia="Times New Roman"/>
                <w:sz w:val="20"/>
                <w:szCs w:val="20"/>
              </w:rPr>
            </w:pPr>
            <w:hyperlink r:id="rId276" w:anchor="finindex" w:history="1">
              <w:r>
                <w:rPr>
                  <w:rStyle w:val="Hyperlink"/>
                  <w:rFonts w:eastAsia="Times New Roman"/>
                  <w:i/>
                  <w:iCs/>
                  <w:sz w:val="20"/>
                  <w:szCs w:val="20"/>
                </w:rPr>
                <w:t>Table of Contents</w:t>
              </w:r>
            </w:hyperlink>
          </w:p>
        </w:tc>
      </w:tr>
    </w:tbl>
    <w:p w14:paraId="6EB9058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B15270A"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05878A2C"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3BCC5DCD"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2A37549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7B42960" w14:textId="77777777" w:rsidR="00000000" w:rsidRDefault="00EB4933">
      <w:pPr>
        <w:pStyle w:val="NormalWeb"/>
        <w:spacing w:before="0" w:beforeAutospacing="0" w:after="0" w:afterAutospacing="0"/>
        <w:jc w:val="both"/>
        <w:divId w:val="98525094"/>
        <w:rPr>
          <w:sz w:val="20"/>
          <w:szCs w:val="20"/>
        </w:rPr>
      </w:pPr>
      <w:r>
        <w:rPr>
          <w:rStyle w:val="Strong"/>
          <w:sz w:val="20"/>
          <w:szCs w:val="20"/>
        </w:rPr>
        <w:t>24. Share capital and additional paid-in capital</w:t>
      </w:r>
    </w:p>
    <w:p w14:paraId="45A41487"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30B06528" w14:textId="77777777">
        <w:trPr>
          <w:divId w:val="98525094"/>
          <w:trHeight w:val="225"/>
          <w:tblCellSpacing w:w="15" w:type="dxa"/>
        </w:trPr>
        <w:tc>
          <w:tcPr>
            <w:tcW w:w="200" w:type="pct"/>
            <w:vAlign w:val="center"/>
            <w:hideMark/>
          </w:tcPr>
          <w:p w14:paraId="42B451EA"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1AB753CE" w14:textId="77777777" w:rsidR="00000000" w:rsidRDefault="00EB4933">
            <w:pPr>
              <w:pStyle w:val="NormalWeb"/>
              <w:spacing w:before="0" w:beforeAutospacing="0" w:after="0" w:afterAutospacing="0"/>
              <w:rPr>
                <w:sz w:val="20"/>
                <w:szCs w:val="20"/>
              </w:rPr>
            </w:pPr>
            <w:r>
              <w:rPr>
                <w:sz w:val="20"/>
                <w:szCs w:val="20"/>
              </w:rPr>
              <w:t xml:space="preserve">(a) </w:t>
            </w:r>
          </w:p>
        </w:tc>
        <w:tc>
          <w:tcPr>
            <w:tcW w:w="0" w:type="auto"/>
            <w:hideMark/>
          </w:tcPr>
          <w:p w14:paraId="0616B87E" w14:textId="77777777" w:rsidR="00000000" w:rsidRDefault="00EB4933">
            <w:pPr>
              <w:rPr>
                <w:rFonts w:eastAsia="Times New Roman"/>
                <w:sz w:val="20"/>
                <w:szCs w:val="20"/>
              </w:rPr>
            </w:pPr>
            <w:r>
              <w:rPr>
                <w:rFonts w:eastAsia="Times New Roman"/>
                <w:sz w:val="20"/>
                <w:szCs w:val="20"/>
              </w:rPr>
              <w:t>Authorized share capital</w:t>
            </w:r>
          </w:p>
        </w:tc>
      </w:tr>
    </w:tbl>
    <w:p w14:paraId="7A258FE3"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p w14:paraId="0E0DE7F0" w14:textId="77777777" w:rsidR="00000000" w:rsidRDefault="00EB4933">
      <w:pPr>
        <w:pStyle w:val="NormalWeb"/>
        <w:spacing w:before="0" w:beforeAutospacing="0" w:after="0" w:afterAutospacing="0"/>
        <w:ind w:left="1350"/>
        <w:jc w:val="both"/>
        <w:divId w:val="98525094"/>
        <w:rPr>
          <w:sz w:val="20"/>
          <w:szCs w:val="20"/>
        </w:rPr>
      </w:pPr>
      <w:r>
        <w:rPr>
          <w:sz w:val="20"/>
          <w:szCs w:val="20"/>
        </w:rPr>
        <w:t>In June 2010, the Company was incorpor</w:t>
      </w:r>
      <w:r>
        <w:rPr>
          <w:sz w:val="20"/>
          <w:szCs w:val="20"/>
        </w:rPr>
        <w:t>ated in the Cayman Islands with an authorized share capital of one billion shares, par value of $0.00005, of which 20,000 shares were issued at incorporation. On March 1, 2018, the authorized share capital of the Company increased from $50,000 divided into</w:t>
      </w:r>
      <w:r>
        <w:rPr>
          <w:sz w:val="20"/>
          <w:szCs w:val="20"/>
        </w:rPr>
        <w:t xml:space="preserve"> 1,000,000,000 Ordinary Shares of a par value of $0.00005 each to $100,000 divided into 2,000,000,000 Ordinary Shares of a par value of $0.00005 each by the creation of an additional 1,000,000,000 Ordinary Shares of a par value of $0.00005 each to rank par</w:t>
      </w:r>
      <w:r>
        <w:rPr>
          <w:sz w:val="20"/>
          <w:szCs w:val="20"/>
        </w:rPr>
        <w:t>i passu in all respects with the existing Ordinary Shares.</w:t>
      </w:r>
    </w:p>
    <w:p w14:paraId="46878807"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0623C755" w14:textId="77777777">
        <w:trPr>
          <w:divId w:val="98525094"/>
          <w:trHeight w:val="225"/>
          <w:tblCellSpacing w:w="15" w:type="dxa"/>
        </w:trPr>
        <w:tc>
          <w:tcPr>
            <w:tcW w:w="200" w:type="pct"/>
            <w:vAlign w:val="center"/>
            <w:hideMark/>
          </w:tcPr>
          <w:p w14:paraId="587A43F7"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658E493F" w14:textId="77777777" w:rsidR="00000000" w:rsidRDefault="00EB4933">
            <w:pPr>
              <w:pStyle w:val="NormalWeb"/>
              <w:spacing w:before="0" w:beforeAutospacing="0" w:after="0" w:afterAutospacing="0"/>
              <w:rPr>
                <w:sz w:val="20"/>
                <w:szCs w:val="20"/>
              </w:rPr>
            </w:pPr>
            <w:r>
              <w:rPr>
                <w:sz w:val="20"/>
                <w:szCs w:val="20"/>
              </w:rPr>
              <w:t xml:space="preserve">(b) </w:t>
            </w:r>
          </w:p>
        </w:tc>
        <w:tc>
          <w:tcPr>
            <w:tcW w:w="0" w:type="auto"/>
            <w:hideMark/>
          </w:tcPr>
          <w:p w14:paraId="1E9CF305" w14:textId="77777777" w:rsidR="00000000" w:rsidRDefault="00EB4933">
            <w:pPr>
              <w:rPr>
                <w:rFonts w:eastAsia="Times New Roman"/>
                <w:sz w:val="20"/>
                <w:szCs w:val="20"/>
              </w:rPr>
            </w:pPr>
            <w:r>
              <w:rPr>
                <w:rFonts w:eastAsia="Times New Roman"/>
                <w:sz w:val="20"/>
                <w:szCs w:val="20"/>
              </w:rPr>
              <w:t>Issued share capital and additional paid-in capital</w:t>
            </w:r>
          </w:p>
        </w:tc>
      </w:tr>
    </w:tbl>
    <w:p w14:paraId="25A2CA6B"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1989"/>
        <w:gridCol w:w="88"/>
        <w:gridCol w:w="169"/>
        <w:gridCol w:w="862"/>
        <w:gridCol w:w="88"/>
        <w:gridCol w:w="88"/>
        <w:gridCol w:w="145"/>
        <w:gridCol w:w="719"/>
        <w:gridCol w:w="89"/>
        <w:gridCol w:w="89"/>
        <w:gridCol w:w="156"/>
        <w:gridCol w:w="786"/>
        <w:gridCol w:w="97"/>
        <w:gridCol w:w="82"/>
        <w:gridCol w:w="145"/>
        <w:gridCol w:w="719"/>
        <w:gridCol w:w="97"/>
        <w:gridCol w:w="83"/>
        <w:gridCol w:w="160"/>
        <w:gridCol w:w="804"/>
        <w:gridCol w:w="97"/>
        <w:gridCol w:w="83"/>
        <w:gridCol w:w="145"/>
        <w:gridCol w:w="719"/>
        <w:gridCol w:w="112"/>
      </w:tblGrid>
      <w:tr w:rsidR="00000000" w14:paraId="156D5434" w14:textId="77777777">
        <w:trPr>
          <w:divId w:val="98525094"/>
          <w:trHeight w:val="225"/>
          <w:tblCellSpacing w:w="15" w:type="dxa"/>
        </w:trPr>
        <w:tc>
          <w:tcPr>
            <w:tcW w:w="0" w:type="auto"/>
            <w:vAlign w:val="center"/>
            <w:hideMark/>
          </w:tcPr>
          <w:p w14:paraId="713C29BC"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C19FA59"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7BA5F548" w14:textId="77777777" w:rsidR="00000000" w:rsidRDefault="00EB4933">
            <w:pPr>
              <w:pStyle w:val="NormalWeb"/>
              <w:spacing w:before="0" w:beforeAutospacing="0" w:after="0" w:afterAutospacing="0"/>
              <w:jc w:val="center"/>
              <w:rPr>
                <w:sz w:val="20"/>
                <w:szCs w:val="20"/>
              </w:rPr>
            </w:pPr>
            <w:r>
              <w:rPr>
                <w:rStyle w:val="Strong"/>
                <w:sz w:val="20"/>
                <w:szCs w:val="20"/>
              </w:rPr>
              <w:t xml:space="preserve">Number </w:t>
            </w:r>
          </w:p>
          <w:p w14:paraId="28BFB9E7" w14:textId="77777777" w:rsidR="00000000" w:rsidRDefault="00EB4933">
            <w:pPr>
              <w:pStyle w:val="NormalWeb"/>
              <w:spacing w:before="0" w:beforeAutospacing="0" w:after="0" w:afterAutospacing="0"/>
              <w:jc w:val="center"/>
              <w:rPr>
                <w:sz w:val="20"/>
                <w:szCs w:val="20"/>
              </w:rPr>
            </w:pPr>
            <w:r>
              <w:rPr>
                <w:rStyle w:val="Strong"/>
                <w:sz w:val="20"/>
                <w:szCs w:val="20"/>
              </w:rPr>
              <w:t>of</w:t>
            </w:r>
          </w:p>
          <w:p w14:paraId="5E4B9860" w14:textId="77777777" w:rsidR="00000000" w:rsidRDefault="00EB4933">
            <w:pPr>
              <w:pStyle w:val="NormalWeb"/>
              <w:spacing w:before="0" w:beforeAutospacing="0" w:after="0" w:afterAutospacing="0"/>
              <w:jc w:val="center"/>
              <w:rPr>
                <w:sz w:val="20"/>
                <w:szCs w:val="20"/>
              </w:rPr>
            </w:pPr>
            <w:r>
              <w:rPr>
                <w:rStyle w:val="Strong"/>
                <w:sz w:val="20"/>
                <w:szCs w:val="20"/>
              </w:rPr>
              <w:t>shares</w:t>
            </w:r>
          </w:p>
        </w:tc>
        <w:tc>
          <w:tcPr>
            <w:tcW w:w="0" w:type="auto"/>
            <w:noWrap/>
            <w:vAlign w:val="center"/>
            <w:hideMark/>
          </w:tcPr>
          <w:p w14:paraId="15218354"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1B7E8EF"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476FF43D" w14:textId="77777777" w:rsidR="00000000" w:rsidRDefault="00EB4933">
            <w:pPr>
              <w:pStyle w:val="NormalWeb"/>
              <w:spacing w:before="0" w:beforeAutospacing="0" w:after="0" w:afterAutospacing="0"/>
              <w:jc w:val="center"/>
              <w:rPr>
                <w:sz w:val="20"/>
                <w:szCs w:val="20"/>
              </w:rPr>
            </w:pPr>
            <w:r>
              <w:rPr>
                <w:rStyle w:val="Strong"/>
                <w:sz w:val="20"/>
                <w:szCs w:val="20"/>
              </w:rPr>
              <w:t>Ordinary</w:t>
            </w:r>
          </w:p>
          <w:p w14:paraId="2CF992B7" w14:textId="77777777" w:rsidR="00000000" w:rsidRDefault="00EB4933">
            <w:pPr>
              <w:pStyle w:val="NormalWeb"/>
              <w:spacing w:before="0" w:beforeAutospacing="0" w:after="0" w:afterAutospacing="0"/>
              <w:jc w:val="center"/>
              <w:rPr>
                <w:sz w:val="20"/>
                <w:szCs w:val="20"/>
              </w:rPr>
            </w:pPr>
            <w:r>
              <w:rPr>
                <w:rStyle w:val="Strong"/>
                <w:sz w:val="20"/>
                <w:szCs w:val="20"/>
              </w:rPr>
              <w:t>shares</w:t>
            </w:r>
          </w:p>
        </w:tc>
        <w:tc>
          <w:tcPr>
            <w:tcW w:w="0" w:type="auto"/>
            <w:noWrap/>
            <w:vAlign w:val="center"/>
            <w:hideMark/>
          </w:tcPr>
          <w:p w14:paraId="7D7E460D"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0525D2D"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22CD7C50" w14:textId="77777777" w:rsidR="00000000" w:rsidRDefault="00EB4933">
            <w:pPr>
              <w:pStyle w:val="NormalWeb"/>
              <w:spacing w:before="0" w:beforeAutospacing="0" w:after="0" w:afterAutospacing="0"/>
              <w:jc w:val="center"/>
              <w:rPr>
                <w:sz w:val="20"/>
                <w:szCs w:val="20"/>
              </w:rPr>
            </w:pPr>
            <w:r>
              <w:rPr>
                <w:rStyle w:val="Strong"/>
                <w:sz w:val="20"/>
                <w:szCs w:val="20"/>
              </w:rPr>
              <w:t>Additional</w:t>
            </w:r>
          </w:p>
          <w:p w14:paraId="4026D15E" w14:textId="77777777" w:rsidR="00000000" w:rsidRDefault="00EB4933">
            <w:pPr>
              <w:pStyle w:val="NormalWeb"/>
              <w:spacing w:before="0" w:beforeAutospacing="0" w:after="0" w:afterAutospacing="0"/>
              <w:jc w:val="center"/>
              <w:rPr>
                <w:sz w:val="20"/>
                <w:szCs w:val="20"/>
              </w:rPr>
            </w:pPr>
            <w:r>
              <w:rPr>
                <w:rStyle w:val="Strong"/>
                <w:sz w:val="20"/>
                <w:szCs w:val="20"/>
              </w:rPr>
              <w:t>paid-in</w:t>
            </w:r>
          </w:p>
          <w:p w14:paraId="2C3AE7DB" w14:textId="77777777" w:rsidR="00000000" w:rsidRDefault="00EB4933">
            <w:pPr>
              <w:pStyle w:val="NormalWeb"/>
              <w:spacing w:before="0" w:beforeAutospacing="0" w:after="0" w:afterAutospacing="0"/>
              <w:jc w:val="center"/>
              <w:rPr>
                <w:sz w:val="20"/>
                <w:szCs w:val="20"/>
              </w:rPr>
            </w:pPr>
            <w:r>
              <w:rPr>
                <w:rStyle w:val="Strong"/>
                <w:sz w:val="20"/>
                <w:szCs w:val="20"/>
              </w:rPr>
              <w:t>capital</w:t>
            </w:r>
          </w:p>
        </w:tc>
        <w:tc>
          <w:tcPr>
            <w:tcW w:w="0" w:type="auto"/>
            <w:noWrap/>
            <w:vAlign w:val="center"/>
            <w:hideMark/>
          </w:tcPr>
          <w:p w14:paraId="6ADD74D4"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CD7D2AA"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0EB9A219" w14:textId="77777777" w:rsidR="00000000" w:rsidRDefault="00EB4933">
            <w:pPr>
              <w:pStyle w:val="NormalWeb"/>
              <w:spacing w:before="0" w:beforeAutospacing="0" w:after="0" w:afterAutospacing="0"/>
              <w:jc w:val="center"/>
              <w:rPr>
                <w:sz w:val="20"/>
                <w:szCs w:val="20"/>
              </w:rPr>
            </w:pPr>
            <w:r>
              <w:rPr>
                <w:rStyle w:val="Strong"/>
                <w:sz w:val="20"/>
                <w:szCs w:val="20"/>
              </w:rPr>
              <w:t>Total</w:t>
            </w:r>
          </w:p>
        </w:tc>
        <w:tc>
          <w:tcPr>
            <w:tcW w:w="0" w:type="auto"/>
            <w:noWrap/>
            <w:vAlign w:val="center"/>
            <w:hideMark/>
          </w:tcPr>
          <w:p w14:paraId="028C4080"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9931071"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79EAA3C1" w14:textId="77777777" w:rsidR="00000000" w:rsidRDefault="00EB4933">
            <w:pPr>
              <w:pStyle w:val="NormalWeb"/>
              <w:spacing w:before="0" w:beforeAutospacing="0" w:after="0" w:afterAutospacing="0"/>
              <w:jc w:val="center"/>
              <w:rPr>
                <w:sz w:val="20"/>
                <w:szCs w:val="20"/>
              </w:rPr>
            </w:pPr>
            <w:r>
              <w:rPr>
                <w:rStyle w:val="Strong"/>
                <w:sz w:val="20"/>
                <w:szCs w:val="20"/>
              </w:rPr>
              <w:t>Non-</w:t>
            </w:r>
          </w:p>
          <w:p w14:paraId="399918C0" w14:textId="77777777" w:rsidR="00000000" w:rsidRDefault="00EB4933">
            <w:pPr>
              <w:pStyle w:val="NormalWeb"/>
              <w:spacing w:before="0" w:beforeAutospacing="0" w:after="0" w:afterAutospacing="0"/>
              <w:jc w:val="center"/>
              <w:rPr>
                <w:sz w:val="20"/>
                <w:szCs w:val="20"/>
              </w:rPr>
            </w:pPr>
            <w:r>
              <w:rPr>
                <w:rStyle w:val="Strong"/>
                <w:sz w:val="20"/>
                <w:szCs w:val="20"/>
              </w:rPr>
              <w:t>controlling</w:t>
            </w:r>
          </w:p>
          <w:p w14:paraId="41575E7C" w14:textId="77777777" w:rsidR="00000000" w:rsidRDefault="00EB4933">
            <w:pPr>
              <w:pStyle w:val="NormalWeb"/>
              <w:spacing w:before="0" w:beforeAutospacing="0" w:after="0" w:afterAutospacing="0"/>
              <w:jc w:val="center"/>
              <w:rPr>
                <w:sz w:val="20"/>
                <w:szCs w:val="20"/>
              </w:rPr>
            </w:pPr>
            <w:r>
              <w:rPr>
                <w:rStyle w:val="Strong"/>
                <w:sz w:val="20"/>
                <w:szCs w:val="20"/>
              </w:rPr>
              <w:t>interest</w:t>
            </w:r>
          </w:p>
        </w:tc>
        <w:tc>
          <w:tcPr>
            <w:tcW w:w="0" w:type="auto"/>
            <w:noWrap/>
            <w:vAlign w:val="center"/>
            <w:hideMark/>
          </w:tcPr>
          <w:p w14:paraId="4FD081A1"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D09DB60"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4E31BC34" w14:textId="77777777" w:rsidR="00000000" w:rsidRDefault="00EB4933">
            <w:pPr>
              <w:pStyle w:val="NormalWeb"/>
              <w:spacing w:before="0" w:beforeAutospacing="0" w:after="0" w:afterAutospacing="0"/>
              <w:jc w:val="center"/>
              <w:rPr>
                <w:sz w:val="20"/>
                <w:szCs w:val="20"/>
              </w:rPr>
            </w:pPr>
            <w:r>
              <w:rPr>
                <w:rStyle w:val="Strong"/>
                <w:sz w:val="20"/>
                <w:szCs w:val="20"/>
              </w:rPr>
              <w:t>Total</w:t>
            </w:r>
          </w:p>
          <w:p w14:paraId="650DF7EC" w14:textId="77777777" w:rsidR="00000000" w:rsidRDefault="00EB4933">
            <w:pPr>
              <w:pStyle w:val="NormalWeb"/>
              <w:spacing w:before="0" w:beforeAutospacing="0" w:after="0" w:afterAutospacing="0"/>
              <w:jc w:val="center"/>
              <w:rPr>
                <w:sz w:val="20"/>
                <w:szCs w:val="20"/>
              </w:rPr>
            </w:pPr>
            <w:r>
              <w:rPr>
                <w:rStyle w:val="Strong"/>
                <w:sz w:val="20"/>
                <w:szCs w:val="20"/>
              </w:rPr>
              <w:t>equity</w:t>
            </w:r>
          </w:p>
        </w:tc>
        <w:tc>
          <w:tcPr>
            <w:tcW w:w="0" w:type="auto"/>
            <w:noWrap/>
            <w:vAlign w:val="center"/>
            <w:hideMark/>
          </w:tcPr>
          <w:p w14:paraId="63ECFB30" w14:textId="77777777" w:rsidR="00000000" w:rsidRDefault="00EB4933">
            <w:pPr>
              <w:pStyle w:val="NormalWeb"/>
              <w:spacing w:before="0" w:beforeAutospacing="0" w:after="0" w:afterAutospacing="0"/>
              <w:rPr>
                <w:sz w:val="20"/>
                <w:szCs w:val="20"/>
              </w:rPr>
            </w:pPr>
            <w:r>
              <w:rPr>
                <w:sz w:val="20"/>
                <w:szCs w:val="20"/>
              </w:rPr>
              <w:t> </w:t>
            </w:r>
          </w:p>
        </w:tc>
      </w:tr>
      <w:tr w:rsidR="00000000" w14:paraId="28DFFE74" w14:textId="77777777">
        <w:trPr>
          <w:divId w:val="98525094"/>
          <w:trHeight w:val="225"/>
          <w:tblCellSpacing w:w="15" w:type="dxa"/>
        </w:trPr>
        <w:tc>
          <w:tcPr>
            <w:tcW w:w="0" w:type="auto"/>
            <w:vAlign w:val="center"/>
            <w:hideMark/>
          </w:tcPr>
          <w:p w14:paraId="1E441AB8"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5C1D7CA"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bottom"/>
            <w:hideMark/>
          </w:tcPr>
          <w:p w14:paraId="68803D24" w14:textId="77777777" w:rsidR="00000000" w:rsidRDefault="00EB4933">
            <w:pPr>
              <w:pStyle w:val="NormalWeb"/>
              <w:spacing w:before="0" w:beforeAutospacing="0" w:after="0" w:afterAutospacing="0"/>
              <w:jc w:val="center"/>
              <w:rPr>
                <w:sz w:val="20"/>
                <w:szCs w:val="20"/>
              </w:rPr>
            </w:pPr>
            <w:r>
              <w:rPr>
                <w:rStyle w:val="Strong"/>
                <w:sz w:val="20"/>
                <w:szCs w:val="20"/>
              </w:rPr>
              <w:t>(thousands)</w:t>
            </w:r>
          </w:p>
        </w:tc>
        <w:tc>
          <w:tcPr>
            <w:tcW w:w="0" w:type="auto"/>
            <w:noWrap/>
            <w:tcMar>
              <w:top w:w="0" w:type="dxa"/>
              <w:left w:w="0" w:type="dxa"/>
              <w:bottom w:w="15" w:type="dxa"/>
              <w:right w:w="0" w:type="dxa"/>
            </w:tcMar>
            <w:vAlign w:val="center"/>
            <w:hideMark/>
          </w:tcPr>
          <w:p w14:paraId="1AB6895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7BF7A5D"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bottom"/>
            <w:hideMark/>
          </w:tcPr>
          <w:p w14:paraId="37C61E9F"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tcMar>
              <w:top w:w="0" w:type="dxa"/>
              <w:left w:w="0" w:type="dxa"/>
              <w:bottom w:w="15" w:type="dxa"/>
              <w:right w:w="0" w:type="dxa"/>
            </w:tcMar>
            <w:vAlign w:val="center"/>
            <w:hideMark/>
          </w:tcPr>
          <w:p w14:paraId="469195A0"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A25E920"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bottom"/>
            <w:hideMark/>
          </w:tcPr>
          <w:p w14:paraId="7B6D4DD5"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tcMar>
              <w:top w:w="0" w:type="dxa"/>
              <w:left w:w="0" w:type="dxa"/>
              <w:bottom w:w="15" w:type="dxa"/>
              <w:right w:w="0" w:type="dxa"/>
            </w:tcMar>
            <w:vAlign w:val="center"/>
            <w:hideMark/>
          </w:tcPr>
          <w:p w14:paraId="2B4FE31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2C77C77"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bottom"/>
            <w:hideMark/>
          </w:tcPr>
          <w:p w14:paraId="29FEA0EC"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tcMar>
              <w:top w:w="0" w:type="dxa"/>
              <w:left w:w="0" w:type="dxa"/>
              <w:bottom w:w="15" w:type="dxa"/>
              <w:right w:w="0" w:type="dxa"/>
            </w:tcMar>
            <w:vAlign w:val="center"/>
            <w:hideMark/>
          </w:tcPr>
          <w:p w14:paraId="2870405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5615C2A"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bottom"/>
            <w:hideMark/>
          </w:tcPr>
          <w:p w14:paraId="33199C30"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tcMar>
              <w:top w:w="0" w:type="dxa"/>
              <w:left w:w="0" w:type="dxa"/>
              <w:bottom w:w="15" w:type="dxa"/>
              <w:right w:w="0" w:type="dxa"/>
            </w:tcMar>
            <w:vAlign w:val="center"/>
            <w:hideMark/>
          </w:tcPr>
          <w:p w14:paraId="7889AAAF"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4660631"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bottom"/>
            <w:hideMark/>
          </w:tcPr>
          <w:p w14:paraId="69086123" w14:textId="77777777" w:rsidR="00000000" w:rsidRDefault="00EB4933">
            <w:pPr>
              <w:pStyle w:val="NormalWeb"/>
              <w:spacing w:before="0" w:beforeAutospacing="0" w:after="0" w:afterAutospacing="0"/>
              <w:jc w:val="center"/>
              <w:rPr>
                <w:sz w:val="20"/>
                <w:szCs w:val="20"/>
              </w:rPr>
            </w:pPr>
            <w:r>
              <w:rPr>
                <w:rStyle w:val="Strong"/>
                <w:sz w:val="20"/>
                <w:szCs w:val="20"/>
              </w:rPr>
              <w:t>RMB’000</w:t>
            </w:r>
          </w:p>
        </w:tc>
        <w:tc>
          <w:tcPr>
            <w:tcW w:w="0" w:type="auto"/>
            <w:noWrap/>
            <w:tcMar>
              <w:top w:w="0" w:type="dxa"/>
              <w:left w:w="0" w:type="dxa"/>
              <w:bottom w:w="15" w:type="dxa"/>
              <w:right w:w="0" w:type="dxa"/>
            </w:tcMar>
            <w:vAlign w:val="center"/>
            <w:hideMark/>
          </w:tcPr>
          <w:p w14:paraId="018365AB" w14:textId="77777777" w:rsidR="00000000" w:rsidRDefault="00EB4933">
            <w:pPr>
              <w:pStyle w:val="NormalWeb"/>
              <w:spacing w:before="0" w:beforeAutospacing="0" w:after="0" w:afterAutospacing="0"/>
              <w:rPr>
                <w:sz w:val="20"/>
                <w:szCs w:val="20"/>
              </w:rPr>
            </w:pPr>
            <w:r>
              <w:rPr>
                <w:sz w:val="20"/>
                <w:szCs w:val="20"/>
              </w:rPr>
              <w:t> </w:t>
            </w:r>
          </w:p>
        </w:tc>
      </w:tr>
      <w:tr w:rsidR="00000000" w14:paraId="440B7FF7" w14:textId="77777777">
        <w:trPr>
          <w:divId w:val="98525094"/>
          <w:trHeight w:val="225"/>
          <w:tblCellSpacing w:w="15" w:type="dxa"/>
        </w:trPr>
        <w:tc>
          <w:tcPr>
            <w:tcW w:w="0" w:type="auto"/>
            <w:vAlign w:val="center"/>
            <w:hideMark/>
          </w:tcPr>
          <w:p w14:paraId="34317DDC"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9B63E78"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center"/>
            <w:hideMark/>
          </w:tcPr>
          <w:p w14:paraId="0F87661D"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8652087"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A9DCB83"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center"/>
            <w:hideMark/>
          </w:tcPr>
          <w:p w14:paraId="52952CB7"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FE1574D"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2DEF140"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center"/>
            <w:hideMark/>
          </w:tcPr>
          <w:p w14:paraId="7DD9FAA4"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E714FFA"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C1600F6"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center"/>
            <w:hideMark/>
          </w:tcPr>
          <w:p w14:paraId="032FC0BA"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A014D80"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F070E9A"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center"/>
            <w:hideMark/>
          </w:tcPr>
          <w:p w14:paraId="4CC81864"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35C8447"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F4B6A5C" w14:textId="77777777" w:rsidR="00000000" w:rsidRDefault="00EB4933">
            <w:pPr>
              <w:pStyle w:val="NormalWeb"/>
              <w:spacing w:before="0" w:beforeAutospacing="0" w:after="0" w:afterAutospacing="0"/>
              <w:rPr>
                <w:sz w:val="20"/>
                <w:szCs w:val="20"/>
              </w:rPr>
            </w:pPr>
            <w:r>
              <w:rPr>
                <w:sz w:val="20"/>
                <w:szCs w:val="20"/>
              </w:rPr>
              <w:t> </w:t>
            </w:r>
          </w:p>
        </w:tc>
        <w:tc>
          <w:tcPr>
            <w:tcW w:w="300" w:type="pct"/>
            <w:gridSpan w:val="2"/>
            <w:vAlign w:val="center"/>
            <w:hideMark/>
          </w:tcPr>
          <w:p w14:paraId="0B3C5212"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4253FC0" w14:textId="77777777" w:rsidR="00000000" w:rsidRDefault="00EB4933">
            <w:pPr>
              <w:pStyle w:val="NormalWeb"/>
              <w:spacing w:before="0" w:beforeAutospacing="0" w:after="0" w:afterAutospacing="0"/>
              <w:rPr>
                <w:sz w:val="20"/>
                <w:szCs w:val="20"/>
              </w:rPr>
            </w:pPr>
            <w:r>
              <w:rPr>
                <w:sz w:val="20"/>
                <w:szCs w:val="20"/>
              </w:rPr>
              <w:t> </w:t>
            </w:r>
          </w:p>
        </w:tc>
      </w:tr>
      <w:tr w:rsidR="00000000" w14:paraId="7A493F02" w14:textId="77777777">
        <w:trPr>
          <w:divId w:val="98525094"/>
          <w:trHeight w:val="225"/>
          <w:tblCellSpacing w:w="15" w:type="dxa"/>
        </w:trPr>
        <w:tc>
          <w:tcPr>
            <w:tcW w:w="0" w:type="auto"/>
            <w:shd w:val="clear" w:color="auto" w:fill="CCEEFF"/>
            <w:hideMark/>
          </w:tcPr>
          <w:p w14:paraId="0839110F" w14:textId="77777777" w:rsidR="00000000" w:rsidRDefault="00EB4933">
            <w:pPr>
              <w:pStyle w:val="NormalWeb"/>
              <w:spacing w:before="0" w:beforeAutospacing="0" w:after="0" w:afterAutospacing="0"/>
              <w:rPr>
                <w:sz w:val="20"/>
                <w:szCs w:val="20"/>
              </w:rPr>
            </w:pPr>
            <w:r>
              <w:rPr>
                <w:sz w:val="20"/>
                <w:szCs w:val="20"/>
              </w:rPr>
              <w:t xml:space="preserve">At January 1, 2017 </w:t>
            </w:r>
          </w:p>
        </w:tc>
        <w:tc>
          <w:tcPr>
            <w:tcW w:w="50" w:type="pct"/>
            <w:shd w:val="clear" w:color="auto" w:fill="CCEEFF"/>
            <w:noWrap/>
            <w:vAlign w:val="center"/>
            <w:hideMark/>
          </w:tcPr>
          <w:p w14:paraId="1050164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72C973"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DA73B10" w14:textId="77777777" w:rsidR="00000000" w:rsidRDefault="00EB4933">
            <w:pPr>
              <w:jc w:val="right"/>
              <w:rPr>
                <w:rFonts w:eastAsia="Times New Roman"/>
                <w:sz w:val="20"/>
                <w:szCs w:val="20"/>
              </w:rPr>
            </w:pPr>
            <w:r>
              <w:rPr>
                <w:rFonts w:eastAsia="Times New Roman"/>
                <w:sz w:val="20"/>
                <w:szCs w:val="20"/>
              </w:rPr>
              <w:t>227,717</w:t>
            </w:r>
          </w:p>
        </w:tc>
        <w:tc>
          <w:tcPr>
            <w:tcW w:w="50" w:type="pct"/>
            <w:shd w:val="clear" w:color="auto" w:fill="CCEEFF"/>
            <w:noWrap/>
            <w:vAlign w:val="center"/>
            <w:hideMark/>
          </w:tcPr>
          <w:p w14:paraId="0391991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AA339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89D87C"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A42E277" w14:textId="77777777" w:rsidR="00000000" w:rsidRDefault="00EB4933">
            <w:pPr>
              <w:jc w:val="right"/>
              <w:rPr>
                <w:rFonts w:eastAsia="Times New Roman"/>
                <w:sz w:val="20"/>
                <w:szCs w:val="20"/>
              </w:rPr>
            </w:pPr>
            <w:r>
              <w:rPr>
                <w:rFonts w:eastAsia="Times New Roman"/>
                <w:sz w:val="20"/>
                <w:szCs w:val="20"/>
              </w:rPr>
              <w:t>77</w:t>
            </w:r>
          </w:p>
        </w:tc>
        <w:tc>
          <w:tcPr>
            <w:tcW w:w="50" w:type="pct"/>
            <w:shd w:val="clear" w:color="auto" w:fill="CCEEFF"/>
            <w:noWrap/>
            <w:vAlign w:val="center"/>
            <w:hideMark/>
          </w:tcPr>
          <w:p w14:paraId="02F6CBC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F4048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5F9A13"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AA69741" w14:textId="77777777" w:rsidR="00000000" w:rsidRDefault="00EB4933">
            <w:pPr>
              <w:jc w:val="right"/>
              <w:rPr>
                <w:rFonts w:eastAsia="Times New Roman"/>
                <w:sz w:val="20"/>
                <w:szCs w:val="20"/>
              </w:rPr>
            </w:pPr>
            <w:r>
              <w:rPr>
                <w:rFonts w:eastAsia="Times New Roman"/>
                <w:sz w:val="20"/>
                <w:szCs w:val="20"/>
              </w:rPr>
              <w:t>395,924</w:t>
            </w:r>
          </w:p>
        </w:tc>
        <w:tc>
          <w:tcPr>
            <w:tcW w:w="50" w:type="pct"/>
            <w:shd w:val="clear" w:color="auto" w:fill="CCEEFF"/>
            <w:noWrap/>
            <w:vAlign w:val="center"/>
            <w:hideMark/>
          </w:tcPr>
          <w:p w14:paraId="240575F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8BB7B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147ED1"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C51D166" w14:textId="77777777" w:rsidR="00000000" w:rsidRDefault="00EB4933">
            <w:pPr>
              <w:jc w:val="right"/>
              <w:rPr>
                <w:rFonts w:eastAsia="Times New Roman"/>
                <w:sz w:val="20"/>
                <w:szCs w:val="20"/>
              </w:rPr>
            </w:pPr>
            <w:r>
              <w:rPr>
                <w:rFonts w:eastAsia="Times New Roman"/>
                <w:sz w:val="20"/>
                <w:szCs w:val="20"/>
              </w:rPr>
              <w:t>396,001</w:t>
            </w:r>
          </w:p>
        </w:tc>
        <w:tc>
          <w:tcPr>
            <w:tcW w:w="50" w:type="pct"/>
            <w:shd w:val="clear" w:color="auto" w:fill="CCEEFF"/>
            <w:noWrap/>
            <w:vAlign w:val="center"/>
            <w:hideMark/>
          </w:tcPr>
          <w:p w14:paraId="59DB013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CB9F2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BA53B17"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CD8A35E" w14:textId="77777777" w:rsidR="00000000" w:rsidRDefault="00EB4933">
            <w:pPr>
              <w:jc w:val="right"/>
              <w:rPr>
                <w:rFonts w:eastAsia="Times New Roman"/>
                <w:sz w:val="20"/>
                <w:szCs w:val="20"/>
              </w:rPr>
            </w:pPr>
            <w:r>
              <w:rPr>
                <w:rFonts w:eastAsia="Times New Roman"/>
                <w:sz w:val="20"/>
                <w:szCs w:val="20"/>
              </w:rPr>
              <w:t>99,000</w:t>
            </w:r>
          </w:p>
        </w:tc>
        <w:tc>
          <w:tcPr>
            <w:tcW w:w="50" w:type="pct"/>
            <w:shd w:val="clear" w:color="auto" w:fill="CCEEFF"/>
            <w:noWrap/>
            <w:vAlign w:val="center"/>
            <w:hideMark/>
          </w:tcPr>
          <w:p w14:paraId="2E0027F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09E7E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125319"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40AB92E" w14:textId="77777777" w:rsidR="00000000" w:rsidRDefault="00EB4933">
            <w:pPr>
              <w:jc w:val="right"/>
              <w:rPr>
                <w:rFonts w:eastAsia="Times New Roman"/>
                <w:sz w:val="20"/>
                <w:szCs w:val="20"/>
              </w:rPr>
            </w:pPr>
            <w:r>
              <w:rPr>
                <w:rFonts w:eastAsia="Times New Roman"/>
                <w:sz w:val="20"/>
                <w:szCs w:val="20"/>
              </w:rPr>
              <w:t>495,001</w:t>
            </w:r>
          </w:p>
        </w:tc>
        <w:tc>
          <w:tcPr>
            <w:tcW w:w="50" w:type="pct"/>
            <w:shd w:val="clear" w:color="auto" w:fill="CCEEFF"/>
            <w:noWrap/>
            <w:vAlign w:val="center"/>
            <w:hideMark/>
          </w:tcPr>
          <w:p w14:paraId="2A6EDE0C" w14:textId="77777777" w:rsidR="00000000" w:rsidRDefault="00EB4933">
            <w:pPr>
              <w:pStyle w:val="NormalWeb"/>
              <w:spacing w:before="0" w:beforeAutospacing="0" w:after="0" w:afterAutospacing="0"/>
              <w:rPr>
                <w:sz w:val="20"/>
                <w:szCs w:val="20"/>
              </w:rPr>
            </w:pPr>
            <w:r>
              <w:rPr>
                <w:sz w:val="20"/>
                <w:szCs w:val="20"/>
              </w:rPr>
              <w:t> </w:t>
            </w:r>
          </w:p>
        </w:tc>
      </w:tr>
      <w:tr w:rsidR="00000000" w14:paraId="77381EE2" w14:textId="77777777">
        <w:trPr>
          <w:divId w:val="98525094"/>
          <w:trHeight w:val="225"/>
          <w:tblCellSpacing w:w="15" w:type="dxa"/>
        </w:trPr>
        <w:tc>
          <w:tcPr>
            <w:tcW w:w="0" w:type="auto"/>
            <w:shd w:val="clear" w:color="auto" w:fill="FFFFFF"/>
            <w:hideMark/>
          </w:tcPr>
          <w:p w14:paraId="670328F5" w14:textId="77777777" w:rsidR="00000000" w:rsidRDefault="00EB4933">
            <w:pPr>
              <w:pStyle w:val="NormalWeb"/>
              <w:spacing w:before="0" w:beforeAutospacing="0" w:after="0" w:afterAutospacing="0"/>
              <w:rPr>
                <w:sz w:val="20"/>
                <w:szCs w:val="20"/>
              </w:rPr>
            </w:pPr>
            <w:r>
              <w:rPr>
                <w:sz w:val="20"/>
                <w:szCs w:val="20"/>
              </w:rPr>
              <w:t>Shares issued during the year</w:t>
            </w:r>
          </w:p>
        </w:tc>
        <w:tc>
          <w:tcPr>
            <w:tcW w:w="50" w:type="pct"/>
            <w:shd w:val="clear" w:color="auto" w:fill="FFFFFF"/>
            <w:noWrap/>
            <w:vAlign w:val="center"/>
            <w:hideMark/>
          </w:tcPr>
          <w:p w14:paraId="7F473B4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BB2CA6"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9ACCC53" w14:textId="77777777" w:rsidR="00000000" w:rsidRDefault="00EB4933">
            <w:pPr>
              <w:jc w:val="right"/>
              <w:rPr>
                <w:rFonts w:eastAsia="Times New Roman"/>
                <w:sz w:val="20"/>
                <w:szCs w:val="20"/>
              </w:rPr>
            </w:pPr>
            <w:r>
              <w:rPr>
                <w:rFonts w:eastAsia="Times New Roman"/>
                <w:sz w:val="20"/>
                <w:szCs w:val="20"/>
              </w:rPr>
              <w:t>772,283</w:t>
            </w:r>
          </w:p>
        </w:tc>
        <w:tc>
          <w:tcPr>
            <w:tcW w:w="50" w:type="pct"/>
            <w:shd w:val="clear" w:color="auto" w:fill="FFFFFF"/>
            <w:noWrap/>
            <w:vAlign w:val="center"/>
            <w:hideMark/>
          </w:tcPr>
          <w:p w14:paraId="652754D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EE509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956E58"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CB6EB21" w14:textId="77777777" w:rsidR="00000000" w:rsidRDefault="00EB4933">
            <w:pPr>
              <w:jc w:val="right"/>
              <w:rPr>
                <w:rFonts w:eastAsia="Times New Roman"/>
                <w:sz w:val="20"/>
                <w:szCs w:val="20"/>
              </w:rPr>
            </w:pPr>
            <w:r>
              <w:rPr>
                <w:rFonts w:eastAsia="Times New Roman"/>
                <w:sz w:val="20"/>
                <w:szCs w:val="20"/>
              </w:rPr>
              <w:t>248</w:t>
            </w:r>
          </w:p>
        </w:tc>
        <w:tc>
          <w:tcPr>
            <w:tcW w:w="50" w:type="pct"/>
            <w:shd w:val="clear" w:color="auto" w:fill="FFFFFF"/>
            <w:noWrap/>
            <w:vAlign w:val="center"/>
            <w:hideMark/>
          </w:tcPr>
          <w:p w14:paraId="30671D9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E60F9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F07AAE"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69F3DDA" w14:textId="77777777" w:rsidR="00000000" w:rsidRDefault="00EB4933">
            <w:pPr>
              <w:jc w:val="right"/>
              <w:rPr>
                <w:rFonts w:eastAsia="Times New Roman"/>
                <w:sz w:val="20"/>
                <w:szCs w:val="20"/>
              </w:rPr>
            </w:pPr>
            <w:r>
              <w:rPr>
                <w:rFonts w:eastAsia="Times New Roman"/>
                <w:sz w:val="20"/>
                <w:szCs w:val="20"/>
              </w:rPr>
              <w:t>(222</w:t>
            </w:r>
          </w:p>
        </w:tc>
        <w:tc>
          <w:tcPr>
            <w:tcW w:w="50" w:type="pct"/>
            <w:shd w:val="clear" w:color="auto" w:fill="FFFFFF"/>
            <w:noWrap/>
            <w:vAlign w:val="bottom"/>
            <w:hideMark/>
          </w:tcPr>
          <w:p w14:paraId="3614A977"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1B608D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7D9B9C"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0C78D69" w14:textId="77777777" w:rsidR="00000000" w:rsidRDefault="00EB4933">
            <w:pPr>
              <w:jc w:val="right"/>
              <w:rPr>
                <w:rFonts w:eastAsia="Times New Roman"/>
                <w:sz w:val="20"/>
                <w:szCs w:val="20"/>
              </w:rPr>
            </w:pPr>
            <w:r>
              <w:rPr>
                <w:rFonts w:eastAsia="Times New Roman"/>
                <w:sz w:val="20"/>
                <w:szCs w:val="20"/>
              </w:rPr>
              <w:t>26</w:t>
            </w:r>
          </w:p>
        </w:tc>
        <w:tc>
          <w:tcPr>
            <w:tcW w:w="50" w:type="pct"/>
            <w:shd w:val="clear" w:color="auto" w:fill="FFFFFF"/>
            <w:noWrap/>
            <w:vAlign w:val="center"/>
            <w:hideMark/>
          </w:tcPr>
          <w:p w14:paraId="2288B18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0FBE0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FA8DB5"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E1B06D6" w14:textId="77777777" w:rsidR="00000000" w:rsidRDefault="00EB4933">
            <w:pPr>
              <w:jc w:val="right"/>
              <w:rPr>
                <w:rFonts w:eastAsia="Times New Roman"/>
                <w:sz w:val="20"/>
                <w:szCs w:val="20"/>
              </w:rPr>
            </w:pPr>
            <w:r>
              <w:rPr>
                <w:rFonts w:eastAsia="Times New Roman"/>
                <w:sz w:val="20"/>
                <w:szCs w:val="20"/>
              </w:rPr>
              <w:t>7</w:t>
            </w:r>
          </w:p>
        </w:tc>
        <w:tc>
          <w:tcPr>
            <w:tcW w:w="50" w:type="pct"/>
            <w:shd w:val="clear" w:color="auto" w:fill="FFFFFF"/>
            <w:noWrap/>
            <w:vAlign w:val="center"/>
            <w:hideMark/>
          </w:tcPr>
          <w:p w14:paraId="2DE20E6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4FEE1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6D0228"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5F8754D" w14:textId="77777777" w:rsidR="00000000" w:rsidRDefault="00EB4933">
            <w:pPr>
              <w:jc w:val="right"/>
              <w:rPr>
                <w:rFonts w:eastAsia="Times New Roman"/>
                <w:sz w:val="20"/>
                <w:szCs w:val="20"/>
              </w:rPr>
            </w:pPr>
            <w:r>
              <w:rPr>
                <w:rFonts w:eastAsia="Times New Roman"/>
                <w:sz w:val="20"/>
                <w:szCs w:val="20"/>
              </w:rPr>
              <w:t>33</w:t>
            </w:r>
          </w:p>
        </w:tc>
        <w:tc>
          <w:tcPr>
            <w:tcW w:w="50" w:type="pct"/>
            <w:shd w:val="clear" w:color="auto" w:fill="FFFFFF"/>
            <w:noWrap/>
            <w:vAlign w:val="center"/>
            <w:hideMark/>
          </w:tcPr>
          <w:p w14:paraId="27B8CA5D" w14:textId="77777777" w:rsidR="00000000" w:rsidRDefault="00EB4933">
            <w:pPr>
              <w:pStyle w:val="NormalWeb"/>
              <w:spacing w:before="0" w:beforeAutospacing="0" w:after="0" w:afterAutospacing="0"/>
              <w:rPr>
                <w:sz w:val="20"/>
                <w:szCs w:val="20"/>
              </w:rPr>
            </w:pPr>
            <w:r>
              <w:rPr>
                <w:sz w:val="20"/>
                <w:szCs w:val="20"/>
              </w:rPr>
              <w:t> </w:t>
            </w:r>
          </w:p>
        </w:tc>
      </w:tr>
      <w:tr w:rsidR="00000000" w14:paraId="75FD6573" w14:textId="77777777">
        <w:trPr>
          <w:divId w:val="98525094"/>
          <w:trHeight w:val="225"/>
          <w:tblCellSpacing w:w="15" w:type="dxa"/>
        </w:trPr>
        <w:tc>
          <w:tcPr>
            <w:tcW w:w="0" w:type="auto"/>
            <w:shd w:val="clear" w:color="auto" w:fill="CCEEFF"/>
            <w:hideMark/>
          </w:tcPr>
          <w:p w14:paraId="3F05C0C8" w14:textId="77777777" w:rsidR="00000000" w:rsidRDefault="00EB4933">
            <w:pPr>
              <w:pStyle w:val="NormalWeb"/>
              <w:spacing w:before="0" w:beforeAutospacing="0" w:after="0" w:afterAutospacing="0"/>
              <w:rPr>
                <w:sz w:val="20"/>
                <w:szCs w:val="20"/>
              </w:rPr>
            </w:pPr>
            <w:r>
              <w:rPr>
                <w:sz w:val="20"/>
                <w:szCs w:val="20"/>
              </w:rPr>
              <w:t>Share issuance expenses</w:t>
            </w:r>
          </w:p>
        </w:tc>
        <w:tc>
          <w:tcPr>
            <w:tcW w:w="50" w:type="pct"/>
            <w:shd w:val="clear" w:color="auto" w:fill="CCEEFF"/>
            <w:noWrap/>
            <w:vAlign w:val="center"/>
            <w:hideMark/>
          </w:tcPr>
          <w:p w14:paraId="5AC19C1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08DD341"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6BEE4797"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2F3D6A0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19B09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E994C9B"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2A1C9A6C"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265CD8F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FCF46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D39818A"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322B6EB7" w14:textId="77777777" w:rsidR="00000000" w:rsidRDefault="00EB4933">
            <w:pPr>
              <w:jc w:val="right"/>
              <w:rPr>
                <w:rFonts w:eastAsia="Times New Roman"/>
                <w:sz w:val="20"/>
                <w:szCs w:val="20"/>
              </w:rPr>
            </w:pPr>
            <w:r>
              <w:rPr>
                <w:rFonts w:eastAsia="Times New Roman"/>
                <w:sz w:val="20"/>
                <w:szCs w:val="20"/>
              </w:rPr>
              <w:t>(12,528</w:t>
            </w:r>
          </w:p>
        </w:tc>
        <w:tc>
          <w:tcPr>
            <w:tcW w:w="50" w:type="pct"/>
            <w:shd w:val="clear" w:color="auto" w:fill="CCEEFF"/>
            <w:noWrap/>
            <w:tcMar>
              <w:top w:w="0" w:type="dxa"/>
              <w:left w:w="0" w:type="dxa"/>
              <w:bottom w:w="15" w:type="dxa"/>
              <w:right w:w="0" w:type="dxa"/>
            </w:tcMar>
            <w:vAlign w:val="bottom"/>
            <w:hideMark/>
          </w:tcPr>
          <w:p w14:paraId="47432551"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5FB6F2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9E476D3"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5CAF4B1A" w14:textId="77777777" w:rsidR="00000000" w:rsidRDefault="00EB4933">
            <w:pPr>
              <w:jc w:val="right"/>
              <w:rPr>
                <w:rFonts w:eastAsia="Times New Roman"/>
                <w:sz w:val="20"/>
                <w:szCs w:val="20"/>
              </w:rPr>
            </w:pPr>
            <w:r>
              <w:rPr>
                <w:rFonts w:eastAsia="Times New Roman"/>
                <w:sz w:val="20"/>
                <w:szCs w:val="20"/>
              </w:rPr>
              <w:t>(12,528</w:t>
            </w:r>
          </w:p>
        </w:tc>
        <w:tc>
          <w:tcPr>
            <w:tcW w:w="50" w:type="pct"/>
            <w:shd w:val="clear" w:color="auto" w:fill="CCEEFF"/>
            <w:noWrap/>
            <w:tcMar>
              <w:top w:w="0" w:type="dxa"/>
              <w:left w:w="0" w:type="dxa"/>
              <w:bottom w:w="15" w:type="dxa"/>
              <w:right w:w="0" w:type="dxa"/>
            </w:tcMar>
            <w:vAlign w:val="bottom"/>
            <w:hideMark/>
          </w:tcPr>
          <w:p w14:paraId="4BE1051A"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28D9C6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DB6BD3D"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4686BD7A" w14:textId="77777777" w:rsidR="00000000" w:rsidRDefault="00EB4933">
            <w:pPr>
              <w:jc w:val="right"/>
              <w:rPr>
                <w:rFonts w:eastAsia="Times New Roman"/>
                <w:sz w:val="20"/>
                <w:szCs w:val="20"/>
              </w:rPr>
            </w:pPr>
            <w:r>
              <w:rPr>
                <w:rFonts w:eastAsia="Times New Roman"/>
                <w:sz w:val="20"/>
                <w:szCs w:val="20"/>
              </w:rPr>
              <w:t>(3,132</w:t>
            </w:r>
          </w:p>
        </w:tc>
        <w:tc>
          <w:tcPr>
            <w:tcW w:w="50" w:type="pct"/>
            <w:shd w:val="clear" w:color="auto" w:fill="CCEEFF"/>
            <w:noWrap/>
            <w:tcMar>
              <w:top w:w="0" w:type="dxa"/>
              <w:left w:w="0" w:type="dxa"/>
              <w:bottom w:w="15" w:type="dxa"/>
              <w:right w:w="0" w:type="dxa"/>
            </w:tcMar>
            <w:vAlign w:val="bottom"/>
            <w:hideMark/>
          </w:tcPr>
          <w:p w14:paraId="3A1FD5E0"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25CC31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BB47B6D"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05F00867" w14:textId="77777777" w:rsidR="00000000" w:rsidRDefault="00EB4933">
            <w:pPr>
              <w:jc w:val="right"/>
              <w:rPr>
                <w:rFonts w:eastAsia="Times New Roman"/>
                <w:sz w:val="20"/>
                <w:szCs w:val="20"/>
              </w:rPr>
            </w:pPr>
            <w:r>
              <w:rPr>
                <w:rFonts w:eastAsia="Times New Roman"/>
                <w:sz w:val="20"/>
                <w:szCs w:val="20"/>
              </w:rPr>
              <w:t>(15,660</w:t>
            </w:r>
          </w:p>
        </w:tc>
        <w:tc>
          <w:tcPr>
            <w:tcW w:w="50" w:type="pct"/>
            <w:shd w:val="clear" w:color="auto" w:fill="CCEEFF"/>
            <w:noWrap/>
            <w:tcMar>
              <w:top w:w="0" w:type="dxa"/>
              <w:left w:w="0" w:type="dxa"/>
              <w:bottom w:w="15" w:type="dxa"/>
              <w:right w:w="0" w:type="dxa"/>
            </w:tcMar>
            <w:vAlign w:val="bottom"/>
            <w:hideMark/>
          </w:tcPr>
          <w:p w14:paraId="647EF803" w14:textId="77777777" w:rsidR="00000000" w:rsidRDefault="00EB4933">
            <w:pPr>
              <w:rPr>
                <w:rFonts w:eastAsia="Times New Roman"/>
                <w:sz w:val="20"/>
                <w:szCs w:val="20"/>
              </w:rPr>
            </w:pPr>
            <w:r>
              <w:rPr>
                <w:rFonts w:eastAsia="Times New Roman"/>
                <w:sz w:val="20"/>
                <w:szCs w:val="20"/>
              </w:rPr>
              <w:t>)</w:t>
            </w:r>
          </w:p>
        </w:tc>
      </w:tr>
      <w:tr w:rsidR="00000000" w14:paraId="2EBE6AAB" w14:textId="77777777">
        <w:trPr>
          <w:divId w:val="98525094"/>
          <w:trHeight w:val="225"/>
          <w:tblCellSpacing w:w="15" w:type="dxa"/>
        </w:trPr>
        <w:tc>
          <w:tcPr>
            <w:tcW w:w="0" w:type="auto"/>
            <w:shd w:val="clear" w:color="auto" w:fill="FFFFFF"/>
            <w:hideMark/>
          </w:tcPr>
          <w:p w14:paraId="1529EF3B" w14:textId="77777777" w:rsidR="00000000" w:rsidRDefault="00EB4933">
            <w:pPr>
              <w:pStyle w:val="NormalWeb"/>
              <w:spacing w:before="0" w:beforeAutospacing="0" w:after="0" w:afterAutospacing="0"/>
              <w:rPr>
                <w:sz w:val="20"/>
                <w:szCs w:val="20"/>
              </w:rPr>
            </w:pPr>
            <w:r>
              <w:rPr>
                <w:sz w:val="20"/>
                <w:szCs w:val="20"/>
              </w:rPr>
              <w:t>At December 31, 2017</w:t>
            </w:r>
          </w:p>
        </w:tc>
        <w:tc>
          <w:tcPr>
            <w:tcW w:w="50" w:type="pct"/>
            <w:shd w:val="clear" w:color="auto" w:fill="FFFFFF"/>
            <w:noWrap/>
            <w:vAlign w:val="center"/>
            <w:hideMark/>
          </w:tcPr>
          <w:p w14:paraId="04CB670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3D358B"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93BC479" w14:textId="77777777" w:rsidR="00000000" w:rsidRDefault="00EB4933">
            <w:pPr>
              <w:jc w:val="right"/>
              <w:rPr>
                <w:rFonts w:eastAsia="Times New Roman"/>
                <w:sz w:val="20"/>
                <w:szCs w:val="20"/>
              </w:rPr>
            </w:pPr>
            <w:r>
              <w:rPr>
                <w:rFonts w:eastAsia="Times New Roman"/>
                <w:sz w:val="20"/>
                <w:szCs w:val="20"/>
              </w:rPr>
              <w:t>1,000,000</w:t>
            </w:r>
          </w:p>
        </w:tc>
        <w:tc>
          <w:tcPr>
            <w:tcW w:w="50" w:type="pct"/>
            <w:shd w:val="clear" w:color="auto" w:fill="FFFFFF"/>
            <w:noWrap/>
            <w:vAlign w:val="center"/>
            <w:hideMark/>
          </w:tcPr>
          <w:p w14:paraId="34ED51E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6B5BF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B2E44D"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DED16D7" w14:textId="77777777" w:rsidR="00000000" w:rsidRDefault="00EB4933">
            <w:pPr>
              <w:jc w:val="right"/>
              <w:rPr>
                <w:rFonts w:eastAsia="Times New Roman"/>
                <w:sz w:val="20"/>
                <w:szCs w:val="20"/>
              </w:rPr>
            </w:pPr>
            <w:r>
              <w:rPr>
                <w:rFonts w:eastAsia="Times New Roman"/>
                <w:sz w:val="20"/>
                <w:szCs w:val="20"/>
              </w:rPr>
              <w:t>325</w:t>
            </w:r>
          </w:p>
        </w:tc>
        <w:tc>
          <w:tcPr>
            <w:tcW w:w="50" w:type="pct"/>
            <w:shd w:val="clear" w:color="auto" w:fill="FFFFFF"/>
            <w:noWrap/>
            <w:vAlign w:val="center"/>
            <w:hideMark/>
          </w:tcPr>
          <w:p w14:paraId="0B92312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73EF7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B5B930"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A8E38F0" w14:textId="77777777" w:rsidR="00000000" w:rsidRDefault="00EB4933">
            <w:pPr>
              <w:jc w:val="right"/>
              <w:rPr>
                <w:rFonts w:eastAsia="Times New Roman"/>
                <w:sz w:val="20"/>
                <w:szCs w:val="20"/>
              </w:rPr>
            </w:pPr>
            <w:r>
              <w:rPr>
                <w:rFonts w:eastAsia="Times New Roman"/>
                <w:sz w:val="20"/>
                <w:szCs w:val="20"/>
              </w:rPr>
              <w:t>383,174</w:t>
            </w:r>
          </w:p>
        </w:tc>
        <w:tc>
          <w:tcPr>
            <w:tcW w:w="50" w:type="pct"/>
            <w:shd w:val="clear" w:color="auto" w:fill="FFFFFF"/>
            <w:noWrap/>
            <w:vAlign w:val="center"/>
            <w:hideMark/>
          </w:tcPr>
          <w:p w14:paraId="7D2B192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705EA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EB3DB2"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9AAD590" w14:textId="77777777" w:rsidR="00000000" w:rsidRDefault="00EB4933">
            <w:pPr>
              <w:jc w:val="right"/>
              <w:rPr>
                <w:rFonts w:eastAsia="Times New Roman"/>
                <w:sz w:val="20"/>
                <w:szCs w:val="20"/>
              </w:rPr>
            </w:pPr>
            <w:r>
              <w:rPr>
                <w:rFonts w:eastAsia="Times New Roman"/>
                <w:sz w:val="20"/>
                <w:szCs w:val="20"/>
              </w:rPr>
              <w:t>383,499</w:t>
            </w:r>
          </w:p>
        </w:tc>
        <w:tc>
          <w:tcPr>
            <w:tcW w:w="50" w:type="pct"/>
            <w:shd w:val="clear" w:color="auto" w:fill="FFFFFF"/>
            <w:noWrap/>
            <w:vAlign w:val="center"/>
            <w:hideMark/>
          </w:tcPr>
          <w:p w14:paraId="59CFF7D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63B69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61981F"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115DD78" w14:textId="77777777" w:rsidR="00000000" w:rsidRDefault="00EB4933">
            <w:pPr>
              <w:jc w:val="right"/>
              <w:rPr>
                <w:rFonts w:eastAsia="Times New Roman"/>
                <w:sz w:val="20"/>
                <w:szCs w:val="20"/>
              </w:rPr>
            </w:pPr>
            <w:r>
              <w:rPr>
                <w:rFonts w:eastAsia="Times New Roman"/>
                <w:sz w:val="20"/>
                <w:szCs w:val="20"/>
              </w:rPr>
              <w:t>95,875</w:t>
            </w:r>
          </w:p>
        </w:tc>
        <w:tc>
          <w:tcPr>
            <w:tcW w:w="50" w:type="pct"/>
            <w:shd w:val="clear" w:color="auto" w:fill="FFFFFF"/>
            <w:noWrap/>
            <w:vAlign w:val="center"/>
            <w:hideMark/>
          </w:tcPr>
          <w:p w14:paraId="3EDDEFF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4C2A2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BFAFC47"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6AD1A44" w14:textId="77777777" w:rsidR="00000000" w:rsidRDefault="00EB4933">
            <w:pPr>
              <w:jc w:val="right"/>
              <w:rPr>
                <w:rFonts w:eastAsia="Times New Roman"/>
                <w:sz w:val="20"/>
                <w:szCs w:val="20"/>
              </w:rPr>
            </w:pPr>
            <w:r>
              <w:rPr>
                <w:rFonts w:eastAsia="Times New Roman"/>
                <w:sz w:val="20"/>
                <w:szCs w:val="20"/>
              </w:rPr>
              <w:t>479,374</w:t>
            </w:r>
          </w:p>
        </w:tc>
        <w:tc>
          <w:tcPr>
            <w:tcW w:w="50" w:type="pct"/>
            <w:shd w:val="clear" w:color="auto" w:fill="FFFFFF"/>
            <w:noWrap/>
            <w:vAlign w:val="center"/>
            <w:hideMark/>
          </w:tcPr>
          <w:p w14:paraId="19D580E4" w14:textId="77777777" w:rsidR="00000000" w:rsidRDefault="00EB4933">
            <w:pPr>
              <w:pStyle w:val="NormalWeb"/>
              <w:spacing w:before="0" w:beforeAutospacing="0" w:after="0" w:afterAutospacing="0"/>
              <w:rPr>
                <w:sz w:val="20"/>
                <w:szCs w:val="20"/>
              </w:rPr>
            </w:pPr>
            <w:r>
              <w:rPr>
                <w:sz w:val="20"/>
                <w:szCs w:val="20"/>
              </w:rPr>
              <w:t> </w:t>
            </w:r>
          </w:p>
        </w:tc>
      </w:tr>
      <w:tr w:rsidR="00000000" w14:paraId="7DBE88C4" w14:textId="77777777">
        <w:trPr>
          <w:divId w:val="98525094"/>
          <w:trHeight w:val="225"/>
          <w:tblCellSpacing w:w="15" w:type="dxa"/>
        </w:trPr>
        <w:tc>
          <w:tcPr>
            <w:tcW w:w="0" w:type="auto"/>
            <w:shd w:val="clear" w:color="auto" w:fill="CCEEFF"/>
            <w:hideMark/>
          </w:tcPr>
          <w:p w14:paraId="5A0EF2AB" w14:textId="77777777" w:rsidR="00000000" w:rsidRDefault="00EB4933">
            <w:pPr>
              <w:pStyle w:val="NormalWeb"/>
              <w:spacing w:before="0" w:beforeAutospacing="0" w:after="0" w:afterAutospacing="0"/>
              <w:rPr>
                <w:sz w:val="20"/>
                <w:szCs w:val="20"/>
              </w:rPr>
            </w:pPr>
            <w:r>
              <w:rPr>
                <w:sz w:val="20"/>
                <w:szCs w:val="20"/>
              </w:rPr>
              <w:t>Shares issued during the year</w:t>
            </w:r>
          </w:p>
        </w:tc>
        <w:tc>
          <w:tcPr>
            <w:tcW w:w="50" w:type="pct"/>
            <w:shd w:val="clear" w:color="auto" w:fill="CCEEFF"/>
            <w:noWrap/>
            <w:vAlign w:val="center"/>
            <w:hideMark/>
          </w:tcPr>
          <w:p w14:paraId="0A806E1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C0BB494"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681B7E42" w14:textId="77777777" w:rsidR="00000000" w:rsidRDefault="00EB4933">
            <w:pPr>
              <w:jc w:val="right"/>
              <w:rPr>
                <w:rFonts w:eastAsia="Times New Roman"/>
                <w:sz w:val="20"/>
                <w:szCs w:val="20"/>
              </w:rPr>
            </w:pPr>
            <w:r>
              <w:rPr>
                <w:rFonts w:eastAsia="Times New Roman"/>
                <w:sz w:val="20"/>
                <w:szCs w:val="20"/>
              </w:rPr>
              <w:t>862</w:t>
            </w:r>
          </w:p>
        </w:tc>
        <w:tc>
          <w:tcPr>
            <w:tcW w:w="50" w:type="pct"/>
            <w:shd w:val="clear" w:color="auto" w:fill="CCEEFF"/>
            <w:noWrap/>
            <w:tcMar>
              <w:top w:w="0" w:type="dxa"/>
              <w:left w:w="0" w:type="dxa"/>
              <w:bottom w:w="15" w:type="dxa"/>
              <w:right w:w="0" w:type="dxa"/>
            </w:tcMar>
            <w:vAlign w:val="center"/>
            <w:hideMark/>
          </w:tcPr>
          <w:p w14:paraId="01C7AAC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EF775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4C2701E"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6254171F" w14:textId="77777777" w:rsidR="00000000" w:rsidRDefault="00EB4933">
            <w:pPr>
              <w:jc w:val="right"/>
              <w:rPr>
                <w:rFonts w:eastAsia="Times New Roman"/>
                <w:sz w:val="20"/>
                <w:szCs w:val="20"/>
              </w:rPr>
            </w:pPr>
            <w:r>
              <w:rPr>
                <w:rFonts w:eastAsia="Times New Roman"/>
                <w:sz w:val="20"/>
                <w:szCs w:val="20"/>
              </w:rPr>
              <w:t>1</w:t>
            </w:r>
          </w:p>
        </w:tc>
        <w:tc>
          <w:tcPr>
            <w:tcW w:w="50" w:type="pct"/>
            <w:shd w:val="clear" w:color="auto" w:fill="CCEEFF"/>
            <w:noWrap/>
            <w:tcMar>
              <w:top w:w="0" w:type="dxa"/>
              <w:left w:w="0" w:type="dxa"/>
              <w:bottom w:w="15" w:type="dxa"/>
              <w:right w:w="0" w:type="dxa"/>
            </w:tcMar>
            <w:vAlign w:val="center"/>
            <w:hideMark/>
          </w:tcPr>
          <w:p w14:paraId="4F07F39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183D2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FEEA01D"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6081531F"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5C5EBD4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8F3D2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729F981"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305598C4" w14:textId="77777777" w:rsidR="00000000" w:rsidRDefault="00EB4933">
            <w:pPr>
              <w:jc w:val="right"/>
              <w:rPr>
                <w:rFonts w:eastAsia="Times New Roman"/>
                <w:sz w:val="20"/>
                <w:szCs w:val="20"/>
              </w:rPr>
            </w:pPr>
            <w:r>
              <w:rPr>
                <w:rFonts w:eastAsia="Times New Roman"/>
                <w:sz w:val="20"/>
                <w:szCs w:val="20"/>
              </w:rPr>
              <w:t>1</w:t>
            </w:r>
          </w:p>
        </w:tc>
        <w:tc>
          <w:tcPr>
            <w:tcW w:w="50" w:type="pct"/>
            <w:shd w:val="clear" w:color="auto" w:fill="CCEEFF"/>
            <w:noWrap/>
            <w:tcMar>
              <w:top w:w="0" w:type="dxa"/>
              <w:left w:w="0" w:type="dxa"/>
              <w:bottom w:w="15" w:type="dxa"/>
              <w:right w:w="0" w:type="dxa"/>
            </w:tcMar>
            <w:vAlign w:val="center"/>
            <w:hideMark/>
          </w:tcPr>
          <w:p w14:paraId="5ED254F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11952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B945083"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73E18CC6"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2EE28A4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E0AE4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D8A8867"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669F8A24" w14:textId="77777777" w:rsidR="00000000" w:rsidRDefault="00EB4933">
            <w:pPr>
              <w:jc w:val="right"/>
              <w:rPr>
                <w:rFonts w:eastAsia="Times New Roman"/>
                <w:sz w:val="20"/>
                <w:szCs w:val="20"/>
              </w:rPr>
            </w:pPr>
            <w:r>
              <w:rPr>
                <w:rFonts w:eastAsia="Times New Roman"/>
                <w:sz w:val="20"/>
                <w:szCs w:val="20"/>
              </w:rPr>
              <w:t>1</w:t>
            </w:r>
          </w:p>
        </w:tc>
        <w:tc>
          <w:tcPr>
            <w:tcW w:w="50" w:type="pct"/>
            <w:shd w:val="clear" w:color="auto" w:fill="CCEEFF"/>
            <w:noWrap/>
            <w:tcMar>
              <w:top w:w="0" w:type="dxa"/>
              <w:left w:w="0" w:type="dxa"/>
              <w:bottom w:w="15" w:type="dxa"/>
              <w:right w:w="0" w:type="dxa"/>
            </w:tcMar>
            <w:vAlign w:val="center"/>
            <w:hideMark/>
          </w:tcPr>
          <w:p w14:paraId="11838629" w14:textId="77777777" w:rsidR="00000000" w:rsidRDefault="00EB4933">
            <w:pPr>
              <w:pStyle w:val="NormalWeb"/>
              <w:spacing w:before="0" w:beforeAutospacing="0" w:after="0" w:afterAutospacing="0"/>
              <w:rPr>
                <w:sz w:val="20"/>
                <w:szCs w:val="20"/>
              </w:rPr>
            </w:pPr>
            <w:r>
              <w:rPr>
                <w:sz w:val="20"/>
                <w:szCs w:val="20"/>
              </w:rPr>
              <w:t> </w:t>
            </w:r>
          </w:p>
        </w:tc>
      </w:tr>
      <w:tr w:rsidR="00000000" w14:paraId="7DCB0AE3" w14:textId="77777777">
        <w:trPr>
          <w:divId w:val="98525094"/>
          <w:trHeight w:val="225"/>
          <w:tblCellSpacing w:w="15" w:type="dxa"/>
        </w:trPr>
        <w:tc>
          <w:tcPr>
            <w:tcW w:w="0" w:type="auto"/>
            <w:shd w:val="clear" w:color="auto" w:fill="FFFFFF"/>
            <w:hideMark/>
          </w:tcPr>
          <w:p w14:paraId="1191B80C" w14:textId="77777777" w:rsidR="00000000" w:rsidRDefault="00EB4933">
            <w:pPr>
              <w:pStyle w:val="NormalWeb"/>
              <w:spacing w:before="0" w:beforeAutospacing="0" w:after="0" w:afterAutospacing="0"/>
              <w:rPr>
                <w:sz w:val="20"/>
                <w:szCs w:val="20"/>
              </w:rPr>
            </w:pPr>
            <w:r>
              <w:rPr>
                <w:sz w:val="20"/>
                <w:szCs w:val="20"/>
              </w:rPr>
              <w:t>At December 31, 2018</w:t>
            </w:r>
          </w:p>
        </w:tc>
        <w:tc>
          <w:tcPr>
            <w:tcW w:w="50" w:type="pct"/>
            <w:shd w:val="clear" w:color="auto" w:fill="FFFFFF"/>
            <w:noWrap/>
            <w:vAlign w:val="center"/>
            <w:hideMark/>
          </w:tcPr>
          <w:p w14:paraId="1E4E6D1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BCD9B0"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4F7FAD9" w14:textId="77777777" w:rsidR="00000000" w:rsidRDefault="00EB4933">
            <w:pPr>
              <w:jc w:val="right"/>
              <w:rPr>
                <w:rFonts w:eastAsia="Times New Roman"/>
                <w:sz w:val="20"/>
                <w:szCs w:val="20"/>
              </w:rPr>
            </w:pPr>
            <w:r>
              <w:rPr>
                <w:rFonts w:eastAsia="Times New Roman"/>
                <w:sz w:val="20"/>
                <w:szCs w:val="20"/>
              </w:rPr>
              <w:t>1,000,862</w:t>
            </w:r>
          </w:p>
        </w:tc>
        <w:tc>
          <w:tcPr>
            <w:tcW w:w="50" w:type="pct"/>
            <w:shd w:val="clear" w:color="auto" w:fill="FFFFFF"/>
            <w:noWrap/>
            <w:vAlign w:val="center"/>
            <w:hideMark/>
          </w:tcPr>
          <w:p w14:paraId="385F1C5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D00B3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4AA78D"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E0AA802" w14:textId="77777777" w:rsidR="00000000" w:rsidRDefault="00EB4933">
            <w:pPr>
              <w:jc w:val="right"/>
              <w:rPr>
                <w:rFonts w:eastAsia="Times New Roman"/>
                <w:sz w:val="20"/>
                <w:szCs w:val="20"/>
              </w:rPr>
            </w:pPr>
            <w:r>
              <w:rPr>
                <w:rFonts w:eastAsia="Times New Roman"/>
                <w:sz w:val="20"/>
                <w:szCs w:val="20"/>
              </w:rPr>
              <w:t>326</w:t>
            </w:r>
          </w:p>
        </w:tc>
        <w:tc>
          <w:tcPr>
            <w:tcW w:w="50" w:type="pct"/>
            <w:shd w:val="clear" w:color="auto" w:fill="FFFFFF"/>
            <w:noWrap/>
            <w:vAlign w:val="center"/>
            <w:hideMark/>
          </w:tcPr>
          <w:p w14:paraId="79DC421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E1809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0F1F43"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62F113A" w14:textId="77777777" w:rsidR="00000000" w:rsidRDefault="00EB4933">
            <w:pPr>
              <w:jc w:val="right"/>
              <w:rPr>
                <w:rFonts w:eastAsia="Times New Roman"/>
                <w:sz w:val="20"/>
                <w:szCs w:val="20"/>
              </w:rPr>
            </w:pPr>
            <w:r>
              <w:rPr>
                <w:rFonts w:eastAsia="Times New Roman"/>
                <w:sz w:val="20"/>
                <w:szCs w:val="20"/>
              </w:rPr>
              <w:t>383,174</w:t>
            </w:r>
          </w:p>
        </w:tc>
        <w:tc>
          <w:tcPr>
            <w:tcW w:w="50" w:type="pct"/>
            <w:shd w:val="clear" w:color="auto" w:fill="FFFFFF"/>
            <w:noWrap/>
            <w:vAlign w:val="center"/>
            <w:hideMark/>
          </w:tcPr>
          <w:p w14:paraId="16B4A74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82140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472417"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C404E24" w14:textId="77777777" w:rsidR="00000000" w:rsidRDefault="00EB4933">
            <w:pPr>
              <w:jc w:val="right"/>
              <w:rPr>
                <w:rFonts w:eastAsia="Times New Roman"/>
                <w:sz w:val="20"/>
                <w:szCs w:val="20"/>
              </w:rPr>
            </w:pPr>
            <w:r>
              <w:rPr>
                <w:rFonts w:eastAsia="Times New Roman"/>
                <w:sz w:val="20"/>
                <w:szCs w:val="20"/>
              </w:rPr>
              <w:t>383,500</w:t>
            </w:r>
          </w:p>
        </w:tc>
        <w:tc>
          <w:tcPr>
            <w:tcW w:w="50" w:type="pct"/>
            <w:shd w:val="clear" w:color="auto" w:fill="FFFFFF"/>
            <w:noWrap/>
            <w:vAlign w:val="center"/>
            <w:hideMark/>
          </w:tcPr>
          <w:p w14:paraId="6A026F0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694E7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F4ABB6"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96C35AB" w14:textId="77777777" w:rsidR="00000000" w:rsidRDefault="00EB4933">
            <w:pPr>
              <w:jc w:val="right"/>
              <w:rPr>
                <w:rFonts w:eastAsia="Times New Roman"/>
                <w:sz w:val="20"/>
                <w:szCs w:val="20"/>
              </w:rPr>
            </w:pPr>
            <w:r>
              <w:rPr>
                <w:rFonts w:eastAsia="Times New Roman"/>
                <w:sz w:val="20"/>
                <w:szCs w:val="20"/>
              </w:rPr>
              <w:t>95,875</w:t>
            </w:r>
          </w:p>
        </w:tc>
        <w:tc>
          <w:tcPr>
            <w:tcW w:w="50" w:type="pct"/>
            <w:shd w:val="clear" w:color="auto" w:fill="FFFFFF"/>
            <w:noWrap/>
            <w:vAlign w:val="center"/>
            <w:hideMark/>
          </w:tcPr>
          <w:p w14:paraId="37539EB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FC91C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72053D" w14:textId="77777777" w:rsidR="00000000" w:rsidRDefault="00EB4933">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A3FF5F7" w14:textId="77777777" w:rsidR="00000000" w:rsidRDefault="00EB4933">
            <w:pPr>
              <w:jc w:val="right"/>
              <w:rPr>
                <w:rFonts w:eastAsia="Times New Roman"/>
                <w:sz w:val="20"/>
                <w:szCs w:val="20"/>
              </w:rPr>
            </w:pPr>
            <w:r>
              <w:rPr>
                <w:rFonts w:eastAsia="Times New Roman"/>
                <w:sz w:val="20"/>
                <w:szCs w:val="20"/>
              </w:rPr>
              <w:t>479,375</w:t>
            </w:r>
          </w:p>
        </w:tc>
        <w:tc>
          <w:tcPr>
            <w:tcW w:w="50" w:type="pct"/>
            <w:shd w:val="clear" w:color="auto" w:fill="FFFFFF"/>
            <w:noWrap/>
            <w:vAlign w:val="center"/>
            <w:hideMark/>
          </w:tcPr>
          <w:p w14:paraId="22CBC180" w14:textId="77777777" w:rsidR="00000000" w:rsidRDefault="00EB4933">
            <w:pPr>
              <w:pStyle w:val="NormalWeb"/>
              <w:spacing w:before="0" w:beforeAutospacing="0" w:after="0" w:afterAutospacing="0"/>
              <w:rPr>
                <w:sz w:val="20"/>
                <w:szCs w:val="20"/>
              </w:rPr>
            </w:pPr>
            <w:r>
              <w:rPr>
                <w:sz w:val="20"/>
                <w:szCs w:val="20"/>
              </w:rPr>
              <w:t> </w:t>
            </w:r>
          </w:p>
        </w:tc>
      </w:tr>
      <w:tr w:rsidR="00000000" w14:paraId="5D648E87" w14:textId="77777777">
        <w:trPr>
          <w:divId w:val="98525094"/>
          <w:trHeight w:val="225"/>
          <w:tblCellSpacing w:w="15" w:type="dxa"/>
        </w:trPr>
        <w:tc>
          <w:tcPr>
            <w:tcW w:w="0" w:type="auto"/>
            <w:shd w:val="clear" w:color="auto" w:fill="CCEEFF"/>
            <w:hideMark/>
          </w:tcPr>
          <w:p w14:paraId="716D99ED" w14:textId="77777777" w:rsidR="00000000" w:rsidRDefault="00EB4933">
            <w:pPr>
              <w:pStyle w:val="NormalWeb"/>
              <w:spacing w:before="0" w:beforeAutospacing="0" w:after="0" w:afterAutospacing="0"/>
              <w:rPr>
                <w:sz w:val="20"/>
                <w:szCs w:val="20"/>
              </w:rPr>
            </w:pPr>
            <w:r>
              <w:rPr>
                <w:sz w:val="20"/>
                <w:szCs w:val="20"/>
              </w:rPr>
              <w:t>Shares issued during the year</w:t>
            </w:r>
          </w:p>
        </w:tc>
        <w:tc>
          <w:tcPr>
            <w:tcW w:w="50" w:type="pct"/>
            <w:shd w:val="clear" w:color="auto" w:fill="CCEEFF"/>
            <w:noWrap/>
            <w:vAlign w:val="center"/>
            <w:hideMark/>
          </w:tcPr>
          <w:p w14:paraId="14B715D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ECE36AB"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58141C3B" w14:textId="77777777" w:rsidR="00000000" w:rsidRDefault="00EB4933">
            <w:pPr>
              <w:jc w:val="right"/>
              <w:rPr>
                <w:rFonts w:eastAsia="Times New Roman"/>
                <w:sz w:val="20"/>
                <w:szCs w:val="20"/>
              </w:rPr>
            </w:pPr>
            <w:r>
              <w:rPr>
                <w:rFonts w:eastAsia="Times New Roman"/>
                <w:sz w:val="20"/>
                <w:szCs w:val="20"/>
              </w:rPr>
              <w:t>269</w:t>
            </w:r>
          </w:p>
        </w:tc>
        <w:tc>
          <w:tcPr>
            <w:tcW w:w="50" w:type="pct"/>
            <w:shd w:val="clear" w:color="auto" w:fill="CCEEFF"/>
            <w:noWrap/>
            <w:tcMar>
              <w:top w:w="0" w:type="dxa"/>
              <w:left w:w="0" w:type="dxa"/>
              <w:bottom w:w="15" w:type="dxa"/>
              <w:right w:w="0" w:type="dxa"/>
            </w:tcMar>
            <w:vAlign w:val="center"/>
            <w:hideMark/>
          </w:tcPr>
          <w:p w14:paraId="168BE2A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838ECB" w14:textId="77777777" w:rsidR="00000000" w:rsidRDefault="00EB4933">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CCEEFF"/>
            <w:vAlign w:val="center"/>
            <w:hideMark/>
          </w:tcPr>
          <w:p w14:paraId="4509BEF6" w14:textId="77777777" w:rsidR="00000000" w:rsidRDefault="00EB4933">
            <w:pPr>
              <w:pStyle w:val="NormalWeb"/>
              <w:spacing w:before="0" w:beforeAutospacing="0" w:after="0" w:afterAutospacing="0"/>
              <w:jc w:val="right"/>
              <w:rPr>
                <w:sz w:val="20"/>
                <w:szCs w:val="20"/>
              </w:rPr>
            </w:pPr>
            <w:r>
              <w:rPr>
                <w:sz w:val="20"/>
                <w:szCs w:val="20"/>
              </w:rPr>
              <w:t>*</w:t>
            </w:r>
          </w:p>
        </w:tc>
        <w:tc>
          <w:tcPr>
            <w:tcW w:w="50" w:type="pct"/>
            <w:shd w:val="clear" w:color="auto" w:fill="CCEEFF"/>
            <w:noWrap/>
            <w:tcMar>
              <w:top w:w="0" w:type="dxa"/>
              <w:left w:w="0" w:type="dxa"/>
              <w:bottom w:w="15" w:type="dxa"/>
              <w:right w:w="0" w:type="dxa"/>
            </w:tcMar>
            <w:vAlign w:val="center"/>
            <w:hideMark/>
          </w:tcPr>
          <w:p w14:paraId="21EFCC9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87B16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BAE0812"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5E788F33"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521A90B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2D7EC3" w14:textId="77777777" w:rsidR="00000000" w:rsidRDefault="00EB4933">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CCEEFF"/>
            <w:vAlign w:val="center"/>
            <w:hideMark/>
          </w:tcPr>
          <w:p w14:paraId="4C64DBFA" w14:textId="77777777" w:rsidR="00000000" w:rsidRDefault="00EB4933">
            <w:pPr>
              <w:pStyle w:val="NormalWeb"/>
              <w:spacing w:before="0" w:beforeAutospacing="0" w:after="0" w:afterAutospacing="0"/>
              <w:jc w:val="right"/>
              <w:rPr>
                <w:sz w:val="20"/>
                <w:szCs w:val="20"/>
              </w:rPr>
            </w:pPr>
            <w:r>
              <w:rPr>
                <w:sz w:val="20"/>
                <w:szCs w:val="20"/>
              </w:rPr>
              <w:t>*</w:t>
            </w:r>
          </w:p>
        </w:tc>
        <w:tc>
          <w:tcPr>
            <w:tcW w:w="50" w:type="pct"/>
            <w:shd w:val="clear" w:color="auto" w:fill="CCEEFF"/>
            <w:noWrap/>
            <w:tcMar>
              <w:top w:w="0" w:type="dxa"/>
              <w:left w:w="0" w:type="dxa"/>
              <w:bottom w:w="15" w:type="dxa"/>
              <w:right w:w="0" w:type="dxa"/>
            </w:tcMar>
            <w:vAlign w:val="center"/>
            <w:hideMark/>
          </w:tcPr>
          <w:p w14:paraId="5457D73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E756A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DF52FEB"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723C3AFC"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0BAFD60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B377F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70EA80F"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CCEEFF"/>
            <w:vAlign w:val="bottom"/>
            <w:hideMark/>
          </w:tcPr>
          <w:p w14:paraId="18521334"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1FB77DDF" w14:textId="77777777" w:rsidR="00000000" w:rsidRDefault="00EB4933">
            <w:pPr>
              <w:pStyle w:val="NormalWeb"/>
              <w:spacing w:before="0" w:beforeAutospacing="0" w:after="0" w:afterAutospacing="0"/>
              <w:rPr>
                <w:sz w:val="20"/>
                <w:szCs w:val="20"/>
              </w:rPr>
            </w:pPr>
            <w:r>
              <w:rPr>
                <w:sz w:val="20"/>
                <w:szCs w:val="20"/>
              </w:rPr>
              <w:t> </w:t>
            </w:r>
          </w:p>
        </w:tc>
      </w:tr>
      <w:tr w:rsidR="00000000" w14:paraId="00B4691E" w14:textId="77777777">
        <w:trPr>
          <w:divId w:val="98525094"/>
          <w:trHeight w:val="225"/>
          <w:tblCellSpacing w:w="15" w:type="dxa"/>
        </w:trPr>
        <w:tc>
          <w:tcPr>
            <w:tcW w:w="0" w:type="auto"/>
            <w:shd w:val="clear" w:color="auto" w:fill="FFFFFF"/>
            <w:hideMark/>
          </w:tcPr>
          <w:p w14:paraId="75BCCBEC" w14:textId="77777777" w:rsidR="00000000" w:rsidRDefault="00EB4933">
            <w:pPr>
              <w:pStyle w:val="NormalWeb"/>
              <w:spacing w:before="0" w:beforeAutospacing="0" w:after="0" w:afterAutospacing="0"/>
              <w:rPr>
                <w:sz w:val="20"/>
                <w:szCs w:val="20"/>
              </w:rPr>
            </w:pPr>
            <w:r>
              <w:rPr>
                <w:sz w:val="20"/>
                <w:szCs w:val="20"/>
              </w:rPr>
              <w:t>At December 31, 2019</w:t>
            </w:r>
          </w:p>
        </w:tc>
        <w:tc>
          <w:tcPr>
            <w:tcW w:w="50" w:type="pct"/>
            <w:shd w:val="clear" w:color="auto" w:fill="FFFFFF"/>
            <w:noWrap/>
            <w:vAlign w:val="center"/>
            <w:hideMark/>
          </w:tcPr>
          <w:p w14:paraId="66E818B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7109FC2D"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FFFFFF"/>
            <w:vAlign w:val="bottom"/>
            <w:hideMark/>
          </w:tcPr>
          <w:p w14:paraId="271C2B4F" w14:textId="77777777" w:rsidR="00000000" w:rsidRDefault="00EB4933">
            <w:pPr>
              <w:jc w:val="right"/>
              <w:rPr>
                <w:rFonts w:eastAsia="Times New Roman"/>
                <w:sz w:val="20"/>
                <w:szCs w:val="20"/>
              </w:rPr>
            </w:pPr>
            <w:r>
              <w:rPr>
                <w:rFonts w:eastAsia="Times New Roman"/>
                <w:sz w:val="20"/>
                <w:szCs w:val="20"/>
              </w:rPr>
              <w:t>1,001,131</w:t>
            </w:r>
          </w:p>
        </w:tc>
        <w:tc>
          <w:tcPr>
            <w:tcW w:w="50" w:type="pct"/>
            <w:shd w:val="clear" w:color="auto" w:fill="FFFFFF"/>
            <w:noWrap/>
            <w:tcMar>
              <w:top w:w="0" w:type="dxa"/>
              <w:left w:w="0" w:type="dxa"/>
              <w:bottom w:w="45" w:type="dxa"/>
              <w:right w:w="0" w:type="dxa"/>
            </w:tcMar>
            <w:vAlign w:val="center"/>
            <w:hideMark/>
          </w:tcPr>
          <w:p w14:paraId="7EB62AF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9B71E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3F6E07BB"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FFFFFF"/>
            <w:vAlign w:val="bottom"/>
            <w:hideMark/>
          </w:tcPr>
          <w:p w14:paraId="7B2B7615" w14:textId="77777777" w:rsidR="00000000" w:rsidRDefault="00EB4933">
            <w:pPr>
              <w:jc w:val="right"/>
              <w:rPr>
                <w:rFonts w:eastAsia="Times New Roman"/>
                <w:sz w:val="20"/>
                <w:szCs w:val="20"/>
              </w:rPr>
            </w:pPr>
            <w:r>
              <w:rPr>
                <w:rFonts w:eastAsia="Times New Roman"/>
                <w:sz w:val="20"/>
                <w:szCs w:val="20"/>
              </w:rPr>
              <w:t>326</w:t>
            </w:r>
          </w:p>
        </w:tc>
        <w:tc>
          <w:tcPr>
            <w:tcW w:w="50" w:type="pct"/>
            <w:shd w:val="clear" w:color="auto" w:fill="FFFFFF"/>
            <w:noWrap/>
            <w:tcMar>
              <w:top w:w="0" w:type="dxa"/>
              <w:left w:w="0" w:type="dxa"/>
              <w:bottom w:w="45" w:type="dxa"/>
              <w:right w:w="0" w:type="dxa"/>
            </w:tcMar>
            <w:vAlign w:val="center"/>
            <w:hideMark/>
          </w:tcPr>
          <w:p w14:paraId="4D5E0C1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0205E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64A92FF4"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FFFFFF"/>
            <w:vAlign w:val="bottom"/>
            <w:hideMark/>
          </w:tcPr>
          <w:p w14:paraId="49A196F4" w14:textId="77777777" w:rsidR="00000000" w:rsidRDefault="00EB4933">
            <w:pPr>
              <w:jc w:val="right"/>
              <w:rPr>
                <w:rFonts w:eastAsia="Times New Roman"/>
                <w:sz w:val="20"/>
                <w:szCs w:val="20"/>
              </w:rPr>
            </w:pPr>
            <w:r>
              <w:rPr>
                <w:rFonts w:eastAsia="Times New Roman"/>
                <w:sz w:val="20"/>
                <w:szCs w:val="20"/>
              </w:rPr>
              <w:t>383,174</w:t>
            </w:r>
          </w:p>
        </w:tc>
        <w:tc>
          <w:tcPr>
            <w:tcW w:w="50" w:type="pct"/>
            <w:shd w:val="clear" w:color="auto" w:fill="FFFFFF"/>
            <w:noWrap/>
            <w:tcMar>
              <w:top w:w="0" w:type="dxa"/>
              <w:left w:w="0" w:type="dxa"/>
              <w:bottom w:w="45" w:type="dxa"/>
              <w:right w:w="0" w:type="dxa"/>
            </w:tcMar>
            <w:vAlign w:val="center"/>
            <w:hideMark/>
          </w:tcPr>
          <w:p w14:paraId="5728FD6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8D844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02184BF2"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FFFFFF"/>
            <w:vAlign w:val="bottom"/>
            <w:hideMark/>
          </w:tcPr>
          <w:p w14:paraId="79264692" w14:textId="77777777" w:rsidR="00000000" w:rsidRDefault="00EB4933">
            <w:pPr>
              <w:jc w:val="right"/>
              <w:rPr>
                <w:rFonts w:eastAsia="Times New Roman"/>
                <w:sz w:val="20"/>
                <w:szCs w:val="20"/>
              </w:rPr>
            </w:pPr>
            <w:r>
              <w:rPr>
                <w:rFonts w:eastAsia="Times New Roman"/>
                <w:sz w:val="20"/>
                <w:szCs w:val="20"/>
              </w:rPr>
              <w:t>383,500</w:t>
            </w:r>
          </w:p>
        </w:tc>
        <w:tc>
          <w:tcPr>
            <w:tcW w:w="50" w:type="pct"/>
            <w:shd w:val="clear" w:color="auto" w:fill="FFFFFF"/>
            <w:noWrap/>
            <w:tcMar>
              <w:top w:w="0" w:type="dxa"/>
              <w:left w:w="0" w:type="dxa"/>
              <w:bottom w:w="45" w:type="dxa"/>
              <w:right w:w="0" w:type="dxa"/>
            </w:tcMar>
            <w:vAlign w:val="center"/>
            <w:hideMark/>
          </w:tcPr>
          <w:p w14:paraId="4C6E501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0284D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5EAF6F84"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FFFFFF"/>
            <w:vAlign w:val="bottom"/>
            <w:hideMark/>
          </w:tcPr>
          <w:p w14:paraId="0B56105F" w14:textId="77777777" w:rsidR="00000000" w:rsidRDefault="00EB4933">
            <w:pPr>
              <w:jc w:val="right"/>
              <w:rPr>
                <w:rFonts w:eastAsia="Times New Roman"/>
                <w:sz w:val="20"/>
                <w:szCs w:val="20"/>
              </w:rPr>
            </w:pPr>
            <w:r>
              <w:rPr>
                <w:rFonts w:eastAsia="Times New Roman"/>
                <w:sz w:val="20"/>
                <w:szCs w:val="20"/>
              </w:rPr>
              <w:t>95,875</w:t>
            </w:r>
          </w:p>
        </w:tc>
        <w:tc>
          <w:tcPr>
            <w:tcW w:w="50" w:type="pct"/>
            <w:shd w:val="clear" w:color="auto" w:fill="FFFFFF"/>
            <w:noWrap/>
            <w:tcMar>
              <w:top w:w="0" w:type="dxa"/>
              <w:left w:w="0" w:type="dxa"/>
              <w:bottom w:w="45" w:type="dxa"/>
              <w:right w:w="0" w:type="dxa"/>
            </w:tcMar>
            <w:vAlign w:val="center"/>
            <w:hideMark/>
          </w:tcPr>
          <w:p w14:paraId="7FBEB1D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B8D70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3B1DE642" w14:textId="77777777" w:rsidR="00000000" w:rsidRDefault="00EB4933">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FFFFFF"/>
            <w:vAlign w:val="bottom"/>
            <w:hideMark/>
          </w:tcPr>
          <w:p w14:paraId="05174D18" w14:textId="77777777" w:rsidR="00000000" w:rsidRDefault="00EB4933">
            <w:pPr>
              <w:jc w:val="right"/>
              <w:rPr>
                <w:rFonts w:eastAsia="Times New Roman"/>
                <w:sz w:val="20"/>
                <w:szCs w:val="20"/>
              </w:rPr>
            </w:pPr>
            <w:r>
              <w:rPr>
                <w:rFonts w:eastAsia="Times New Roman"/>
                <w:sz w:val="20"/>
                <w:szCs w:val="20"/>
              </w:rPr>
              <w:t>479,375</w:t>
            </w:r>
          </w:p>
        </w:tc>
        <w:tc>
          <w:tcPr>
            <w:tcW w:w="50" w:type="pct"/>
            <w:shd w:val="clear" w:color="auto" w:fill="FFFFFF"/>
            <w:noWrap/>
            <w:tcMar>
              <w:top w:w="0" w:type="dxa"/>
              <w:left w:w="0" w:type="dxa"/>
              <w:bottom w:w="45" w:type="dxa"/>
              <w:right w:w="0" w:type="dxa"/>
            </w:tcMar>
            <w:vAlign w:val="center"/>
            <w:hideMark/>
          </w:tcPr>
          <w:p w14:paraId="69F54066" w14:textId="77777777" w:rsidR="00000000" w:rsidRDefault="00EB4933">
            <w:pPr>
              <w:pStyle w:val="NormalWeb"/>
              <w:spacing w:before="0" w:beforeAutospacing="0" w:after="0" w:afterAutospacing="0"/>
              <w:rPr>
                <w:sz w:val="20"/>
                <w:szCs w:val="20"/>
              </w:rPr>
            </w:pPr>
            <w:r>
              <w:rPr>
                <w:sz w:val="20"/>
                <w:szCs w:val="20"/>
              </w:rPr>
              <w:t> </w:t>
            </w:r>
          </w:p>
        </w:tc>
      </w:tr>
    </w:tbl>
    <w:p w14:paraId="2431522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328989B" w14:textId="77777777" w:rsidR="00000000" w:rsidRDefault="00EB4933">
      <w:pPr>
        <w:pStyle w:val="NormalWeb"/>
        <w:spacing w:before="0" w:beforeAutospacing="0" w:after="0" w:afterAutospacing="0"/>
        <w:ind w:left="675"/>
        <w:jc w:val="both"/>
        <w:divId w:val="98525094"/>
        <w:rPr>
          <w:sz w:val="20"/>
          <w:szCs w:val="20"/>
        </w:rPr>
      </w:pPr>
      <w:r>
        <w:rPr>
          <w:rStyle w:val="Strong"/>
          <w:sz w:val="20"/>
          <w:szCs w:val="20"/>
        </w:rPr>
        <w:t xml:space="preserve">* </w:t>
      </w:r>
      <w:r>
        <w:rPr>
          <w:sz w:val="20"/>
          <w:szCs w:val="20"/>
        </w:rPr>
        <w:t>Less than 1,000.</w:t>
      </w:r>
      <w:r>
        <w:rPr>
          <w:rStyle w:val="Strong"/>
          <w:sz w:val="20"/>
          <w:szCs w:val="20"/>
        </w:rPr>
        <w:t xml:space="preserve"> </w:t>
      </w:r>
    </w:p>
    <w:p w14:paraId="17731E68" w14:textId="77777777" w:rsidR="00000000" w:rsidRDefault="00EB4933">
      <w:pPr>
        <w:pStyle w:val="NormalWeb"/>
        <w:spacing w:before="0" w:beforeAutospacing="0" w:after="0" w:afterAutospacing="0"/>
        <w:ind w:left="108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201DE75" w14:textId="77777777">
        <w:trPr>
          <w:divId w:val="98525094"/>
          <w:trHeight w:val="225"/>
          <w:tblCellSpacing w:w="15" w:type="dxa"/>
        </w:trPr>
        <w:tc>
          <w:tcPr>
            <w:tcW w:w="0" w:type="auto"/>
            <w:vAlign w:val="center"/>
            <w:hideMark/>
          </w:tcPr>
          <w:p w14:paraId="36623E6E" w14:textId="77777777" w:rsidR="00000000" w:rsidRDefault="00EB4933">
            <w:pPr>
              <w:rPr>
                <w:rFonts w:eastAsia="Times New Roman"/>
                <w:sz w:val="20"/>
                <w:szCs w:val="20"/>
              </w:rPr>
            </w:pPr>
            <w:r>
              <w:rPr>
                <w:rFonts w:eastAsia="Times New Roman"/>
                <w:sz w:val="20"/>
                <w:szCs w:val="20"/>
              </w:rPr>
              <w:t> </w:t>
            </w:r>
          </w:p>
        </w:tc>
      </w:tr>
      <w:tr w:rsidR="00000000" w14:paraId="024898E4" w14:textId="77777777">
        <w:trPr>
          <w:divId w:val="98525094"/>
          <w:trHeight w:val="225"/>
          <w:tblCellSpacing w:w="15" w:type="dxa"/>
        </w:trPr>
        <w:tc>
          <w:tcPr>
            <w:tcW w:w="0" w:type="auto"/>
            <w:tcBorders>
              <w:bottom w:val="single" w:sz="6" w:space="0" w:color="000000"/>
            </w:tcBorders>
            <w:vAlign w:val="center"/>
            <w:hideMark/>
          </w:tcPr>
          <w:p w14:paraId="4CC02497" w14:textId="77777777" w:rsidR="00000000" w:rsidRDefault="00EB4933">
            <w:pPr>
              <w:jc w:val="center"/>
              <w:rPr>
                <w:rFonts w:eastAsia="Times New Roman"/>
                <w:sz w:val="20"/>
                <w:szCs w:val="20"/>
              </w:rPr>
            </w:pPr>
            <w:r>
              <w:rPr>
                <w:rFonts w:eastAsia="Times New Roman"/>
                <w:sz w:val="20"/>
                <w:szCs w:val="20"/>
              </w:rPr>
              <w:t>F-60</w:t>
            </w:r>
          </w:p>
        </w:tc>
      </w:tr>
      <w:tr w:rsidR="00000000" w14:paraId="385C41C4" w14:textId="77777777">
        <w:trPr>
          <w:divId w:val="98525094"/>
          <w:trHeight w:val="225"/>
          <w:tblCellSpacing w:w="15" w:type="dxa"/>
        </w:trPr>
        <w:tc>
          <w:tcPr>
            <w:tcW w:w="0" w:type="auto"/>
            <w:vAlign w:val="center"/>
            <w:hideMark/>
          </w:tcPr>
          <w:p w14:paraId="361E02C0" w14:textId="77777777" w:rsidR="00000000" w:rsidRDefault="00EB4933">
            <w:pPr>
              <w:rPr>
                <w:rFonts w:eastAsia="Times New Roman"/>
                <w:sz w:val="20"/>
                <w:szCs w:val="20"/>
              </w:rPr>
            </w:pPr>
          </w:p>
        </w:tc>
      </w:tr>
      <w:tr w:rsidR="00000000" w14:paraId="171F4E80" w14:textId="77777777">
        <w:trPr>
          <w:divId w:val="98525094"/>
          <w:trHeight w:val="225"/>
          <w:tblCellSpacing w:w="15" w:type="dxa"/>
        </w:trPr>
        <w:tc>
          <w:tcPr>
            <w:tcW w:w="0" w:type="auto"/>
            <w:vAlign w:val="center"/>
            <w:hideMark/>
          </w:tcPr>
          <w:p w14:paraId="4653C7A8" w14:textId="77777777" w:rsidR="00000000" w:rsidRDefault="00EB4933">
            <w:pPr>
              <w:rPr>
                <w:rFonts w:eastAsia="Times New Roman"/>
                <w:sz w:val="20"/>
                <w:szCs w:val="20"/>
              </w:rPr>
            </w:pPr>
            <w:hyperlink r:id="rId277" w:anchor="finindex" w:history="1">
              <w:r>
                <w:rPr>
                  <w:rStyle w:val="Hyperlink"/>
                  <w:rFonts w:eastAsia="Times New Roman"/>
                  <w:i/>
                  <w:iCs/>
                  <w:sz w:val="20"/>
                  <w:szCs w:val="20"/>
                </w:rPr>
                <w:t>Table of Contents</w:t>
              </w:r>
            </w:hyperlink>
          </w:p>
        </w:tc>
      </w:tr>
    </w:tbl>
    <w:p w14:paraId="27134F8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ADDDAE3"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1C22F3D5"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03F10328"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5012C1A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A9C7012" w14:textId="77777777" w:rsidR="00000000" w:rsidRDefault="00EB4933">
      <w:pPr>
        <w:pStyle w:val="NormalWeb"/>
        <w:spacing w:before="0" w:beforeAutospacing="0" w:after="0" w:afterAutospacing="0"/>
        <w:jc w:val="both"/>
        <w:divId w:val="98525094"/>
        <w:rPr>
          <w:sz w:val="20"/>
          <w:szCs w:val="20"/>
        </w:rPr>
      </w:pPr>
      <w:r>
        <w:rPr>
          <w:rStyle w:val="Strong"/>
          <w:sz w:val="20"/>
          <w:szCs w:val="20"/>
        </w:rPr>
        <w:t>25.  Statutory reserve</w:t>
      </w:r>
    </w:p>
    <w:p w14:paraId="5E84502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50404D9" w14:textId="77777777" w:rsidR="00000000" w:rsidRDefault="00EB4933">
      <w:pPr>
        <w:pStyle w:val="NormalWeb"/>
        <w:spacing w:before="0" w:beforeAutospacing="0" w:after="0" w:afterAutospacing="0"/>
        <w:ind w:left="675"/>
        <w:jc w:val="both"/>
        <w:divId w:val="98525094"/>
        <w:rPr>
          <w:sz w:val="20"/>
          <w:szCs w:val="20"/>
        </w:rPr>
      </w:pPr>
      <w:r>
        <w:rPr>
          <w:sz w:val="20"/>
          <w:szCs w:val="20"/>
        </w:rPr>
        <w:t>In accordance with the relevant laws and regulations of the PRC, the entities established in the PR</w:t>
      </w:r>
      <w:r>
        <w:rPr>
          <w:sz w:val="20"/>
          <w:szCs w:val="20"/>
        </w:rPr>
        <w:t>C are required to transfer 10% of profits after taxation (in accordance with the accounting regulations of the PRC) to a statutory reserve, until the reserve balance reaches 50% of the entity’s registered capital. The reserve may be used to offset accumula</w:t>
      </w:r>
      <w:r>
        <w:rPr>
          <w:sz w:val="20"/>
          <w:szCs w:val="20"/>
        </w:rPr>
        <w:t>ted losses or to increase the registered capital, subject to approval from the PRC authorities, and are not available for dividend distribution to equity owners. As of December 31, 2018 and 2019, total statutory reserves were RMB17.5 million and RMB23.4 mi</w:t>
      </w:r>
      <w:r>
        <w:rPr>
          <w:sz w:val="20"/>
          <w:szCs w:val="20"/>
        </w:rPr>
        <w:t>llion, respectively, which did not reach 50% of the variable interest entity’s registered capital.</w:t>
      </w:r>
    </w:p>
    <w:p w14:paraId="563AA50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2DA50EB" w14:textId="77777777" w:rsidR="00000000" w:rsidRDefault="00EB4933">
      <w:pPr>
        <w:pStyle w:val="NormalWeb"/>
        <w:spacing w:before="0" w:beforeAutospacing="0" w:after="0" w:afterAutospacing="0"/>
        <w:jc w:val="both"/>
        <w:divId w:val="98525094"/>
        <w:rPr>
          <w:sz w:val="20"/>
          <w:szCs w:val="20"/>
        </w:rPr>
      </w:pPr>
      <w:r>
        <w:rPr>
          <w:rStyle w:val="Strong"/>
          <w:sz w:val="20"/>
          <w:szCs w:val="20"/>
        </w:rPr>
        <w:t>26. General risk reserve</w:t>
      </w:r>
    </w:p>
    <w:p w14:paraId="2C5F0A8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522ED79" w14:textId="77777777" w:rsidR="00000000" w:rsidRDefault="00EB4933">
      <w:pPr>
        <w:pStyle w:val="NormalWeb"/>
        <w:spacing w:before="0" w:beforeAutospacing="0" w:after="0" w:afterAutospacing="0"/>
        <w:ind w:left="675"/>
        <w:jc w:val="both"/>
        <w:divId w:val="98525094"/>
        <w:rPr>
          <w:sz w:val="20"/>
          <w:szCs w:val="20"/>
        </w:rPr>
      </w:pPr>
      <w:r>
        <w:rPr>
          <w:sz w:val="20"/>
          <w:szCs w:val="20"/>
        </w:rPr>
        <w:lastRenderedPageBreak/>
        <w:t>In accordance with the relevant laws and regulations of the PRC, the Group’s variable interest entity is required to maintain a general risk reserve within the equity, through appropriation of profit, which should not be less than 1.5% of the year end bala</w:t>
      </w:r>
      <w:r>
        <w:rPr>
          <w:sz w:val="20"/>
          <w:szCs w:val="20"/>
        </w:rPr>
        <w:t>nce of its risk assets over the course of five years. As of December 31, 2018 and 2019, total statutory reserves were RMB12.4 million and RMB9.2 million, respectively.</w:t>
      </w:r>
    </w:p>
    <w:p w14:paraId="37FD296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62A2438" w14:textId="77777777" w:rsidR="00000000" w:rsidRDefault="00EB4933">
      <w:pPr>
        <w:pStyle w:val="NormalWeb"/>
        <w:spacing w:before="0" w:beforeAutospacing="0" w:after="0" w:afterAutospacing="0"/>
        <w:jc w:val="both"/>
        <w:divId w:val="98525094"/>
        <w:rPr>
          <w:sz w:val="20"/>
          <w:szCs w:val="20"/>
        </w:rPr>
      </w:pPr>
      <w:r>
        <w:rPr>
          <w:rStyle w:val="Strong"/>
          <w:sz w:val="20"/>
          <w:szCs w:val="20"/>
        </w:rPr>
        <w:t>27. Related party transactions</w:t>
      </w:r>
    </w:p>
    <w:p w14:paraId="19BC3CFB"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59B63AA4" w14:textId="77777777">
        <w:trPr>
          <w:divId w:val="98525094"/>
          <w:trHeight w:val="225"/>
          <w:tblCellSpacing w:w="15" w:type="dxa"/>
        </w:trPr>
        <w:tc>
          <w:tcPr>
            <w:tcW w:w="200" w:type="pct"/>
            <w:vAlign w:val="center"/>
            <w:hideMark/>
          </w:tcPr>
          <w:p w14:paraId="657C2B58"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6797B7B7" w14:textId="77777777" w:rsidR="00000000" w:rsidRDefault="00EB4933">
            <w:pPr>
              <w:pStyle w:val="NormalWeb"/>
              <w:spacing w:before="0" w:beforeAutospacing="0" w:after="0" w:afterAutospacing="0"/>
              <w:rPr>
                <w:sz w:val="20"/>
                <w:szCs w:val="20"/>
              </w:rPr>
            </w:pPr>
            <w:r>
              <w:rPr>
                <w:rStyle w:val="Strong"/>
                <w:sz w:val="20"/>
                <w:szCs w:val="20"/>
              </w:rPr>
              <w:t xml:space="preserve">1. </w:t>
            </w:r>
          </w:p>
        </w:tc>
        <w:tc>
          <w:tcPr>
            <w:tcW w:w="0" w:type="auto"/>
            <w:hideMark/>
          </w:tcPr>
          <w:p w14:paraId="426FE523" w14:textId="77777777" w:rsidR="00000000" w:rsidRDefault="00EB4933">
            <w:pPr>
              <w:rPr>
                <w:rFonts w:eastAsia="Times New Roman"/>
                <w:sz w:val="20"/>
                <w:szCs w:val="20"/>
              </w:rPr>
            </w:pPr>
            <w:r>
              <w:rPr>
                <w:rStyle w:val="Strong"/>
                <w:rFonts w:eastAsia="Times New Roman"/>
                <w:sz w:val="20"/>
                <w:szCs w:val="20"/>
              </w:rPr>
              <w:t xml:space="preserve">Lease of office space from a shareholder </w:t>
            </w:r>
          </w:p>
        </w:tc>
      </w:tr>
    </w:tbl>
    <w:p w14:paraId="3EF497F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877D320" w14:textId="77777777" w:rsidR="00000000" w:rsidRDefault="00EB4933">
      <w:pPr>
        <w:pStyle w:val="NormalWeb"/>
        <w:spacing w:before="0" w:beforeAutospacing="0" w:after="0" w:afterAutospacing="0"/>
        <w:ind w:left="1350"/>
        <w:jc w:val="both"/>
        <w:divId w:val="98525094"/>
        <w:rPr>
          <w:sz w:val="20"/>
          <w:szCs w:val="20"/>
        </w:rPr>
      </w:pPr>
      <w:r>
        <w:rPr>
          <w:sz w:val="20"/>
          <w:szCs w:val="20"/>
        </w:rPr>
        <w:t>In</w:t>
      </w:r>
      <w:r>
        <w:rPr>
          <w:sz w:val="20"/>
          <w:szCs w:val="20"/>
        </w:rPr>
        <w:t xml:space="preserve"> September 2012, a ten-year operating lease agreement from October 8, 2012 to October 7, 2022 was entered into with Hubei Daily Media Group, a shareholder who owned 20% of the variable interest entity, in Wuhan City, Hubei Province, where office space of a</w:t>
      </w:r>
      <w:r>
        <w:rPr>
          <w:sz w:val="20"/>
          <w:szCs w:val="20"/>
        </w:rPr>
        <w:t>pproximately 1,673 square meters was leased and the office is located at 6th Floor, Block 1, Hubei Daily Cultural Creative Industrial Park, No 181 Donghu Road, Wuchang District, Wuhan City, Hubei Province, China. The lease amount is RMB1.0 million per year</w:t>
      </w:r>
      <w:r>
        <w:rPr>
          <w:sz w:val="20"/>
          <w:szCs w:val="20"/>
        </w:rPr>
        <w:t xml:space="preserve"> for the first five years and RMB1.1 million per year for the last five years. The lease was terminated in December 2018. The lease expenses of RMB1.2 million, RMB1.3 million and nil were incurred for the years ended December 31, 2017, 2018 and 2019, respe</w:t>
      </w:r>
      <w:r>
        <w:rPr>
          <w:sz w:val="20"/>
          <w:szCs w:val="20"/>
        </w:rPr>
        <w:t>ctively.</w:t>
      </w:r>
    </w:p>
    <w:p w14:paraId="37EB4306"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57771332" w14:textId="77777777" w:rsidR="00000000" w:rsidRDefault="00EB4933">
      <w:pPr>
        <w:pStyle w:val="NormalWeb"/>
        <w:spacing w:before="0" w:beforeAutospacing="0" w:after="0" w:afterAutospacing="0"/>
        <w:ind w:left="1350"/>
        <w:jc w:val="both"/>
        <w:divId w:val="98525094"/>
        <w:rPr>
          <w:sz w:val="20"/>
          <w:szCs w:val="20"/>
        </w:rPr>
      </w:pPr>
      <w:r>
        <w:rPr>
          <w:sz w:val="20"/>
          <w:szCs w:val="20"/>
        </w:rPr>
        <w:t>As of December 31, 2018 and 2019, prepaid rental to a shareholder were RMB0.4 million and nil, respectively.</w:t>
      </w:r>
    </w:p>
    <w:p w14:paraId="0E285316"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498A9C68" w14:textId="77777777">
        <w:trPr>
          <w:divId w:val="98525094"/>
          <w:trHeight w:val="225"/>
          <w:tblCellSpacing w:w="15" w:type="dxa"/>
        </w:trPr>
        <w:tc>
          <w:tcPr>
            <w:tcW w:w="200" w:type="pct"/>
            <w:vAlign w:val="center"/>
            <w:hideMark/>
          </w:tcPr>
          <w:p w14:paraId="3C083860"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22679C5C" w14:textId="77777777" w:rsidR="00000000" w:rsidRDefault="00EB4933">
            <w:pPr>
              <w:pStyle w:val="NormalWeb"/>
              <w:spacing w:before="0" w:beforeAutospacing="0" w:after="0" w:afterAutospacing="0"/>
              <w:rPr>
                <w:sz w:val="20"/>
                <w:szCs w:val="20"/>
              </w:rPr>
            </w:pPr>
            <w:r>
              <w:rPr>
                <w:rStyle w:val="Strong"/>
                <w:sz w:val="20"/>
                <w:szCs w:val="20"/>
              </w:rPr>
              <w:t xml:space="preserve">2. </w:t>
            </w:r>
          </w:p>
        </w:tc>
        <w:tc>
          <w:tcPr>
            <w:tcW w:w="0" w:type="auto"/>
            <w:hideMark/>
          </w:tcPr>
          <w:p w14:paraId="7BE634F5" w14:textId="77777777" w:rsidR="00000000" w:rsidRDefault="00EB4933">
            <w:pPr>
              <w:rPr>
                <w:rFonts w:eastAsia="Times New Roman"/>
                <w:sz w:val="20"/>
                <w:szCs w:val="20"/>
              </w:rPr>
            </w:pPr>
            <w:r>
              <w:rPr>
                <w:rStyle w:val="Strong"/>
                <w:rFonts w:eastAsia="Times New Roman"/>
                <w:sz w:val="20"/>
                <w:szCs w:val="20"/>
              </w:rPr>
              <w:t>Subleasing income with a related party</w:t>
            </w:r>
          </w:p>
        </w:tc>
      </w:tr>
    </w:tbl>
    <w:p w14:paraId="659F0FE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233089C" w14:textId="77777777" w:rsidR="00000000" w:rsidRDefault="00EB4933">
      <w:pPr>
        <w:pStyle w:val="NormalWeb"/>
        <w:spacing w:before="0" w:beforeAutospacing="0" w:after="0" w:afterAutospacing="0"/>
        <w:ind w:left="1350"/>
        <w:jc w:val="both"/>
        <w:divId w:val="98525094"/>
        <w:rPr>
          <w:sz w:val="20"/>
          <w:szCs w:val="20"/>
        </w:rPr>
      </w:pPr>
      <w:r>
        <w:rPr>
          <w:sz w:val="20"/>
          <w:szCs w:val="20"/>
        </w:rPr>
        <w:t>In 2017, 2018 and 2019, a subleasing agreement was entered into with Hubei New Nature Investment Co., Ltd, a company that is 80.8% owned by the Chairman and the Chief Executive Officer, Mr Ricky Qizhi Wei, to sublease office spaces of approximately 304 squ</w:t>
      </w:r>
      <w:r>
        <w:rPr>
          <w:sz w:val="20"/>
          <w:szCs w:val="20"/>
        </w:rPr>
        <w:t>are meters for RMB0.2 million, RMB0.2 million and nil, respectively.</w:t>
      </w:r>
    </w:p>
    <w:p w14:paraId="1ADE18C6"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55691E13" w14:textId="77777777" w:rsidR="00000000" w:rsidRDefault="00EB4933">
      <w:pPr>
        <w:pStyle w:val="NormalWeb"/>
        <w:spacing w:before="0" w:beforeAutospacing="0" w:after="0" w:afterAutospacing="0"/>
        <w:ind w:left="1350"/>
        <w:jc w:val="both"/>
        <w:divId w:val="98525094"/>
        <w:rPr>
          <w:sz w:val="20"/>
          <w:szCs w:val="20"/>
        </w:rPr>
      </w:pPr>
      <w:r>
        <w:rPr>
          <w:sz w:val="20"/>
          <w:szCs w:val="20"/>
        </w:rPr>
        <w:t>As of December 31, 2018 and 2019, receivable from a related party was RMB0.3 million and nil, respectively.</w:t>
      </w:r>
    </w:p>
    <w:p w14:paraId="3CB396F2"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BC3D2AD" w14:textId="77777777">
        <w:trPr>
          <w:divId w:val="98525094"/>
          <w:trHeight w:val="225"/>
          <w:tblCellSpacing w:w="15" w:type="dxa"/>
        </w:trPr>
        <w:tc>
          <w:tcPr>
            <w:tcW w:w="0" w:type="auto"/>
            <w:vAlign w:val="center"/>
            <w:hideMark/>
          </w:tcPr>
          <w:p w14:paraId="50B285CC" w14:textId="77777777" w:rsidR="00000000" w:rsidRDefault="00EB4933">
            <w:pPr>
              <w:rPr>
                <w:rFonts w:eastAsia="Times New Roman"/>
                <w:sz w:val="20"/>
                <w:szCs w:val="20"/>
              </w:rPr>
            </w:pPr>
            <w:r>
              <w:rPr>
                <w:rFonts w:eastAsia="Times New Roman"/>
                <w:sz w:val="20"/>
                <w:szCs w:val="20"/>
              </w:rPr>
              <w:t> </w:t>
            </w:r>
          </w:p>
        </w:tc>
      </w:tr>
      <w:tr w:rsidR="00000000" w14:paraId="191442F6" w14:textId="77777777">
        <w:trPr>
          <w:divId w:val="98525094"/>
          <w:trHeight w:val="225"/>
          <w:tblCellSpacing w:w="15" w:type="dxa"/>
        </w:trPr>
        <w:tc>
          <w:tcPr>
            <w:tcW w:w="0" w:type="auto"/>
            <w:tcBorders>
              <w:bottom w:val="single" w:sz="6" w:space="0" w:color="000000"/>
            </w:tcBorders>
            <w:vAlign w:val="center"/>
            <w:hideMark/>
          </w:tcPr>
          <w:p w14:paraId="52762272" w14:textId="77777777" w:rsidR="00000000" w:rsidRDefault="00EB4933">
            <w:pPr>
              <w:jc w:val="center"/>
              <w:rPr>
                <w:rFonts w:eastAsia="Times New Roman"/>
                <w:sz w:val="20"/>
                <w:szCs w:val="20"/>
              </w:rPr>
            </w:pPr>
            <w:r>
              <w:rPr>
                <w:rFonts w:eastAsia="Times New Roman"/>
                <w:sz w:val="20"/>
                <w:szCs w:val="20"/>
              </w:rPr>
              <w:t>F-61</w:t>
            </w:r>
          </w:p>
        </w:tc>
      </w:tr>
      <w:tr w:rsidR="00000000" w14:paraId="3E3B4F18" w14:textId="77777777">
        <w:trPr>
          <w:divId w:val="98525094"/>
          <w:trHeight w:val="225"/>
          <w:tblCellSpacing w:w="15" w:type="dxa"/>
        </w:trPr>
        <w:tc>
          <w:tcPr>
            <w:tcW w:w="0" w:type="auto"/>
            <w:vAlign w:val="center"/>
            <w:hideMark/>
          </w:tcPr>
          <w:p w14:paraId="39599F26" w14:textId="77777777" w:rsidR="00000000" w:rsidRDefault="00EB4933">
            <w:pPr>
              <w:rPr>
                <w:rFonts w:eastAsia="Times New Roman"/>
                <w:sz w:val="20"/>
                <w:szCs w:val="20"/>
              </w:rPr>
            </w:pPr>
          </w:p>
        </w:tc>
      </w:tr>
      <w:tr w:rsidR="00000000" w14:paraId="773698C4" w14:textId="77777777">
        <w:trPr>
          <w:divId w:val="98525094"/>
          <w:trHeight w:val="225"/>
          <w:tblCellSpacing w:w="15" w:type="dxa"/>
        </w:trPr>
        <w:tc>
          <w:tcPr>
            <w:tcW w:w="0" w:type="auto"/>
            <w:vAlign w:val="center"/>
            <w:hideMark/>
          </w:tcPr>
          <w:p w14:paraId="045620D7" w14:textId="77777777" w:rsidR="00000000" w:rsidRDefault="00EB4933">
            <w:pPr>
              <w:rPr>
                <w:rFonts w:eastAsia="Times New Roman"/>
                <w:sz w:val="20"/>
                <w:szCs w:val="20"/>
              </w:rPr>
            </w:pPr>
            <w:hyperlink r:id="rId278" w:anchor="finindex" w:history="1">
              <w:r>
                <w:rPr>
                  <w:rStyle w:val="Hyperlink"/>
                  <w:rFonts w:eastAsia="Times New Roman"/>
                  <w:i/>
                  <w:iCs/>
                  <w:sz w:val="20"/>
                  <w:szCs w:val="20"/>
                </w:rPr>
                <w:t>Table of Contents</w:t>
              </w:r>
            </w:hyperlink>
          </w:p>
        </w:tc>
      </w:tr>
    </w:tbl>
    <w:p w14:paraId="048F8E0B"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1248F2C6"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139640F1"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06461B12"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4A8939E3"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0D7E83B9" w14:textId="77777777" w:rsidR="00000000" w:rsidRDefault="00EB4933">
      <w:pPr>
        <w:pStyle w:val="NormalWeb"/>
        <w:spacing w:before="0" w:beforeAutospacing="0" w:after="0" w:afterAutospacing="0"/>
        <w:jc w:val="both"/>
        <w:divId w:val="98525094"/>
        <w:rPr>
          <w:sz w:val="20"/>
          <w:szCs w:val="20"/>
        </w:rPr>
      </w:pPr>
      <w:r>
        <w:rPr>
          <w:rStyle w:val="Strong"/>
          <w:sz w:val="20"/>
          <w:szCs w:val="20"/>
        </w:rPr>
        <w:t>27. Related party transactions - continued</w:t>
      </w:r>
    </w:p>
    <w:p w14:paraId="499003E8"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69A53FAC" w14:textId="77777777">
        <w:trPr>
          <w:divId w:val="98525094"/>
          <w:trHeight w:val="225"/>
          <w:tblCellSpacing w:w="15" w:type="dxa"/>
        </w:trPr>
        <w:tc>
          <w:tcPr>
            <w:tcW w:w="200" w:type="pct"/>
            <w:vAlign w:val="center"/>
            <w:hideMark/>
          </w:tcPr>
          <w:p w14:paraId="34F2C1DC"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6003E1F2" w14:textId="77777777" w:rsidR="00000000" w:rsidRDefault="00EB4933">
            <w:pPr>
              <w:pStyle w:val="NormalWeb"/>
              <w:spacing w:before="0" w:beforeAutospacing="0" w:after="0" w:afterAutospacing="0"/>
              <w:rPr>
                <w:sz w:val="20"/>
                <w:szCs w:val="20"/>
              </w:rPr>
            </w:pPr>
            <w:r>
              <w:rPr>
                <w:rStyle w:val="Strong"/>
                <w:sz w:val="20"/>
                <w:szCs w:val="20"/>
              </w:rPr>
              <w:t xml:space="preserve">3. </w:t>
            </w:r>
          </w:p>
        </w:tc>
        <w:tc>
          <w:tcPr>
            <w:tcW w:w="0" w:type="auto"/>
            <w:hideMark/>
          </w:tcPr>
          <w:p w14:paraId="0FFFF6A1" w14:textId="77777777" w:rsidR="00000000" w:rsidRDefault="00EB4933">
            <w:pPr>
              <w:rPr>
                <w:rFonts w:eastAsia="Times New Roman"/>
                <w:sz w:val="20"/>
                <w:szCs w:val="20"/>
              </w:rPr>
            </w:pPr>
            <w:r>
              <w:rPr>
                <w:rStyle w:val="Strong"/>
                <w:rFonts w:eastAsia="Times New Roman"/>
                <w:sz w:val="20"/>
                <w:szCs w:val="20"/>
              </w:rPr>
              <w:t>Loans payable to related parties</w:t>
            </w:r>
          </w:p>
        </w:tc>
      </w:tr>
    </w:tbl>
    <w:p w14:paraId="0388AABD"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784"/>
        <w:gridCol w:w="400"/>
        <w:gridCol w:w="8176"/>
      </w:tblGrid>
      <w:tr w:rsidR="00000000" w14:paraId="69F86E8D" w14:textId="77777777">
        <w:trPr>
          <w:divId w:val="98525094"/>
          <w:trHeight w:val="225"/>
          <w:tblCellSpacing w:w="15" w:type="dxa"/>
        </w:trPr>
        <w:tc>
          <w:tcPr>
            <w:tcW w:w="400" w:type="pct"/>
            <w:vAlign w:val="center"/>
            <w:hideMark/>
          </w:tcPr>
          <w:p w14:paraId="2D0AD4CD"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13928289" w14:textId="77777777" w:rsidR="00000000" w:rsidRDefault="00EB4933">
            <w:pPr>
              <w:pStyle w:val="NormalWeb"/>
              <w:spacing w:before="0" w:beforeAutospacing="0" w:after="0" w:afterAutospacing="0"/>
              <w:jc w:val="both"/>
              <w:rPr>
                <w:sz w:val="20"/>
                <w:szCs w:val="20"/>
              </w:rPr>
            </w:pPr>
            <w:r>
              <w:rPr>
                <w:sz w:val="20"/>
                <w:szCs w:val="20"/>
              </w:rPr>
              <w:t xml:space="preserve">3.1 </w:t>
            </w:r>
          </w:p>
        </w:tc>
        <w:tc>
          <w:tcPr>
            <w:tcW w:w="0" w:type="auto"/>
            <w:hideMark/>
          </w:tcPr>
          <w:p w14:paraId="76A66EE0" w14:textId="77777777" w:rsidR="00000000" w:rsidRDefault="00EB4933">
            <w:pPr>
              <w:jc w:val="both"/>
              <w:rPr>
                <w:rFonts w:eastAsia="Times New Roman"/>
                <w:sz w:val="20"/>
                <w:szCs w:val="20"/>
              </w:rPr>
            </w:pPr>
            <w:r>
              <w:rPr>
                <w:rFonts w:eastAsia="Times New Roman"/>
                <w:sz w:val="20"/>
                <w:szCs w:val="20"/>
              </w:rPr>
              <w:t>In 2018, loans payable of RMB60.0 million were borrowed from a related party, Hubei Shanyin Wealth Management Co., Ltd, a company that is 69.5% owned by the Chairman and the Chief Executive Officer, Mr Ricky Qizhi Wei, at an interest rate of 9% per annum w</w:t>
            </w:r>
            <w:r>
              <w:rPr>
                <w:rFonts w:eastAsia="Times New Roman"/>
                <w:sz w:val="20"/>
                <w:szCs w:val="20"/>
              </w:rPr>
              <w:t xml:space="preserve">ith maturity ranging from August to October 2019. As of December 31, 2019, these loans payable and the related interest payable were overdue. The interest expenses were RMB1.4 million and RMB4.7 million in 2018 and 2019, respectively. </w:t>
            </w:r>
          </w:p>
        </w:tc>
      </w:tr>
      <w:tr w:rsidR="00000000" w14:paraId="1CBADD7D" w14:textId="77777777">
        <w:trPr>
          <w:divId w:val="98525094"/>
          <w:trHeight w:val="225"/>
          <w:tblCellSpacing w:w="15" w:type="dxa"/>
        </w:trPr>
        <w:tc>
          <w:tcPr>
            <w:tcW w:w="0" w:type="auto"/>
            <w:vAlign w:val="center"/>
            <w:hideMark/>
          </w:tcPr>
          <w:p w14:paraId="7AB5F5B4"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319FFC78"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61A547A8"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560CC4F3" w14:textId="77777777">
        <w:trPr>
          <w:divId w:val="98525094"/>
          <w:trHeight w:val="225"/>
          <w:tblCellSpacing w:w="15" w:type="dxa"/>
        </w:trPr>
        <w:tc>
          <w:tcPr>
            <w:tcW w:w="0" w:type="auto"/>
            <w:vAlign w:val="center"/>
            <w:hideMark/>
          </w:tcPr>
          <w:p w14:paraId="47CFB5A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06781505"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47CB1C62" w14:textId="77777777" w:rsidR="00000000" w:rsidRDefault="00EB4933">
            <w:pPr>
              <w:pStyle w:val="NormalWeb"/>
              <w:spacing w:before="0" w:beforeAutospacing="0" w:after="0" w:afterAutospacing="0"/>
              <w:jc w:val="both"/>
              <w:rPr>
                <w:sz w:val="20"/>
                <w:szCs w:val="20"/>
              </w:rPr>
            </w:pPr>
            <w:r>
              <w:rPr>
                <w:sz w:val="20"/>
                <w:szCs w:val="20"/>
              </w:rPr>
              <w:t>As of December 31, 2018 and 2019, loans payable were RMB60.0 million and RMB50.0 million and the related interest payable was RMB1.4 million and RMB5.9 million, respectively.</w:t>
            </w:r>
          </w:p>
        </w:tc>
      </w:tr>
      <w:tr w:rsidR="00000000" w14:paraId="58630C55" w14:textId="77777777">
        <w:trPr>
          <w:divId w:val="98525094"/>
          <w:trHeight w:val="225"/>
          <w:tblCellSpacing w:w="15" w:type="dxa"/>
        </w:trPr>
        <w:tc>
          <w:tcPr>
            <w:tcW w:w="0" w:type="auto"/>
            <w:vAlign w:val="center"/>
            <w:hideMark/>
          </w:tcPr>
          <w:p w14:paraId="42EC86F4" w14:textId="77777777" w:rsidR="00000000" w:rsidRDefault="00EB4933">
            <w:pPr>
              <w:pStyle w:val="NormalWeb"/>
              <w:spacing w:before="0" w:beforeAutospacing="0" w:after="0" w:afterAutospacing="0"/>
              <w:jc w:val="both"/>
              <w:rPr>
                <w:sz w:val="20"/>
                <w:szCs w:val="20"/>
              </w:rPr>
            </w:pPr>
            <w:r>
              <w:rPr>
                <w:sz w:val="20"/>
                <w:szCs w:val="20"/>
              </w:rPr>
              <w:lastRenderedPageBreak/>
              <w:t> </w:t>
            </w:r>
          </w:p>
        </w:tc>
        <w:tc>
          <w:tcPr>
            <w:tcW w:w="0" w:type="auto"/>
            <w:vAlign w:val="center"/>
            <w:hideMark/>
          </w:tcPr>
          <w:p w14:paraId="07020EF8"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7504E8C7"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22568CA" w14:textId="77777777">
        <w:trPr>
          <w:divId w:val="98525094"/>
          <w:trHeight w:val="225"/>
          <w:tblCellSpacing w:w="15" w:type="dxa"/>
        </w:trPr>
        <w:tc>
          <w:tcPr>
            <w:tcW w:w="0" w:type="auto"/>
            <w:vAlign w:val="center"/>
            <w:hideMark/>
          </w:tcPr>
          <w:p w14:paraId="6ADD0466"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3BFEAFFF" w14:textId="77777777" w:rsidR="00000000" w:rsidRDefault="00EB4933">
            <w:pPr>
              <w:pStyle w:val="NormalWeb"/>
              <w:spacing w:before="0" w:beforeAutospacing="0" w:after="0" w:afterAutospacing="0"/>
              <w:jc w:val="both"/>
              <w:rPr>
                <w:sz w:val="20"/>
                <w:szCs w:val="20"/>
              </w:rPr>
            </w:pPr>
            <w:r>
              <w:rPr>
                <w:sz w:val="20"/>
                <w:szCs w:val="20"/>
              </w:rPr>
              <w:t>3.2</w:t>
            </w:r>
          </w:p>
        </w:tc>
        <w:tc>
          <w:tcPr>
            <w:tcW w:w="0" w:type="auto"/>
            <w:vAlign w:val="center"/>
            <w:hideMark/>
          </w:tcPr>
          <w:p w14:paraId="34B295B1" w14:textId="77777777" w:rsidR="00000000" w:rsidRDefault="00EB4933">
            <w:pPr>
              <w:pStyle w:val="NormalWeb"/>
              <w:spacing w:before="0" w:beforeAutospacing="0" w:after="0" w:afterAutospacing="0"/>
              <w:jc w:val="both"/>
              <w:rPr>
                <w:sz w:val="20"/>
                <w:szCs w:val="20"/>
              </w:rPr>
            </w:pPr>
            <w:r>
              <w:rPr>
                <w:sz w:val="20"/>
                <w:szCs w:val="20"/>
              </w:rPr>
              <w:t>In 2018, loans payable of RMB20.0 million were borrowed from a rela</w:t>
            </w:r>
            <w:r>
              <w:rPr>
                <w:sz w:val="20"/>
                <w:szCs w:val="20"/>
              </w:rPr>
              <w:t xml:space="preserve">ted party, Hubei New Nature Investment Co., Ltd (“Hubei New Nature”), a company that is 80.8% owned by the Chairman and the Chief Executive Officer, Mr Ricky Qizhi Wei, at an interest rate of 12% per annum and repayable in November 2019. In December 2018, </w:t>
            </w:r>
            <w:r>
              <w:rPr>
                <w:sz w:val="20"/>
                <w:szCs w:val="20"/>
              </w:rPr>
              <w:t>loan of RMB0.5 million was repaid. In 2019, loans payable of RMB17.4 million were further borrowed, loans of RMB14.7 million were repaid. In 2019, certain loans receivable were novated to Hubei New Nature to offset against loans payable of RMB9.9 million a</w:t>
            </w:r>
            <w:r>
              <w:rPr>
                <w:sz w:val="20"/>
                <w:szCs w:val="20"/>
              </w:rPr>
              <w:t xml:space="preserve">nd interest payable of RMB3.1 million to Hubei New Nature. The interest expenses were RMB0.3 million and RMB3.0 million in 2018 and 2019, respectively. </w:t>
            </w:r>
          </w:p>
        </w:tc>
      </w:tr>
      <w:tr w:rsidR="00000000" w14:paraId="6436CE2A" w14:textId="77777777">
        <w:trPr>
          <w:divId w:val="98525094"/>
          <w:trHeight w:val="225"/>
          <w:tblCellSpacing w:w="15" w:type="dxa"/>
        </w:trPr>
        <w:tc>
          <w:tcPr>
            <w:tcW w:w="0" w:type="auto"/>
            <w:vAlign w:val="center"/>
            <w:hideMark/>
          </w:tcPr>
          <w:p w14:paraId="3031DDC8"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041617AE"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5E970F67"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02B9FC6" w14:textId="77777777">
        <w:trPr>
          <w:divId w:val="98525094"/>
          <w:trHeight w:val="225"/>
          <w:tblCellSpacing w:w="15" w:type="dxa"/>
        </w:trPr>
        <w:tc>
          <w:tcPr>
            <w:tcW w:w="0" w:type="auto"/>
            <w:vAlign w:val="center"/>
            <w:hideMark/>
          </w:tcPr>
          <w:p w14:paraId="259002BE"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20C5F291"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64F75959" w14:textId="77777777" w:rsidR="00000000" w:rsidRDefault="00EB4933">
            <w:pPr>
              <w:pStyle w:val="NormalWeb"/>
              <w:spacing w:before="0" w:beforeAutospacing="0" w:after="0" w:afterAutospacing="0"/>
              <w:jc w:val="both"/>
              <w:rPr>
                <w:sz w:val="20"/>
                <w:szCs w:val="20"/>
              </w:rPr>
            </w:pPr>
            <w:r>
              <w:rPr>
                <w:sz w:val="20"/>
                <w:szCs w:val="20"/>
              </w:rPr>
              <w:t>As of December 31, 2018 and 2019, loans payable were RMB19.5 million and RMB12.3 million an</w:t>
            </w:r>
            <w:r>
              <w:rPr>
                <w:sz w:val="20"/>
                <w:szCs w:val="20"/>
              </w:rPr>
              <w:t>d the related interest payable was RMB259,000 and RMB127,000, respectively.</w:t>
            </w:r>
          </w:p>
        </w:tc>
      </w:tr>
      <w:tr w:rsidR="00000000" w14:paraId="55234AC8" w14:textId="77777777">
        <w:trPr>
          <w:divId w:val="98525094"/>
          <w:trHeight w:val="225"/>
          <w:tblCellSpacing w:w="15" w:type="dxa"/>
        </w:trPr>
        <w:tc>
          <w:tcPr>
            <w:tcW w:w="0" w:type="auto"/>
            <w:vAlign w:val="center"/>
            <w:hideMark/>
          </w:tcPr>
          <w:p w14:paraId="249D2CBF"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3CCA6F9C"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3D287BD4"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77977D6F" w14:textId="77777777">
        <w:trPr>
          <w:divId w:val="98525094"/>
          <w:trHeight w:val="225"/>
          <w:tblCellSpacing w:w="15" w:type="dxa"/>
        </w:trPr>
        <w:tc>
          <w:tcPr>
            <w:tcW w:w="0" w:type="auto"/>
            <w:vAlign w:val="center"/>
            <w:hideMark/>
          </w:tcPr>
          <w:p w14:paraId="45F8C188"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7325674E" w14:textId="77777777" w:rsidR="00000000" w:rsidRDefault="00EB4933">
            <w:pPr>
              <w:pStyle w:val="NormalWeb"/>
              <w:spacing w:before="0" w:beforeAutospacing="0" w:after="0" w:afterAutospacing="0"/>
              <w:jc w:val="both"/>
              <w:rPr>
                <w:sz w:val="20"/>
                <w:szCs w:val="20"/>
              </w:rPr>
            </w:pPr>
            <w:r>
              <w:rPr>
                <w:sz w:val="20"/>
                <w:szCs w:val="20"/>
              </w:rPr>
              <w:t>3.3</w:t>
            </w:r>
          </w:p>
        </w:tc>
        <w:tc>
          <w:tcPr>
            <w:tcW w:w="0" w:type="auto"/>
            <w:vAlign w:val="center"/>
            <w:hideMark/>
          </w:tcPr>
          <w:p w14:paraId="7CF90090" w14:textId="77777777" w:rsidR="00000000" w:rsidRDefault="00EB4933">
            <w:pPr>
              <w:pStyle w:val="NormalWeb"/>
              <w:spacing w:before="0" w:beforeAutospacing="0" w:after="0" w:afterAutospacing="0"/>
              <w:jc w:val="both"/>
              <w:rPr>
                <w:sz w:val="20"/>
                <w:szCs w:val="20"/>
              </w:rPr>
            </w:pPr>
            <w:r>
              <w:rPr>
                <w:sz w:val="20"/>
                <w:szCs w:val="20"/>
              </w:rPr>
              <w:t>In 2018, loans payable of RMB8.0 million were borrowed from a related party, Hubei New Chutaifu Asset Management Co., Ltd, a company that is 50% owned by Hubei New Nature Investment Co., Ltd, a company that is 80.8% owned by the Chairman and the Chief Exec</w:t>
            </w:r>
            <w:r>
              <w:rPr>
                <w:sz w:val="20"/>
                <w:szCs w:val="20"/>
              </w:rPr>
              <w:t>utive Officer, Mr Ricky Qizhi Wei, at an interest rate of 8% per annum and the loan duration was 97 days. The interest expenses were RMB0.2 million in 2018. The loan and related interest payable were fully repaid in 2018.</w:t>
            </w:r>
          </w:p>
        </w:tc>
      </w:tr>
    </w:tbl>
    <w:p w14:paraId="09B40589"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76F0D7D" w14:textId="77777777">
        <w:trPr>
          <w:divId w:val="98525094"/>
          <w:trHeight w:val="225"/>
          <w:tblCellSpacing w:w="15" w:type="dxa"/>
        </w:trPr>
        <w:tc>
          <w:tcPr>
            <w:tcW w:w="0" w:type="auto"/>
            <w:vAlign w:val="center"/>
            <w:hideMark/>
          </w:tcPr>
          <w:p w14:paraId="5A451622" w14:textId="77777777" w:rsidR="00000000" w:rsidRDefault="00EB4933">
            <w:pPr>
              <w:rPr>
                <w:rFonts w:eastAsia="Times New Roman"/>
                <w:sz w:val="20"/>
                <w:szCs w:val="20"/>
              </w:rPr>
            </w:pPr>
            <w:r>
              <w:rPr>
                <w:rFonts w:eastAsia="Times New Roman"/>
                <w:sz w:val="20"/>
                <w:szCs w:val="20"/>
              </w:rPr>
              <w:t> </w:t>
            </w:r>
          </w:p>
        </w:tc>
      </w:tr>
      <w:tr w:rsidR="00000000" w14:paraId="4A5E0B98" w14:textId="77777777">
        <w:trPr>
          <w:divId w:val="98525094"/>
          <w:trHeight w:val="225"/>
          <w:tblCellSpacing w:w="15" w:type="dxa"/>
        </w:trPr>
        <w:tc>
          <w:tcPr>
            <w:tcW w:w="0" w:type="auto"/>
            <w:tcBorders>
              <w:bottom w:val="single" w:sz="6" w:space="0" w:color="000000"/>
            </w:tcBorders>
            <w:vAlign w:val="center"/>
            <w:hideMark/>
          </w:tcPr>
          <w:p w14:paraId="6A6546E7" w14:textId="77777777" w:rsidR="00000000" w:rsidRDefault="00EB4933">
            <w:pPr>
              <w:jc w:val="center"/>
              <w:rPr>
                <w:rFonts w:eastAsia="Times New Roman"/>
                <w:sz w:val="20"/>
                <w:szCs w:val="20"/>
              </w:rPr>
            </w:pPr>
            <w:r>
              <w:rPr>
                <w:rFonts w:eastAsia="Times New Roman"/>
                <w:sz w:val="20"/>
                <w:szCs w:val="20"/>
              </w:rPr>
              <w:t>F-62</w:t>
            </w:r>
          </w:p>
        </w:tc>
      </w:tr>
      <w:tr w:rsidR="00000000" w14:paraId="4AD30EFB" w14:textId="77777777">
        <w:trPr>
          <w:divId w:val="98525094"/>
          <w:trHeight w:val="225"/>
          <w:tblCellSpacing w:w="15" w:type="dxa"/>
        </w:trPr>
        <w:tc>
          <w:tcPr>
            <w:tcW w:w="0" w:type="auto"/>
            <w:vAlign w:val="center"/>
            <w:hideMark/>
          </w:tcPr>
          <w:p w14:paraId="14EFB3D7" w14:textId="77777777" w:rsidR="00000000" w:rsidRDefault="00EB4933">
            <w:pPr>
              <w:rPr>
                <w:rFonts w:eastAsia="Times New Roman"/>
                <w:sz w:val="20"/>
                <w:szCs w:val="20"/>
              </w:rPr>
            </w:pPr>
          </w:p>
        </w:tc>
      </w:tr>
      <w:tr w:rsidR="00000000" w14:paraId="7AF6C96C" w14:textId="77777777">
        <w:trPr>
          <w:divId w:val="98525094"/>
          <w:trHeight w:val="225"/>
          <w:tblCellSpacing w:w="15" w:type="dxa"/>
        </w:trPr>
        <w:tc>
          <w:tcPr>
            <w:tcW w:w="0" w:type="auto"/>
            <w:vAlign w:val="center"/>
            <w:hideMark/>
          </w:tcPr>
          <w:p w14:paraId="1DF27ECA" w14:textId="77777777" w:rsidR="00000000" w:rsidRDefault="00EB4933">
            <w:pPr>
              <w:rPr>
                <w:rFonts w:eastAsia="Times New Roman"/>
                <w:sz w:val="20"/>
                <w:szCs w:val="20"/>
              </w:rPr>
            </w:pPr>
            <w:hyperlink r:id="rId279" w:anchor="finindex" w:history="1">
              <w:r>
                <w:rPr>
                  <w:rStyle w:val="Hyperlink"/>
                  <w:rFonts w:eastAsia="Times New Roman"/>
                  <w:i/>
                  <w:iCs/>
                  <w:sz w:val="20"/>
                  <w:szCs w:val="20"/>
                </w:rPr>
                <w:t>Table of Contents</w:t>
              </w:r>
            </w:hyperlink>
          </w:p>
        </w:tc>
      </w:tr>
    </w:tbl>
    <w:p w14:paraId="689A1D5B" w14:textId="77777777" w:rsidR="00000000" w:rsidRDefault="00EB4933">
      <w:pPr>
        <w:pStyle w:val="NormalWeb"/>
        <w:spacing w:before="0" w:beforeAutospacing="0" w:after="0" w:afterAutospacing="0"/>
        <w:jc w:val="both"/>
        <w:divId w:val="98525094"/>
        <w:rPr>
          <w:sz w:val="20"/>
          <w:szCs w:val="20"/>
        </w:rPr>
      </w:pPr>
      <w:r>
        <w:rPr>
          <w:sz w:val="20"/>
          <w:szCs w:val="20"/>
        </w:rPr>
        <w:t>  </w:t>
      </w:r>
      <w:r>
        <w:rPr>
          <w:rStyle w:val="Strong"/>
          <w:sz w:val="20"/>
          <w:szCs w:val="20"/>
        </w:rPr>
        <w:t xml:space="preserve">  </w:t>
      </w:r>
    </w:p>
    <w:p w14:paraId="7B652643"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7279E25B"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48EDAD60"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61212081"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4EE8CC87" w14:textId="77777777" w:rsidR="00000000" w:rsidRDefault="00EB4933">
      <w:pPr>
        <w:pStyle w:val="NormalWeb"/>
        <w:spacing w:before="0" w:beforeAutospacing="0" w:after="0" w:afterAutospacing="0"/>
        <w:jc w:val="both"/>
        <w:divId w:val="98525094"/>
        <w:rPr>
          <w:sz w:val="20"/>
          <w:szCs w:val="20"/>
        </w:rPr>
      </w:pPr>
      <w:r>
        <w:rPr>
          <w:rStyle w:val="Strong"/>
          <w:sz w:val="20"/>
          <w:szCs w:val="20"/>
        </w:rPr>
        <w:t>27. Related party transactions - continued</w:t>
      </w:r>
    </w:p>
    <w:p w14:paraId="53FB44D0"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6171ED5B" w14:textId="77777777">
        <w:trPr>
          <w:divId w:val="98525094"/>
          <w:trHeight w:val="225"/>
          <w:tblCellSpacing w:w="15" w:type="dxa"/>
        </w:trPr>
        <w:tc>
          <w:tcPr>
            <w:tcW w:w="200" w:type="pct"/>
            <w:vAlign w:val="center"/>
            <w:hideMark/>
          </w:tcPr>
          <w:p w14:paraId="698BBD5F"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30ECCF3D" w14:textId="77777777" w:rsidR="00000000" w:rsidRDefault="00EB4933">
            <w:pPr>
              <w:pStyle w:val="NormalWeb"/>
              <w:spacing w:before="0" w:beforeAutospacing="0" w:after="0" w:afterAutospacing="0"/>
              <w:rPr>
                <w:sz w:val="20"/>
                <w:szCs w:val="20"/>
              </w:rPr>
            </w:pPr>
            <w:r>
              <w:rPr>
                <w:rStyle w:val="Strong"/>
                <w:sz w:val="20"/>
                <w:szCs w:val="20"/>
              </w:rPr>
              <w:t xml:space="preserve">4. </w:t>
            </w:r>
          </w:p>
        </w:tc>
        <w:tc>
          <w:tcPr>
            <w:tcW w:w="0" w:type="auto"/>
            <w:hideMark/>
          </w:tcPr>
          <w:p w14:paraId="07D715F4" w14:textId="77777777" w:rsidR="00000000" w:rsidRDefault="00EB4933">
            <w:pPr>
              <w:rPr>
                <w:rFonts w:eastAsia="Times New Roman"/>
                <w:sz w:val="20"/>
                <w:szCs w:val="20"/>
              </w:rPr>
            </w:pPr>
            <w:r>
              <w:rPr>
                <w:rStyle w:val="Strong"/>
                <w:rFonts w:eastAsia="Times New Roman"/>
                <w:sz w:val="20"/>
                <w:szCs w:val="20"/>
              </w:rPr>
              <w:t>Loans payable to shareholders</w:t>
            </w:r>
          </w:p>
        </w:tc>
      </w:tr>
    </w:tbl>
    <w:p w14:paraId="6AABB358"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784"/>
        <w:gridCol w:w="400"/>
        <w:gridCol w:w="8176"/>
      </w:tblGrid>
      <w:tr w:rsidR="00000000" w14:paraId="2C63D97D" w14:textId="77777777">
        <w:trPr>
          <w:divId w:val="98525094"/>
          <w:trHeight w:val="225"/>
          <w:tblCellSpacing w:w="15" w:type="dxa"/>
        </w:trPr>
        <w:tc>
          <w:tcPr>
            <w:tcW w:w="400" w:type="pct"/>
            <w:vAlign w:val="center"/>
            <w:hideMark/>
          </w:tcPr>
          <w:p w14:paraId="580C1766"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62EA9B7D" w14:textId="77777777" w:rsidR="00000000" w:rsidRDefault="00EB4933">
            <w:pPr>
              <w:pStyle w:val="NormalWeb"/>
              <w:spacing w:before="0" w:beforeAutospacing="0" w:after="0" w:afterAutospacing="0"/>
              <w:jc w:val="both"/>
              <w:rPr>
                <w:sz w:val="20"/>
                <w:szCs w:val="20"/>
              </w:rPr>
            </w:pPr>
            <w:r>
              <w:rPr>
                <w:sz w:val="20"/>
                <w:szCs w:val="20"/>
              </w:rPr>
              <w:t xml:space="preserve">4.1 </w:t>
            </w:r>
          </w:p>
        </w:tc>
        <w:tc>
          <w:tcPr>
            <w:tcW w:w="0" w:type="auto"/>
            <w:hideMark/>
          </w:tcPr>
          <w:p w14:paraId="5D5BF8C7" w14:textId="77777777" w:rsidR="00000000" w:rsidRDefault="00EB4933">
            <w:pPr>
              <w:jc w:val="both"/>
              <w:rPr>
                <w:rFonts w:eastAsia="Times New Roman"/>
                <w:sz w:val="20"/>
                <w:szCs w:val="20"/>
              </w:rPr>
            </w:pPr>
            <w:r>
              <w:rPr>
                <w:rFonts w:eastAsia="Times New Roman"/>
                <w:sz w:val="20"/>
                <w:szCs w:val="20"/>
              </w:rPr>
              <w:t>In June 2017, a loan payable of RMB10.0 million was borrowed from Wang Hailin, a shareholder who owned 7.7% of the variable interest entity, at 10% interest per annum. The interest expenses for this loan were RMB0.5</w:t>
            </w:r>
            <w:r>
              <w:rPr>
                <w:rFonts w:eastAsia="Times New Roman"/>
                <w:sz w:val="20"/>
                <w:szCs w:val="20"/>
              </w:rPr>
              <w:t xml:space="preserve"> million and RMB1.3 million in 2017 and 2018, respectively. According to the loan extension agreement, the loan of RMB10.0 million is at interest rate of 15% per annum with additional 9% penalty interest per annum and repayable in February 2019. Subsequent</w:t>
            </w:r>
            <w:r>
              <w:rPr>
                <w:rFonts w:eastAsia="Times New Roman"/>
                <w:sz w:val="20"/>
                <w:szCs w:val="20"/>
              </w:rPr>
              <w:t xml:space="preserve"> to year end, this loan payable was further extended to repayment date in September 2019, at 15% interest per annum with additional 9% penalty interest. </w:t>
            </w:r>
          </w:p>
        </w:tc>
      </w:tr>
      <w:tr w:rsidR="00000000" w14:paraId="2800E09F" w14:textId="77777777">
        <w:trPr>
          <w:divId w:val="98525094"/>
          <w:trHeight w:val="225"/>
          <w:tblCellSpacing w:w="15" w:type="dxa"/>
        </w:trPr>
        <w:tc>
          <w:tcPr>
            <w:tcW w:w="0" w:type="auto"/>
            <w:vAlign w:val="center"/>
            <w:hideMark/>
          </w:tcPr>
          <w:p w14:paraId="0D9B592B"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1BB88869"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1155EA0E"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7383A22F" w14:textId="77777777">
        <w:trPr>
          <w:divId w:val="98525094"/>
          <w:trHeight w:val="225"/>
          <w:tblCellSpacing w:w="15" w:type="dxa"/>
        </w:trPr>
        <w:tc>
          <w:tcPr>
            <w:tcW w:w="0" w:type="auto"/>
            <w:vAlign w:val="center"/>
            <w:hideMark/>
          </w:tcPr>
          <w:p w14:paraId="44B5FCD1"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14B0BB97"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5B194547" w14:textId="77777777" w:rsidR="00000000" w:rsidRDefault="00EB4933">
            <w:pPr>
              <w:pStyle w:val="NormalWeb"/>
              <w:spacing w:before="0" w:beforeAutospacing="0" w:after="0" w:afterAutospacing="0"/>
              <w:jc w:val="both"/>
              <w:rPr>
                <w:sz w:val="20"/>
                <w:szCs w:val="20"/>
              </w:rPr>
            </w:pPr>
            <w:r>
              <w:rPr>
                <w:sz w:val="20"/>
                <w:szCs w:val="20"/>
              </w:rPr>
              <w:t xml:space="preserve">As of December 31, 2018 and 2019, loans payable were RMB10.0 million and RMB10.0 million, </w:t>
            </w:r>
            <w:r>
              <w:rPr>
                <w:sz w:val="20"/>
                <w:szCs w:val="20"/>
              </w:rPr>
              <w:t>respectively. As of December 31, 2018 and 2019, interest payable was RMB243,000 and RMB1.8 million, respectively.</w:t>
            </w:r>
          </w:p>
        </w:tc>
      </w:tr>
    </w:tbl>
    <w:p w14:paraId="1BF1ECC6"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719"/>
        <w:gridCol w:w="530"/>
        <w:gridCol w:w="8111"/>
      </w:tblGrid>
      <w:tr w:rsidR="00000000" w14:paraId="52907FC4" w14:textId="77777777">
        <w:trPr>
          <w:divId w:val="98525094"/>
          <w:trHeight w:val="225"/>
          <w:tblCellSpacing w:w="15" w:type="dxa"/>
        </w:trPr>
        <w:tc>
          <w:tcPr>
            <w:tcW w:w="400" w:type="pct"/>
            <w:vAlign w:val="center"/>
            <w:hideMark/>
          </w:tcPr>
          <w:p w14:paraId="2B15199C"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6384398E" w14:textId="77777777" w:rsidR="00000000" w:rsidRDefault="00EB4933">
            <w:pPr>
              <w:pStyle w:val="NormalWeb"/>
              <w:spacing w:before="0" w:beforeAutospacing="0" w:after="0" w:afterAutospacing="0"/>
              <w:jc w:val="both"/>
              <w:rPr>
                <w:sz w:val="20"/>
                <w:szCs w:val="20"/>
              </w:rPr>
            </w:pPr>
            <w:r>
              <w:rPr>
                <w:sz w:val="20"/>
                <w:szCs w:val="20"/>
              </w:rPr>
              <w:t xml:space="preserve">4.2 </w:t>
            </w:r>
          </w:p>
        </w:tc>
        <w:tc>
          <w:tcPr>
            <w:tcW w:w="0" w:type="auto"/>
            <w:hideMark/>
          </w:tcPr>
          <w:p w14:paraId="62A0EC27" w14:textId="77777777" w:rsidR="00000000" w:rsidRDefault="00EB4933">
            <w:pPr>
              <w:jc w:val="both"/>
              <w:rPr>
                <w:rFonts w:eastAsia="Times New Roman"/>
                <w:sz w:val="20"/>
                <w:szCs w:val="20"/>
              </w:rPr>
            </w:pPr>
            <w:r>
              <w:rPr>
                <w:rFonts w:eastAsia="Times New Roman"/>
                <w:sz w:val="20"/>
                <w:szCs w:val="20"/>
              </w:rPr>
              <w:t>In 2017, loans payable of RMB28.6 million were borrowed from Li Ling, a shareholder who owned 2.5% of the variable interest entity, at 10% per annum interest from January 2017 to December 2017. The Group paid RMB1.2 million for interest on the loan from Li</w:t>
            </w:r>
            <w:r>
              <w:rPr>
                <w:rFonts w:eastAsia="Times New Roman"/>
                <w:sz w:val="20"/>
                <w:szCs w:val="20"/>
              </w:rPr>
              <w:t xml:space="preserve"> Ling. The loan and related interest payable were fully repaid in 2017.</w:t>
            </w:r>
          </w:p>
        </w:tc>
      </w:tr>
      <w:tr w:rsidR="00000000" w14:paraId="38A84EDC" w14:textId="77777777">
        <w:trPr>
          <w:divId w:val="98525094"/>
          <w:trHeight w:val="225"/>
          <w:tblCellSpacing w:w="15" w:type="dxa"/>
        </w:trPr>
        <w:tc>
          <w:tcPr>
            <w:tcW w:w="0" w:type="auto"/>
            <w:vAlign w:val="center"/>
            <w:hideMark/>
          </w:tcPr>
          <w:p w14:paraId="0C8255C0"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7F206E87"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1A3D31B3"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9053923" w14:textId="77777777">
        <w:trPr>
          <w:divId w:val="98525094"/>
          <w:trHeight w:val="225"/>
          <w:tblCellSpacing w:w="15" w:type="dxa"/>
        </w:trPr>
        <w:tc>
          <w:tcPr>
            <w:tcW w:w="0" w:type="auto"/>
            <w:vAlign w:val="center"/>
            <w:hideMark/>
          </w:tcPr>
          <w:p w14:paraId="2BE6158E"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34D5B4F0" w14:textId="77777777" w:rsidR="00000000" w:rsidRDefault="00EB4933">
            <w:pPr>
              <w:pStyle w:val="NormalWeb"/>
              <w:spacing w:before="0" w:beforeAutospacing="0" w:after="0" w:afterAutospacing="0"/>
              <w:jc w:val="both"/>
              <w:rPr>
                <w:sz w:val="20"/>
                <w:szCs w:val="20"/>
              </w:rPr>
            </w:pPr>
            <w:r>
              <w:rPr>
                <w:sz w:val="20"/>
                <w:szCs w:val="20"/>
              </w:rPr>
              <w:t xml:space="preserve">4.3 </w:t>
            </w:r>
          </w:p>
        </w:tc>
        <w:tc>
          <w:tcPr>
            <w:tcW w:w="0" w:type="auto"/>
            <w:hideMark/>
          </w:tcPr>
          <w:p w14:paraId="058B388D" w14:textId="77777777" w:rsidR="00000000" w:rsidRDefault="00EB4933">
            <w:pPr>
              <w:jc w:val="both"/>
              <w:rPr>
                <w:rFonts w:eastAsia="Times New Roman"/>
                <w:sz w:val="20"/>
                <w:szCs w:val="20"/>
              </w:rPr>
            </w:pPr>
            <w:r>
              <w:rPr>
                <w:rFonts w:eastAsia="Times New Roman"/>
                <w:sz w:val="20"/>
                <w:szCs w:val="20"/>
              </w:rPr>
              <w:t>In 2018, a loan payable of RMB5.0 million was borrowed from Li Ling, a shareholder who owned 2.5% of the variable interest entity, at 10% per annum for 230 days. The int</w:t>
            </w:r>
            <w:r>
              <w:rPr>
                <w:rFonts w:eastAsia="Times New Roman"/>
                <w:sz w:val="20"/>
                <w:szCs w:val="20"/>
              </w:rPr>
              <w:t>erest expense on this borrowing was RMB0.3 million in 2018. The loan and related interest payable were fully repaid in 2018.</w:t>
            </w:r>
          </w:p>
        </w:tc>
      </w:tr>
      <w:tr w:rsidR="00000000" w14:paraId="56B57916" w14:textId="77777777">
        <w:trPr>
          <w:divId w:val="98525094"/>
          <w:trHeight w:val="225"/>
          <w:tblCellSpacing w:w="15" w:type="dxa"/>
        </w:trPr>
        <w:tc>
          <w:tcPr>
            <w:tcW w:w="0" w:type="auto"/>
            <w:vAlign w:val="center"/>
            <w:hideMark/>
          </w:tcPr>
          <w:p w14:paraId="686DCB3B" w14:textId="77777777" w:rsidR="00000000" w:rsidRDefault="00EB4933">
            <w:pPr>
              <w:pStyle w:val="NormalWeb"/>
              <w:spacing w:before="0" w:beforeAutospacing="0" w:after="0" w:afterAutospacing="0"/>
              <w:ind w:firstLine="450"/>
              <w:jc w:val="both"/>
              <w:rPr>
                <w:sz w:val="20"/>
                <w:szCs w:val="20"/>
              </w:rPr>
            </w:pPr>
            <w:r>
              <w:rPr>
                <w:sz w:val="20"/>
                <w:szCs w:val="20"/>
              </w:rPr>
              <w:lastRenderedPageBreak/>
              <w:t> </w:t>
            </w:r>
          </w:p>
        </w:tc>
        <w:tc>
          <w:tcPr>
            <w:tcW w:w="0" w:type="auto"/>
            <w:vAlign w:val="center"/>
            <w:hideMark/>
          </w:tcPr>
          <w:p w14:paraId="571A7644"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2D37F4C2"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B7AEB70" w14:textId="77777777">
        <w:trPr>
          <w:divId w:val="98525094"/>
          <w:trHeight w:val="225"/>
          <w:tblCellSpacing w:w="15" w:type="dxa"/>
        </w:trPr>
        <w:tc>
          <w:tcPr>
            <w:tcW w:w="0" w:type="auto"/>
            <w:vAlign w:val="center"/>
            <w:hideMark/>
          </w:tcPr>
          <w:p w14:paraId="0AF32D31"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2E196F5E" w14:textId="77777777" w:rsidR="00000000" w:rsidRDefault="00EB4933">
            <w:pPr>
              <w:pStyle w:val="NormalWeb"/>
              <w:spacing w:before="0" w:beforeAutospacing="0" w:after="0" w:afterAutospacing="0"/>
              <w:jc w:val="both"/>
              <w:rPr>
                <w:sz w:val="20"/>
                <w:szCs w:val="20"/>
              </w:rPr>
            </w:pPr>
            <w:r>
              <w:rPr>
                <w:sz w:val="20"/>
                <w:szCs w:val="20"/>
              </w:rPr>
              <w:t xml:space="preserve">4.4 </w:t>
            </w:r>
          </w:p>
        </w:tc>
        <w:tc>
          <w:tcPr>
            <w:tcW w:w="0" w:type="auto"/>
            <w:hideMark/>
          </w:tcPr>
          <w:p w14:paraId="20D23654" w14:textId="77777777" w:rsidR="00000000" w:rsidRDefault="00EB4933">
            <w:pPr>
              <w:jc w:val="both"/>
              <w:rPr>
                <w:rFonts w:eastAsia="Times New Roman"/>
                <w:sz w:val="20"/>
                <w:szCs w:val="20"/>
              </w:rPr>
            </w:pPr>
            <w:r>
              <w:rPr>
                <w:rFonts w:eastAsia="Times New Roman"/>
                <w:sz w:val="20"/>
                <w:szCs w:val="20"/>
              </w:rPr>
              <w:t>In 2019, loans payable of RMB3.0 million and RMB10.0 million were borrowed from Li Ling, a shareholder who owned 2.5% of the variable interest entity, at 12% per annum for 29 days and 74 days, respectively. At maturity, loan payable of RMB3.0 million and t</w:t>
            </w:r>
            <w:r>
              <w:rPr>
                <w:rFonts w:eastAsia="Times New Roman"/>
                <w:sz w:val="20"/>
                <w:szCs w:val="20"/>
              </w:rPr>
              <w:t xml:space="preserve">he related interest of RMB29,000 were fully repaid. Loan payable of RMB10.0 million was, however, overdue. On August 27, 2019, Li Ling applied to the Wuhan Wuchang People’s Court for pre-litigation property preservation of respondents Chutian and Mr Ricky </w:t>
            </w:r>
            <w:r>
              <w:rPr>
                <w:rFonts w:eastAsia="Times New Roman"/>
                <w:sz w:val="20"/>
                <w:szCs w:val="20"/>
              </w:rPr>
              <w:t xml:space="preserve">Qizhi Wei in connection with a loan contract dispute. Court issued a preservation order that froze the bank deposits of Chutian and Wei Qizhi in the amount of RMB12.0 million, or to seize or attach property in the corresponding value. </w:t>
            </w:r>
          </w:p>
        </w:tc>
      </w:tr>
      <w:tr w:rsidR="00000000" w14:paraId="22AC79E9" w14:textId="77777777">
        <w:trPr>
          <w:divId w:val="98525094"/>
          <w:trHeight w:val="225"/>
          <w:tblCellSpacing w:w="15" w:type="dxa"/>
        </w:trPr>
        <w:tc>
          <w:tcPr>
            <w:tcW w:w="0" w:type="auto"/>
            <w:vAlign w:val="center"/>
            <w:hideMark/>
          </w:tcPr>
          <w:p w14:paraId="75A706FE"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23C44047"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3AE29CF7"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1C7A88C7" w14:textId="77777777">
        <w:trPr>
          <w:divId w:val="98525094"/>
          <w:trHeight w:val="225"/>
          <w:tblCellSpacing w:w="15" w:type="dxa"/>
        </w:trPr>
        <w:tc>
          <w:tcPr>
            <w:tcW w:w="0" w:type="auto"/>
            <w:vAlign w:val="center"/>
            <w:hideMark/>
          </w:tcPr>
          <w:p w14:paraId="4DCDB2BD"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674EE75B"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vAlign w:val="center"/>
            <w:hideMark/>
          </w:tcPr>
          <w:p w14:paraId="590E8113" w14:textId="77777777" w:rsidR="00000000" w:rsidRDefault="00EB4933">
            <w:pPr>
              <w:pStyle w:val="NormalWeb"/>
              <w:spacing w:before="0" w:beforeAutospacing="0" w:after="0" w:afterAutospacing="0"/>
              <w:jc w:val="both"/>
              <w:rPr>
                <w:sz w:val="20"/>
                <w:szCs w:val="20"/>
              </w:rPr>
            </w:pPr>
            <w:r>
              <w:rPr>
                <w:sz w:val="20"/>
                <w:szCs w:val="20"/>
              </w:rPr>
              <w:t>On Octob</w:t>
            </w:r>
            <w:r>
              <w:rPr>
                <w:sz w:val="20"/>
                <w:szCs w:val="20"/>
              </w:rPr>
              <w:t>er 9, 2019, the case was filed and accepted in the Wuhan Jiang’an People’s Court. Li Ling filed the following actions with the court: (1) that the two defendants Chutian and Mr Ricky Qizhi Wei repay the borrowed principal of RMB10.0 million and interest of</w:t>
            </w:r>
            <w:r>
              <w:rPr>
                <w:sz w:val="20"/>
                <w:szCs w:val="20"/>
              </w:rPr>
              <w:t xml:space="preserve"> RMB787,500 (based on the interest rate of 1.125% per month on the principal of RMB10.0 million, calculated from February 1, 2019 until fully paid, currently calculated until August 30, 2019), and (2) the costs of litigation to be fully borne by both defen</w:t>
            </w:r>
            <w:r>
              <w:rPr>
                <w:sz w:val="20"/>
                <w:szCs w:val="20"/>
              </w:rPr>
              <w:t>dants. On December 4, 2019, the court ruled that there was a valid loan relationship, that Chutian had failed to repay the loan as agreed and that Li Ling had the right to request full repayment of the loan principal and interest. The court ordered Chutian</w:t>
            </w:r>
            <w:r>
              <w:rPr>
                <w:sz w:val="20"/>
                <w:szCs w:val="20"/>
              </w:rPr>
              <w:t xml:space="preserve"> to repay the principal amount of the loan of RMB10.0 million to Li Ling, and to pay the interest rate of 1.125% per month on the principal amount of RMB10.0 million, beginning February 2019 until the date the loan is fully paid. The court further ordered </w:t>
            </w:r>
            <w:r>
              <w:rPr>
                <w:sz w:val="20"/>
                <w:szCs w:val="20"/>
              </w:rPr>
              <w:t>that Mr Ricky Qizhi Wei shall also be jointly and severally liable for the repayment of the loan. In the event that the repayment obligation is not fulfilled, the court ordered that the debt interest would be doubled in accordance with PRC law.</w:t>
            </w:r>
          </w:p>
        </w:tc>
      </w:tr>
    </w:tbl>
    <w:p w14:paraId="23DDE9BA"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3BF5774" w14:textId="77777777">
        <w:trPr>
          <w:divId w:val="98525094"/>
          <w:trHeight w:val="225"/>
          <w:tblCellSpacing w:w="15" w:type="dxa"/>
        </w:trPr>
        <w:tc>
          <w:tcPr>
            <w:tcW w:w="0" w:type="auto"/>
            <w:vAlign w:val="center"/>
            <w:hideMark/>
          </w:tcPr>
          <w:p w14:paraId="135C373A" w14:textId="77777777" w:rsidR="00000000" w:rsidRDefault="00EB4933">
            <w:pPr>
              <w:rPr>
                <w:rFonts w:eastAsia="Times New Roman"/>
                <w:sz w:val="20"/>
                <w:szCs w:val="20"/>
              </w:rPr>
            </w:pPr>
            <w:r>
              <w:rPr>
                <w:rFonts w:eastAsia="Times New Roman"/>
                <w:sz w:val="20"/>
                <w:szCs w:val="20"/>
              </w:rPr>
              <w:t> </w:t>
            </w:r>
          </w:p>
        </w:tc>
      </w:tr>
      <w:tr w:rsidR="00000000" w14:paraId="6060419A" w14:textId="77777777">
        <w:trPr>
          <w:divId w:val="98525094"/>
          <w:trHeight w:val="225"/>
          <w:tblCellSpacing w:w="15" w:type="dxa"/>
        </w:trPr>
        <w:tc>
          <w:tcPr>
            <w:tcW w:w="0" w:type="auto"/>
            <w:tcBorders>
              <w:bottom w:val="single" w:sz="6" w:space="0" w:color="000000"/>
            </w:tcBorders>
            <w:vAlign w:val="center"/>
            <w:hideMark/>
          </w:tcPr>
          <w:p w14:paraId="6E8ADD7F" w14:textId="77777777" w:rsidR="00000000" w:rsidRDefault="00EB4933">
            <w:pPr>
              <w:jc w:val="center"/>
              <w:rPr>
                <w:rFonts w:eastAsia="Times New Roman"/>
                <w:sz w:val="20"/>
                <w:szCs w:val="20"/>
              </w:rPr>
            </w:pPr>
            <w:r>
              <w:rPr>
                <w:rFonts w:eastAsia="Times New Roman"/>
                <w:sz w:val="20"/>
                <w:szCs w:val="20"/>
              </w:rPr>
              <w:t>F-63</w:t>
            </w:r>
          </w:p>
        </w:tc>
      </w:tr>
      <w:tr w:rsidR="00000000" w14:paraId="0AAAA804" w14:textId="77777777">
        <w:trPr>
          <w:divId w:val="98525094"/>
          <w:trHeight w:val="225"/>
          <w:tblCellSpacing w:w="15" w:type="dxa"/>
        </w:trPr>
        <w:tc>
          <w:tcPr>
            <w:tcW w:w="0" w:type="auto"/>
            <w:vAlign w:val="center"/>
            <w:hideMark/>
          </w:tcPr>
          <w:p w14:paraId="67C1A382" w14:textId="77777777" w:rsidR="00000000" w:rsidRDefault="00EB4933">
            <w:pPr>
              <w:rPr>
                <w:rFonts w:eastAsia="Times New Roman"/>
                <w:sz w:val="20"/>
                <w:szCs w:val="20"/>
              </w:rPr>
            </w:pPr>
          </w:p>
        </w:tc>
      </w:tr>
      <w:tr w:rsidR="00000000" w14:paraId="216C5C71" w14:textId="77777777">
        <w:trPr>
          <w:divId w:val="98525094"/>
          <w:trHeight w:val="225"/>
          <w:tblCellSpacing w:w="15" w:type="dxa"/>
        </w:trPr>
        <w:tc>
          <w:tcPr>
            <w:tcW w:w="0" w:type="auto"/>
            <w:vAlign w:val="center"/>
            <w:hideMark/>
          </w:tcPr>
          <w:p w14:paraId="4FFC699C" w14:textId="77777777" w:rsidR="00000000" w:rsidRDefault="00EB4933">
            <w:pPr>
              <w:rPr>
                <w:rFonts w:eastAsia="Times New Roman"/>
                <w:sz w:val="20"/>
                <w:szCs w:val="20"/>
              </w:rPr>
            </w:pPr>
            <w:hyperlink r:id="rId280" w:anchor="finindex" w:history="1">
              <w:r>
                <w:rPr>
                  <w:rStyle w:val="Hyperlink"/>
                  <w:rFonts w:eastAsia="Times New Roman"/>
                  <w:i/>
                  <w:iCs/>
                  <w:sz w:val="20"/>
                  <w:szCs w:val="20"/>
                </w:rPr>
                <w:t>Table of Contents</w:t>
              </w:r>
            </w:hyperlink>
          </w:p>
        </w:tc>
      </w:tr>
    </w:tbl>
    <w:p w14:paraId="55231B90"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3EE54C36"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7DA998D8"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6E597F84"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7A7DDE44"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49C4C586" w14:textId="77777777" w:rsidR="00000000" w:rsidRDefault="00EB4933">
      <w:pPr>
        <w:pStyle w:val="NormalWeb"/>
        <w:spacing w:before="0" w:beforeAutospacing="0" w:after="0" w:afterAutospacing="0"/>
        <w:jc w:val="both"/>
        <w:divId w:val="98525094"/>
        <w:rPr>
          <w:sz w:val="20"/>
          <w:szCs w:val="20"/>
        </w:rPr>
      </w:pPr>
      <w:r>
        <w:rPr>
          <w:rStyle w:val="Strong"/>
          <w:sz w:val="20"/>
          <w:szCs w:val="20"/>
        </w:rPr>
        <w:t>27. Related party transactions - continued</w:t>
      </w:r>
    </w:p>
    <w:p w14:paraId="1CDA7209"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1A0D7EDD" w14:textId="77777777">
        <w:trPr>
          <w:divId w:val="98525094"/>
          <w:trHeight w:val="225"/>
          <w:tblCellSpacing w:w="15" w:type="dxa"/>
        </w:trPr>
        <w:tc>
          <w:tcPr>
            <w:tcW w:w="200" w:type="pct"/>
            <w:vAlign w:val="center"/>
            <w:hideMark/>
          </w:tcPr>
          <w:p w14:paraId="03557A45"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014068FC" w14:textId="77777777" w:rsidR="00000000" w:rsidRDefault="00EB4933">
            <w:pPr>
              <w:pStyle w:val="NormalWeb"/>
              <w:spacing w:before="0" w:beforeAutospacing="0" w:after="0" w:afterAutospacing="0"/>
              <w:rPr>
                <w:sz w:val="20"/>
                <w:szCs w:val="20"/>
              </w:rPr>
            </w:pPr>
            <w:r>
              <w:rPr>
                <w:rStyle w:val="Strong"/>
                <w:sz w:val="20"/>
                <w:szCs w:val="20"/>
              </w:rPr>
              <w:t xml:space="preserve">4. </w:t>
            </w:r>
          </w:p>
        </w:tc>
        <w:tc>
          <w:tcPr>
            <w:tcW w:w="0" w:type="auto"/>
            <w:hideMark/>
          </w:tcPr>
          <w:p w14:paraId="1F083CB4" w14:textId="77777777" w:rsidR="00000000" w:rsidRDefault="00EB4933">
            <w:pPr>
              <w:rPr>
                <w:rFonts w:eastAsia="Times New Roman"/>
                <w:sz w:val="20"/>
                <w:szCs w:val="20"/>
              </w:rPr>
            </w:pPr>
            <w:r>
              <w:rPr>
                <w:rStyle w:val="Strong"/>
                <w:rFonts w:eastAsia="Times New Roman"/>
                <w:sz w:val="20"/>
                <w:szCs w:val="20"/>
              </w:rPr>
              <w:t>Loans payable to shareholders - continued</w:t>
            </w:r>
          </w:p>
        </w:tc>
      </w:tr>
      <w:tr w:rsidR="00000000" w14:paraId="783AB28B" w14:textId="77777777">
        <w:trPr>
          <w:divId w:val="98525094"/>
          <w:trHeight w:val="225"/>
          <w:tblCellSpacing w:w="15" w:type="dxa"/>
        </w:trPr>
        <w:tc>
          <w:tcPr>
            <w:tcW w:w="0" w:type="auto"/>
            <w:vAlign w:val="center"/>
            <w:hideMark/>
          </w:tcPr>
          <w:p w14:paraId="12C8AF7B"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3800AC95"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0CE99661" w14:textId="77777777" w:rsidR="00000000" w:rsidRDefault="00EB4933">
            <w:pPr>
              <w:pStyle w:val="NormalWeb"/>
              <w:spacing w:before="0" w:beforeAutospacing="0" w:after="0" w:afterAutospacing="0"/>
              <w:rPr>
                <w:sz w:val="20"/>
                <w:szCs w:val="20"/>
              </w:rPr>
            </w:pPr>
            <w:r>
              <w:rPr>
                <w:sz w:val="20"/>
                <w:szCs w:val="20"/>
              </w:rPr>
              <w:t> </w:t>
            </w:r>
          </w:p>
        </w:tc>
      </w:tr>
      <w:tr w:rsidR="00000000" w14:paraId="5F93F5A4" w14:textId="77777777">
        <w:trPr>
          <w:divId w:val="98525094"/>
          <w:trHeight w:val="225"/>
          <w:tblCellSpacing w:w="15" w:type="dxa"/>
        </w:trPr>
        <w:tc>
          <w:tcPr>
            <w:tcW w:w="0" w:type="auto"/>
            <w:vAlign w:val="center"/>
            <w:hideMark/>
          </w:tcPr>
          <w:p w14:paraId="7EE07E3F"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05582B8E"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228B9305" w14:textId="77777777" w:rsidR="00000000" w:rsidRDefault="00EB4933">
            <w:pPr>
              <w:pStyle w:val="NormalWeb"/>
              <w:spacing w:before="0" w:beforeAutospacing="0" w:after="0" w:afterAutospacing="0"/>
              <w:rPr>
                <w:sz w:val="20"/>
                <w:szCs w:val="20"/>
              </w:rPr>
            </w:pPr>
            <w:r>
              <w:rPr>
                <w:sz w:val="20"/>
                <w:szCs w:val="20"/>
              </w:rPr>
              <w:t>4.4  - continued </w:t>
            </w:r>
          </w:p>
        </w:tc>
      </w:tr>
    </w:tbl>
    <w:p w14:paraId="4A4371B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86E4ADB" w14:textId="77777777" w:rsidR="00000000" w:rsidRDefault="00EB4933">
      <w:pPr>
        <w:pStyle w:val="NormalWeb"/>
        <w:spacing w:before="0" w:beforeAutospacing="0" w:after="0" w:afterAutospacing="0"/>
        <w:ind w:left="2025"/>
        <w:jc w:val="both"/>
        <w:divId w:val="98525094"/>
        <w:rPr>
          <w:sz w:val="20"/>
          <w:szCs w:val="20"/>
        </w:rPr>
      </w:pPr>
      <w:r>
        <w:rPr>
          <w:sz w:val="20"/>
          <w:szCs w:val="20"/>
        </w:rPr>
        <w:t>On May 20, 2020, due to the failure of Chutian to fulfil its obligation to repay the principal amount determined above, the court issued a consumer restriction order against Mr Ricky Qizhi Wei to restrict high consumption and high expenditure behaviors. Vi</w:t>
      </w:r>
      <w:r>
        <w:rPr>
          <w:sz w:val="20"/>
          <w:szCs w:val="20"/>
        </w:rPr>
        <w:t>olation of this order carries the imposition of fines and detention, and in circumstances sufficiently serious to constitute a crime, pursuit of criminal liability according to law.</w:t>
      </w:r>
    </w:p>
    <w:p w14:paraId="5A3A7113" w14:textId="77777777" w:rsidR="00000000" w:rsidRDefault="00EB4933">
      <w:pPr>
        <w:pStyle w:val="NormalWeb"/>
        <w:spacing w:before="0" w:beforeAutospacing="0" w:after="0" w:afterAutospacing="0"/>
        <w:ind w:left="2025"/>
        <w:jc w:val="both"/>
        <w:divId w:val="98525094"/>
        <w:rPr>
          <w:sz w:val="20"/>
          <w:szCs w:val="20"/>
        </w:rPr>
      </w:pPr>
      <w:r>
        <w:rPr>
          <w:sz w:val="20"/>
          <w:szCs w:val="20"/>
        </w:rPr>
        <w:t> </w:t>
      </w:r>
    </w:p>
    <w:p w14:paraId="0F10C49D" w14:textId="77777777" w:rsidR="00000000" w:rsidRDefault="00EB4933">
      <w:pPr>
        <w:pStyle w:val="NormalWeb"/>
        <w:spacing w:before="0" w:beforeAutospacing="0" w:after="0" w:afterAutospacing="0"/>
        <w:ind w:left="2025"/>
        <w:jc w:val="both"/>
        <w:divId w:val="98525094"/>
        <w:rPr>
          <w:sz w:val="20"/>
          <w:szCs w:val="20"/>
        </w:rPr>
      </w:pPr>
      <w:r>
        <w:rPr>
          <w:sz w:val="20"/>
          <w:szCs w:val="20"/>
        </w:rPr>
        <w:t>As a result of the court ruling mentioned above, the interest expense on</w:t>
      </w:r>
      <w:r>
        <w:rPr>
          <w:sz w:val="20"/>
          <w:szCs w:val="20"/>
        </w:rPr>
        <w:t xml:space="preserve"> these loans was RMB1.3 million in 2019. As of December 31, 2019, loan payable was RMB10.0 million and interest payable was RMB1.3 million.</w:t>
      </w:r>
    </w:p>
    <w:p w14:paraId="1153854B"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784"/>
        <w:gridCol w:w="400"/>
        <w:gridCol w:w="8176"/>
      </w:tblGrid>
      <w:tr w:rsidR="00000000" w14:paraId="0FC7FCD3" w14:textId="77777777">
        <w:trPr>
          <w:divId w:val="98525094"/>
          <w:trHeight w:val="225"/>
          <w:tblCellSpacing w:w="15" w:type="dxa"/>
        </w:trPr>
        <w:tc>
          <w:tcPr>
            <w:tcW w:w="400" w:type="pct"/>
            <w:vAlign w:val="center"/>
            <w:hideMark/>
          </w:tcPr>
          <w:p w14:paraId="4C2D41F2"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7F47C77D" w14:textId="77777777" w:rsidR="00000000" w:rsidRDefault="00EB4933">
            <w:pPr>
              <w:pStyle w:val="NormalWeb"/>
              <w:spacing w:before="0" w:beforeAutospacing="0" w:after="0" w:afterAutospacing="0"/>
              <w:jc w:val="both"/>
              <w:rPr>
                <w:sz w:val="20"/>
                <w:szCs w:val="20"/>
              </w:rPr>
            </w:pPr>
            <w:r>
              <w:rPr>
                <w:sz w:val="20"/>
                <w:szCs w:val="20"/>
              </w:rPr>
              <w:t xml:space="preserve">4.5 </w:t>
            </w:r>
          </w:p>
        </w:tc>
        <w:tc>
          <w:tcPr>
            <w:tcW w:w="0" w:type="auto"/>
            <w:hideMark/>
          </w:tcPr>
          <w:p w14:paraId="7FBCF9CC" w14:textId="77777777" w:rsidR="00000000" w:rsidRDefault="00EB4933">
            <w:pPr>
              <w:jc w:val="both"/>
              <w:rPr>
                <w:rFonts w:eastAsia="Times New Roman"/>
                <w:sz w:val="20"/>
                <w:szCs w:val="20"/>
              </w:rPr>
            </w:pPr>
            <w:r>
              <w:rPr>
                <w:rFonts w:eastAsia="Times New Roman"/>
                <w:sz w:val="20"/>
                <w:szCs w:val="20"/>
              </w:rPr>
              <w:t>In 2017, loans payable of RMB14.0 million were borrowed from Hubei Daily Media Group, a shareholder which o</w:t>
            </w:r>
            <w:r>
              <w:rPr>
                <w:rFonts w:eastAsia="Times New Roman"/>
                <w:sz w:val="20"/>
                <w:szCs w:val="20"/>
              </w:rPr>
              <w:t>wned 20% of the variable interest entity, respectively. The weighted average annual interest rates for interest expenses were 10.0% in 2017. The average duration was 209 days in 2017. The interest expenses were RMB0.8 million in 2017. The loans and related</w:t>
            </w:r>
            <w:r>
              <w:rPr>
                <w:rFonts w:eastAsia="Times New Roman"/>
                <w:sz w:val="20"/>
                <w:szCs w:val="20"/>
              </w:rPr>
              <w:t xml:space="preserve"> interest payable were fully repaid in 2017.</w:t>
            </w:r>
          </w:p>
        </w:tc>
      </w:tr>
    </w:tbl>
    <w:p w14:paraId="063AEBEB" w14:textId="77777777" w:rsidR="00000000" w:rsidRDefault="00EB4933">
      <w:pPr>
        <w:pStyle w:val="NormalWeb"/>
        <w:spacing w:before="0" w:beforeAutospacing="0" w:after="0" w:afterAutospacing="0"/>
        <w:jc w:val="both"/>
        <w:divId w:val="98525094"/>
        <w:rPr>
          <w:sz w:val="20"/>
          <w:szCs w:val="20"/>
        </w:rPr>
      </w:pPr>
      <w:r>
        <w:rPr>
          <w:sz w:val="20"/>
          <w:szCs w:val="20"/>
        </w:rPr>
        <w:lastRenderedPageBreak/>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2466DAA" w14:textId="77777777">
        <w:trPr>
          <w:divId w:val="98525094"/>
          <w:trHeight w:val="225"/>
          <w:tblCellSpacing w:w="15" w:type="dxa"/>
        </w:trPr>
        <w:tc>
          <w:tcPr>
            <w:tcW w:w="0" w:type="auto"/>
            <w:vAlign w:val="center"/>
            <w:hideMark/>
          </w:tcPr>
          <w:p w14:paraId="1D7951DE" w14:textId="77777777" w:rsidR="00000000" w:rsidRDefault="00EB4933">
            <w:pPr>
              <w:rPr>
                <w:rFonts w:eastAsia="Times New Roman"/>
                <w:sz w:val="20"/>
                <w:szCs w:val="20"/>
              </w:rPr>
            </w:pPr>
            <w:r>
              <w:rPr>
                <w:rFonts w:eastAsia="Times New Roman"/>
                <w:sz w:val="20"/>
                <w:szCs w:val="20"/>
              </w:rPr>
              <w:t> </w:t>
            </w:r>
          </w:p>
        </w:tc>
      </w:tr>
      <w:tr w:rsidR="00000000" w14:paraId="15FDBA8A" w14:textId="77777777">
        <w:trPr>
          <w:divId w:val="98525094"/>
          <w:trHeight w:val="225"/>
          <w:tblCellSpacing w:w="15" w:type="dxa"/>
        </w:trPr>
        <w:tc>
          <w:tcPr>
            <w:tcW w:w="0" w:type="auto"/>
            <w:tcBorders>
              <w:bottom w:val="single" w:sz="6" w:space="0" w:color="000000"/>
            </w:tcBorders>
            <w:vAlign w:val="center"/>
            <w:hideMark/>
          </w:tcPr>
          <w:p w14:paraId="72E9FF8D" w14:textId="77777777" w:rsidR="00000000" w:rsidRDefault="00EB4933">
            <w:pPr>
              <w:jc w:val="center"/>
              <w:rPr>
                <w:rFonts w:eastAsia="Times New Roman"/>
                <w:sz w:val="20"/>
                <w:szCs w:val="20"/>
              </w:rPr>
            </w:pPr>
            <w:r>
              <w:rPr>
                <w:rFonts w:eastAsia="Times New Roman"/>
                <w:sz w:val="20"/>
                <w:szCs w:val="20"/>
              </w:rPr>
              <w:t>F-64</w:t>
            </w:r>
          </w:p>
        </w:tc>
      </w:tr>
      <w:tr w:rsidR="00000000" w14:paraId="461F85C2" w14:textId="77777777">
        <w:trPr>
          <w:divId w:val="98525094"/>
          <w:trHeight w:val="225"/>
          <w:tblCellSpacing w:w="15" w:type="dxa"/>
        </w:trPr>
        <w:tc>
          <w:tcPr>
            <w:tcW w:w="0" w:type="auto"/>
            <w:vAlign w:val="center"/>
            <w:hideMark/>
          </w:tcPr>
          <w:p w14:paraId="41E9EC6A" w14:textId="77777777" w:rsidR="00000000" w:rsidRDefault="00EB4933">
            <w:pPr>
              <w:rPr>
                <w:rFonts w:eastAsia="Times New Roman"/>
                <w:sz w:val="20"/>
                <w:szCs w:val="20"/>
              </w:rPr>
            </w:pPr>
          </w:p>
        </w:tc>
      </w:tr>
      <w:tr w:rsidR="00000000" w14:paraId="4306CA2E" w14:textId="77777777">
        <w:trPr>
          <w:divId w:val="98525094"/>
          <w:trHeight w:val="225"/>
          <w:tblCellSpacing w:w="15" w:type="dxa"/>
        </w:trPr>
        <w:tc>
          <w:tcPr>
            <w:tcW w:w="0" w:type="auto"/>
            <w:vAlign w:val="center"/>
            <w:hideMark/>
          </w:tcPr>
          <w:p w14:paraId="425B48DB" w14:textId="77777777" w:rsidR="00000000" w:rsidRDefault="00EB4933">
            <w:pPr>
              <w:rPr>
                <w:rFonts w:eastAsia="Times New Roman"/>
                <w:sz w:val="20"/>
                <w:szCs w:val="20"/>
              </w:rPr>
            </w:pPr>
            <w:hyperlink r:id="rId281" w:anchor="finindex" w:history="1">
              <w:r>
                <w:rPr>
                  <w:rStyle w:val="Hyperlink"/>
                  <w:rFonts w:eastAsia="Times New Roman"/>
                  <w:i/>
                  <w:iCs/>
                  <w:sz w:val="20"/>
                  <w:szCs w:val="20"/>
                </w:rPr>
                <w:t>Table of Contents</w:t>
              </w:r>
            </w:hyperlink>
          </w:p>
        </w:tc>
      </w:tr>
    </w:tbl>
    <w:p w14:paraId="768731A1"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3B87F569"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69DE83CD"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18733454"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16AB40BA"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42DEDA9D" w14:textId="77777777" w:rsidR="00000000" w:rsidRDefault="00EB4933">
      <w:pPr>
        <w:pStyle w:val="NormalWeb"/>
        <w:spacing w:before="0" w:beforeAutospacing="0" w:after="0" w:afterAutospacing="0"/>
        <w:jc w:val="both"/>
        <w:divId w:val="98525094"/>
        <w:rPr>
          <w:sz w:val="20"/>
          <w:szCs w:val="20"/>
        </w:rPr>
      </w:pPr>
      <w:r>
        <w:rPr>
          <w:rStyle w:val="Strong"/>
          <w:sz w:val="20"/>
          <w:szCs w:val="20"/>
        </w:rPr>
        <w:t>27. Related party transactions - continued</w:t>
      </w:r>
    </w:p>
    <w:p w14:paraId="7A7597F7"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53AF6072" w14:textId="77777777">
        <w:trPr>
          <w:divId w:val="98525094"/>
          <w:trHeight w:val="225"/>
          <w:tblCellSpacing w:w="15" w:type="dxa"/>
        </w:trPr>
        <w:tc>
          <w:tcPr>
            <w:tcW w:w="200" w:type="pct"/>
            <w:vAlign w:val="center"/>
            <w:hideMark/>
          </w:tcPr>
          <w:p w14:paraId="0C53E442"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09685F78" w14:textId="77777777" w:rsidR="00000000" w:rsidRDefault="00EB4933">
            <w:pPr>
              <w:pStyle w:val="NormalWeb"/>
              <w:spacing w:before="0" w:beforeAutospacing="0" w:after="0" w:afterAutospacing="0"/>
              <w:rPr>
                <w:sz w:val="20"/>
                <w:szCs w:val="20"/>
              </w:rPr>
            </w:pPr>
            <w:r>
              <w:rPr>
                <w:rStyle w:val="Strong"/>
                <w:sz w:val="20"/>
                <w:szCs w:val="20"/>
              </w:rPr>
              <w:t xml:space="preserve">5. </w:t>
            </w:r>
          </w:p>
        </w:tc>
        <w:tc>
          <w:tcPr>
            <w:tcW w:w="0" w:type="auto"/>
            <w:hideMark/>
          </w:tcPr>
          <w:p w14:paraId="04232782" w14:textId="77777777" w:rsidR="00000000" w:rsidRDefault="00EB4933">
            <w:pPr>
              <w:rPr>
                <w:rFonts w:eastAsia="Times New Roman"/>
                <w:sz w:val="20"/>
                <w:szCs w:val="20"/>
              </w:rPr>
            </w:pPr>
            <w:r>
              <w:rPr>
                <w:rStyle w:val="Strong"/>
                <w:rFonts w:eastAsia="Times New Roman"/>
                <w:sz w:val="20"/>
                <w:szCs w:val="20"/>
              </w:rPr>
              <w:t>Consulting expenses for representatives from a shareholder</w:t>
            </w:r>
          </w:p>
        </w:tc>
      </w:tr>
    </w:tbl>
    <w:p w14:paraId="0A13D46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5C9195D" w14:textId="77777777" w:rsidR="00000000" w:rsidRDefault="00EB4933">
      <w:pPr>
        <w:pStyle w:val="NormalWeb"/>
        <w:spacing w:before="0" w:beforeAutospacing="0" w:after="0" w:afterAutospacing="0"/>
        <w:ind w:left="1350"/>
        <w:jc w:val="both"/>
        <w:divId w:val="98525094"/>
        <w:rPr>
          <w:sz w:val="20"/>
          <w:szCs w:val="20"/>
        </w:rPr>
      </w:pPr>
      <w:r>
        <w:rPr>
          <w:sz w:val="20"/>
          <w:szCs w:val="20"/>
        </w:rPr>
        <w:t>Consulting expenses of RMB0.5 million, RMB0.5 million and RMB0.5 million were incurred for</w:t>
      </w:r>
      <w:r>
        <w:rPr>
          <w:sz w:val="20"/>
          <w:szCs w:val="20"/>
        </w:rPr>
        <w:t xml:space="preserve"> two representatives sent from Hubei Daily Media Group, a shareholder who owned 20% of the variable interest entity, for the years ended December 31, 2017, 2018 and 2019, respectively.</w:t>
      </w:r>
    </w:p>
    <w:p w14:paraId="7EDECE5C"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449FADDC" w14:textId="77777777" w:rsidR="00000000" w:rsidRDefault="00EB4933">
      <w:pPr>
        <w:pStyle w:val="NormalWeb"/>
        <w:spacing w:before="0" w:beforeAutospacing="0" w:after="0" w:afterAutospacing="0"/>
        <w:ind w:left="1350"/>
        <w:jc w:val="both"/>
        <w:divId w:val="98525094"/>
        <w:rPr>
          <w:sz w:val="20"/>
          <w:szCs w:val="20"/>
        </w:rPr>
      </w:pPr>
      <w:r>
        <w:rPr>
          <w:sz w:val="20"/>
          <w:szCs w:val="20"/>
        </w:rPr>
        <w:t>As of December 31, 2018 and 2019, consulting expenses payable to these representatives were RMB0.5 million and RMB1.0 million, respectively.</w:t>
      </w:r>
    </w:p>
    <w:p w14:paraId="3CDDB64D"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7FA2BBB8" w14:textId="77777777">
        <w:trPr>
          <w:divId w:val="98525094"/>
          <w:trHeight w:val="225"/>
          <w:tblCellSpacing w:w="15" w:type="dxa"/>
        </w:trPr>
        <w:tc>
          <w:tcPr>
            <w:tcW w:w="200" w:type="pct"/>
            <w:vAlign w:val="center"/>
            <w:hideMark/>
          </w:tcPr>
          <w:p w14:paraId="20A77899"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53CA4A24" w14:textId="77777777" w:rsidR="00000000" w:rsidRDefault="00EB4933">
            <w:pPr>
              <w:pStyle w:val="NormalWeb"/>
              <w:spacing w:before="0" w:beforeAutospacing="0" w:after="0" w:afterAutospacing="0"/>
              <w:rPr>
                <w:sz w:val="20"/>
                <w:szCs w:val="20"/>
              </w:rPr>
            </w:pPr>
            <w:r>
              <w:rPr>
                <w:rStyle w:val="Strong"/>
                <w:sz w:val="20"/>
                <w:szCs w:val="20"/>
              </w:rPr>
              <w:t xml:space="preserve">6. </w:t>
            </w:r>
          </w:p>
        </w:tc>
        <w:tc>
          <w:tcPr>
            <w:tcW w:w="0" w:type="auto"/>
            <w:hideMark/>
          </w:tcPr>
          <w:p w14:paraId="128B28A3" w14:textId="77777777" w:rsidR="00000000" w:rsidRDefault="00EB4933">
            <w:pPr>
              <w:rPr>
                <w:rFonts w:eastAsia="Times New Roman"/>
                <w:sz w:val="20"/>
                <w:szCs w:val="20"/>
              </w:rPr>
            </w:pPr>
            <w:r>
              <w:rPr>
                <w:rStyle w:val="Strong"/>
                <w:rFonts w:eastAsia="Times New Roman"/>
                <w:sz w:val="20"/>
                <w:szCs w:val="20"/>
              </w:rPr>
              <w:t>Reverse merger expenses and operating expenses payable to a related party</w:t>
            </w:r>
          </w:p>
        </w:tc>
      </w:tr>
    </w:tbl>
    <w:p w14:paraId="21087F2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E01BD13" w14:textId="77777777" w:rsidR="00000000" w:rsidRDefault="00EB4933">
      <w:pPr>
        <w:pStyle w:val="NormalWeb"/>
        <w:spacing w:before="0" w:beforeAutospacing="0" w:after="0" w:afterAutospacing="0"/>
        <w:ind w:left="1350"/>
        <w:jc w:val="both"/>
        <w:divId w:val="98525094"/>
        <w:rPr>
          <w:sz w:val="20"/>
          <w:szCs w:val="20"/>
        </w:rPr>
      </w:pPr>
      <w:r>
        <w:rPr>
          <w:sz w:val="20"/>
          <w:szCs w:val="20"/>
        </w:rPr>
        <w:t>During the reverse merger pro</w:t>
      </w:r>
      <w:r>
        <w:rPr>
          <w:sz w:val="20"/>
          <w:szCs w:val="20"/>
        </w:rPr>
        <w:t>cess of the Company, a related party, Hubei New Nature Investment Co., Ltd (“Hubei New Nature”), a company that is 80.8% owned by the Chairman and the Chief Executive Officer, Mr Ricky Qizhi Wei, paid reverse merger expenses on behalf of the Company, total</w:t>
      </w:r>
      <w:r>
        <w:rPr>
          <w:sz w:val="20"/>
          <w:szCs w:val="20"/>
        </w:rPr>
        <w:t xml:space="preserve">ing RMB11.3 million and RMB10.9 million for the year ended December 31, 2017 and 2018, respectively. In 2019, certain operating expenses of RMB0.7 million were paid by Hubei New Nature on behalf of the Company. Also, in 2019, certain loans receivable were </w:t>
      </w:r>
      <w:r>
        <w:rPr>
          <w:sz w:val="20"/>
          <w:szCs w:val="20"/>
        </w:rPr>
        <w:t xml:space="preserve">novated to Hubei New Nature to offset against payable to Hubei New Nature of RMB22.6 million (see Note 27 of Notes to Consolidated Financial Statements, Section 11). </w:t>
      </w:r>
    </w:p>
    <w:p w14:paraId="03BF629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034EDED" w14:textId="77777777" w:rsidR="00000000" w:rsidRDefault="00EB4933">
      <w:pPr>
        <w:pStyle w:val="NormalWeb"/>
        <w:spacing w:before="0" w:beforeAutospacing="0" w:after="0" w:afterAutospacing="0"/>
        <w:ind w:left="1350"/>
        <w:jc w:val="both"/>
        <w:divId w:val="98525094"/>
        <w:rPr>
          <w:sz w:val="20"/>
          <w:szCs w:val="20"/>
        </w:rPr>
      </w:pPr>
      <w:r>
        <w:rPr>
          <w:sz w:val="20"/>
          <w:szCs w:val="20"/>
        </w:rPr>
        <w:t>As of December 31, 2018 and 2019, payable to a related party was RMB22.2 million and RM</w:t>
      </w:r>
      <w:r>
        <w:rPr>
          <w:sz w:val="20"/>
          <w:szCs w:val="20"/>
        </w:rPr>
        <w:t>B0.3 million, respectively.</w:t>
      </w:r>
    </w:p>
    <w:p w14:paraId="69987F1A"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5623ABDB" w14:textId="77777777">
        <w:trPr>
          <w:divId w:val="98525094"/>
          <w:trHeight w:val="225"/>
          <w:tblCellSpacing w:w="15" w:type="dxa"/>
        </w:trPr>
        <w:tc>
          <w:tcPr>
            <w:tcW w:w="200" w:type="pct"/>
            <w:vAlign w:val="center"/>
            <w:hideMark/>
          </w:tcPr>
          <w:p w14:paraId="1A50F8C4"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2F643565" w14:textId="77777777" w:rsidR="00000000" w:rsidRDefault="00EB4933">
            <w:pPr>
              <w:pStyle w:val="NormalWeb"/>
              <w:spacing w:before="0" w:beforeAutospacing="0" w:after="0" w:afterAutospacing="0"/>
              <w:rPr>
                <w:sz w:val="20"/>
                <w:szCs w:val="20"/>
              </w:rPr>
            </w:pPr>
            <w:r>
              <w:rPr>
                <w:rStyle w:val="Strong"/>
                <w:sz w:val="20"/>
                <w:szCs w:val="20"/>
              </w:rPr>
              <w:t xml:space="preserve">7. </w:t>
            </w:r>
          </w:p>
        </w:tc>
        <w:tc>
          <w:tcPr>
            <w:tcW w:w="0" w:type="auto"/>
            <w:hideMark/>
          </w:tcPr>
          <w:p w14:paraId="32613464" w14:textId="77777777" w:rsidR="00000000" w:rsidRDefault="00EB4933">
            <w:pPr>
              <w:rPr>
                <w:rFonts w:eastAsia="Times New Roman"/>
                <w:sz w:val="20"/>
                <w:szCs w:val="20"/>
              </w:rPr>
            </w:pPr>
            <w:r>
              <w:rPr>
                <w:rStyle w:val="Strong"/>
                <w:rFonts w:eastAsia="Times New Roman"/>
                <w:sz w:val="20"/>
                <w:szCs w:val="20"/>
              </w:rPr>
              <w:t>Advisory expenses payable to a related party</w:t>
            </w:r>
          </w:p>
        </w:tc>
      </w:tr>
    </w:tbl>
    <w:p w14:paraId="3184CDF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EDF7685" w14:textId="77777777" w:rsidR="00000000" w:rsidRDefault="00EB4933">
      <w:pPr>
        <w:pStyle w:val="NormalWeb"/>
        <w:spacing w:before="0" w:beforeAutospacing="0" w:after="0" w:afterAutospacing="0"/>
        <w:ind w:left="1350"/>
        <w:jc w:val="both"/>
        <w:divId w:val="98525094"/>
        <w:rPr>
          <w:sz w:val="20"/>
          <w:szCs w:val="20"/>
        </w:rPr>
      </w:pPr>
      <w:r>
        <w:rPr>
          <w:sz w:val="20"/>
          <w:szCs w:val="20"/>
        </w:rPr>
        <w:t>In 2017 and 2018, an advisory agreement was entered into with Hubei New Nature Investment Co., Ltd, a company that is 80.8% owned by the Chairman and the Chief Executive O</w:t>
      </w:r>
      <w:r>
        <w:rPr>
          <w:sz w:val="20"/>
          <w:szCs w:val="20"/>
        </w:rPr>
        <w:t>fficer, Mr Ricky Qizhi Wei, to provide funding advisory services at 2% per annum on funds raised through Wuhan Securities Exchanges for RMB2.5 million and RMB0.7 million, respectively.</w:t>
      </w:r>
    </w:p>
    <w:p w14:paraId="6DD29FB6"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445E953" w14:textId="77777777" w:rsidR="00000000" w:rsidRDefault="00EB4933">
      <w:pPr>
        <w:pStyle w:val="NormalWeb"/>
        <w:spacing w:before="0" w:beforeAutospacing="0" w:after="0" w:afterAutospacing="0"/>
        <w:ind w:left="1350"/>
        <w:jc w:val="both"/>
        <w:divId w:val="98525094"/>
        <w:rPr>
          <w:sz w:val="20"/>
          <w:szCs w:val="20"/>
        </w:rPr>
      </w:pPr>
      <w:r>
        <w:rPr>
          <w:sz w:val="20"/>
          <w:szCs w:val="20"/>
        </w:rPr>
        <w:t>As of December 31, 2018 and 2019, advisory expense payable was RMB4</w:t>
      </w:r>
      <w:r>
        <w:rPr>
          <w:sz w:val="20"/>
          <w:szCs w:val="20"/>
        </w:rPr>
        <w:t>,235,000 and nil, respectively.</w:t>
      </w:r>
    </w:p>
    <w:p w14:paraId="4914F7AF"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91FB39E" w14:textId="77777777">
        <w:trPr>
          <w:divId w:val="98525094"/>
          <w:trHeight w:val="225"/>
          <w:tblCellSpacing w:w="15" w:type="dxa"/>
        </w:trPr>
        <w:tc>
          <w:tcPr>
            <w:tcW w:w="0" w:type="auto"/>
            <w:vAlign w:val="center"/>
            <w:hideMark/>
          </w:tcPr>
          <w:p w14:paraId="446EC8F2" w14:textId="77777777" w:rsidR="00000000" w:rsidRDefault="00EB4933">
            <w:pPr>
              <w:rPr>
                <w:rFonts w:eastAsia="Times New Roman"/>
                <w:sz w:val="20"/>
                <w:szCs w:val="20"/>
              </w:rPr>
            </w:pPr>
            <w:r>
              <w:rPr>
                <w:rFonts w:eastAsia="Times New Roman"/>
                <w:sz w:val="20"/>
                <w:szCs w:val="20"/>
              </w:rPr>
              <w:t> </w:t>
            </w:r>
          </w:p>
        </w:tc>
      </w:tr>
      <w:tr w:rsidR="00000000" w14:paraId="663534DE" w14:textId="77777777">
        <w:trPr>
          <w:divId w:val="98525094"/>
          <w:trHeight w:val="225"/>
          <w:tblCellSpacing w:w="15" w:type="dxa"/>
        </w:trPr>
        <w:tc>
          <w:tcPr>
            <w:tcW w:w="0" w:type="auto"/>
            <w:tcBorders>
              <w:bottom w:val="single" w:sz="6" w:space="0" w:color="000000"/>
            </w:tcBorders>
            <w:vAlign w:val="center"/>
            <w:hideMark/>
          </w:tcPr>
          <w:p w14:paraId="003AAE16" w14:textId="77777777" w:rsidR="00000000" w:rsidRDefault="00EB4933">
            <w:pPr>
              <w:jc w:val="center"/>
              <w:rPr>
                <w:rFonts w:eastAsia="Times New Roman"/>
                <w:sz w:val="20"/>
                <w:szCs w:val="20"/>
              </w:rPr>
            </w:pPr>
            <w:r>
              <w:rPr>
                <w:rFonts w:eastAsia="Times New Roman"/>
                <w:sz w:val="20"/>
                <w:szCs w:val="20"/>
              </w:rPr>
              <w:t>F-65</w:t>
            </w:r>
          </w:p>
        </w:tc>
      </w:tr>
      <w:tr w:rsidR="00000000" w14:paraId="2869DF5B" w14:textId="77777777">
        <w:trPr>
          <w:divId w:val="98525094"/>
          <w:trHeight w:val="225"/>
          <w:tblCellSpacing w:w="15" w:type="dxa"/>
        </w:trPr>
        <w:tc>
          <w:tcPr>
            <w:tcW w:w="0" w:type="auto"/>
            <w:vAlign w:val="center"/>
            <w:hideMark/>
          </w:tcPr>
          <w:p w14:paraId="223A0F4E" w14:textId="77777777" w:rsidR="00000000" w:rsidRDefault="00EB4933">
            <w:pPr>
              <w:rPr>
                <w:rFonts w:eastAsia="Times New Roman"/>
                <w:sz w:val="20"/>
                <w:szCs w:val="20"/>
              </w:rPr>
            </w:pPr>
          </w:p>
        </w:tc>
      </w:tr>
      <w:tr w:rsidR="00000000" w14:paraId="2510EDB9" w14:textId="77777777">
        <w:trPr>
          <w:divId w:val="98525094"/>
          <w:trHeight w:val="225"/>
          <w:tblCellSpacing w:w="15" w:type="dxa"/>
        </w:trPr>
        <w:tc>
          <w:tcPr>
            <w:tcW w:w="0" w:type="auto"/>
            <w:vAlign w:val="center"/>
            <w:hideMark/>
          </w:tcPr>
          <w:p w14:paraId="00AA6C7F" w14:textId="77777777" w:rsidR="00000000" w:rsidRDefault="00EB4933">
            <w:pPr>
              <w:rPr>
                <w:rFonts w:eastAsia="Times New Roman"/>
                <w:sz w:val="20"/>
                <w:szCs w:val="20"/>
              </w:rPr>
            </w:pPr>
            <w:hyperlink r:id="rId282" w:anchor="finindex" w:history="1">
              <w:r>
                <w:rPr>
                  <w:rStyle w:val="Hyperlink"/>
                  <w:rFonts w:eastAsia="Times New Roman"/>
                  <w:i/>
                  <w:iCs/>
                  <w:sz w:val="20"/>
                  <w:szCs w:val="20"/>
                </w:rPr>
                <w:t>Table of Contents</w:t>
              </w:r>
            </w:hyperlink>
          </w:p>
        </w:tc>
      </w:tr>
    </w:tbl>
    <w:p w14:paraId="157CA4C8"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69CA5213"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11BB9B0E"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65381258"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3324A4E4" w14:textId="77777777" w:rsidR="00000000" w:rsidRDefault="00EB4933">
      <w:pPr>
        <w:pStyle w:val="NormalWeb"/>
        <w:spacing w:before="0" w:beforeAutospacing="0" w:after="0" w:afterAutospacing="0"/>
        <w:jc w:val="both"/>
        <w:divId w:val="98525094"/>
        <w:rPr>
          <w:sz w:val="20"/>
          <w:szCs w:val="20"/>
        </w:rPr>
      </w:pPr>
      <w:r>
        <w:rPr>
          <w:rStyle w:val="Strong"/>
          <w:sz w:val="20"/>
          <w:szCs w:val="20"/>
        </w:rPr>
        <w:t>  </w:t>
      </w:r>
      <w:r>
        <w:rPr>
          <w:sz w:val="20"/>
          <w:szCs w:val="20"/>
        </w:rPr>
        <w:t> </w:t>
      </w:r>
    </w:p>
    <w:p w14:paraId="1FD6A063" w14:textId="77777777" w:rsidR="00000000" w:rsidRDefault="00EB4933">
      <w:pPr>
        <w:pStyle w:val="NormalWeb"/>
        <w:spacing w:before="0" w:beforeAutospacing="0" w:after="0" w:afterAutospacing="0"/>
        <w:jc w:val="both"/>
        <w:divId w:val="98525094"/>
        <w:rPr>
          <w:sz w:val="20"/>
          <w:szCs w:val="20"/>
        </w:rPr>
      </w:pPr>
      <w:r>
        <w:rPr>
          <w:rStyle w:val="Strong"/>
          <w:sz w:val="20"/>
          <w:szCs w:val="20"/>
        </w:rPr>
        <w:lastRenderedPageBreak/>
        <w:t>27. Related party transactions - continued</w:t>
      </w:r>
    </w:p>
    <w:p w14:paraId="07D3BC7A"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3F83CAAD" w14:textId="77777777">
        <w:trPr>
          <w:divId w:val="98525094"/>
          <w:trHeight w:val="225"/>
          <w:tblCellSpacing w:w="15" w:type="dxa"/>
        </w:trPr>
        <w:tc>
          <w:tcPr>
            <w:tcW w:w="200" w:type="pct"/>
            <w:vAlign w:val="center"/>
            <w:hideMark/>
          </w:tcPr>
          <w:p w14:paraId="60F244DF"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494913D3" w14:textId="77777777" w:rsidR="00000000" w:rsidRDefault="00EB4933">
            <w:pPr>
              <w:pStyle w:val="NormalWeb"/>
              <w:spacing w:before="0" w:beforeAutospacing="0" w:after="0" w:afterAutospacing="0"/>
              <w:rPr>
                <w:sz w:val="20"/>
                <w:szCs w:val="20"/>
              </w:rPr>
            </w:pPr>
            <w:r>
              <w:rPr>
                <w:rStyle w:val="Strong"/>
                <w:sz w:val="20"/>
                <w:szCs w:val="20"/>
              </w:rPr>
              <w:t xml:space="preserve">8. </w:t>
            </w:r>
          </w:p>
        </w:tc>
        <w:tc>
          <w:tcPr>
            <w:tcW w:w="0" w:type="auto"/>
            <w:hideMark/>
          </w:tcPr>
          <w:p w14:paraId="138A6650" w14:textId="77777777" w:rsidR="00000000" w:rsidRDefault="00EB4933">
            <w:pPr>
              <w:rPr>
                <w:rFonts w:eastAsia="Times New Roman"/>
                <w:sz w:val="20"/>
                <w:szCs w:val="20"/>
              </w:rPr>
            </w:pPr>
            <w:r>
              <w:rPr>
                <w:rStyle w:val="Strong"/>
                <w:rFonts w:eastAsia="Times New Roman"/>
                <w:sz w:val="20"/>
                <w:szCs w:val="20"/>
              </w:rPr>
              <w:t xml:space="preserve">Intermediary agreement payable to a related party </w:t>
            </w:r>
          </w:p>
        </w:tc>
      </w:tr>
    </w:tbl>
    <w:p w14:paraId="3E0330D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B760B84" w14:textId="77777777" w:rsidR="00000000" w:rsidRDefault="00EB4933">
      <w:pPr>
        <w:pStyle w:val="NormalWeb"/>
        <w:spacing w:before="0" w:beforeAutospacing="0" w:after="0" w:afterAutospacing="0"/>
        <w:ind w:left="1350"/>
        <w:jc w:val="both"/>
        <w:divId w:val="98525094"/>
        <w:rPr>
          <w:sz w:val="20"/>
          <w:szCs w:val="20"/>
        </w:rPr>
      </w:pPr>
      <w:r>
        <w:rPr>
          <w:sz w:val="20"/>
          <w:szCs w:val="20"/>
        </w:rPr>
        <w:t xml:space="preserve">In 2016, an intermediary agreement was entered into with Chutian Wealth (Wuhan) Financial Services Co., Ltd, a subsidiary jointly owned by Hubei New Nature Investment Co., Ltd and Hubei Daily Media Group, to assist in fund raising through Wuhan Securities </w:t>
      </w:r>
      <w:r>
        <w:rPr>
          <w:sz w:val="20"/>
          <w:szCs w:val="20"/>
        </w:rPr>
        <w:t>Exchange at 6% per annum on funds raised. In 2017, 2018 and 2019, the intermediary fees were RMB5.3 million, RMB1.7 million and nil, respectively.</w:t>
      </w:r>
    </w:p>
    <w:p w14:paraId="1AA48525"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3494AD24" w14:textId="77777777" w:rsidR="00000000" w:rsidRDefault="00EB4933">
      <w:pPr>
        <w:pStyle w:val="NormalWeb"/>
        <w:spacing w:before="0" w:beforeAutospacing="0" w:after="0" w:afterAutospacing="0"/>
        <w:ind w:left="1350"/>
        <w:jc w:val="both"/>
        <w:divId w:val="98525094"/>
        <w:rPr>
          <w:sz w:val="20"/>
          <w:szCs w:val="20"/>
        </w:rPr>
      </w:pPr>
      <w:r>
        <w:rPr>
          <w:sz w:val="20"/>
          <w:szCs w:val="20"/>
        </w:rPr>
        <w:t>As of December 31, 2018 and 2019, intermediary fee payable to a related party was nil and nil, respectively</w:t>
      </w:r>
      <w:r>
        <w:rPr>
          <w:sz w:val="20"/>
          <w:szCs w:val="20"/>
        </w:rPr>
        <w:t>.</w:t>
      </w:r>
    </w:p>
    <w:p w14:paraId="46C3099B"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6D19B313" w14:textId="77777777">
        <w:trPr>
          <w:divId w:val="98525094"/>
          <w:trHeight w:val="225"/>
          <w:tblCellSpacing w:w="15" w:type="dxa"/>
        </w:trPr>
        <w:tc>
          <w:tcPr>
            <w:tcW w:w="200" w:type="pct"/>
            <w:vAlign w:val="center"/>
            <w:hideMark/>
          </w:tcPr>
          <w:p w14:paraId="43545CBF"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1676D246" w14:textId="77777777" w:rsidR="00000000" w:rsidRDefault="00EB4933">
            <w:pPr>
              <w:pStyle w:val="NormalWeb"/>
              <w:spacing w:before="0" w:beforeAutospacing="0" w:after="0" w:afterAutospacing="0"/>
              <w:rPr>
                <w:sz w:val="20"/>
                <w:szCs w:val="20"/>
              </w:rPr>
            </w:pPr>
            <w:r>
              <w:rPr>
                <w:rStyle w:val="Strong"/>
                <w:sz w:val="20"/>
                <w:szCs w:val="20"/>
              </w:rPr>
              <w:t xml:space="preserve">9. </w:t>
            </w:r>
          </w:p>
        </w:tc>
        <w:tc>
          <w:tcPr>
            <w:tcW w:w="0" w:type="auto"/>
            <w:hideMark/>
          </w:tcPr>
          <w:p w14:paraId="676D7476" w14:textId="77777777" w:rsidR="00000000" w:rsidRDefault="00EB4933">
            <w:pPr>
              <w:rPr>
                <w:rFonts w:eastAsia="Times New Roman"/>
                <w:sz w:val="20"/>
                <w:szCs w:val="20"/>
              </w:rPr>
            </w:pPr>
            <w:r>
              <w:rPr>
                <w:rStyle w:val="Strong"/>
                <w:rFonts w:eastAsia="Times New Roman"/>
                <w:sz w:val="20"/>
                <w:szCs w:val="20"/>
              </w:rPr>
              <w:t>Funds provided by related parties for payments to certain loans payable</w:t>
            </w:r>
          </w:p>
        </w:tc>
      </w:tr>
    </w:tbl>
    <w:p w14:paraId="0DF7C27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4EAF0C4" w14:textId="77777777" w:rsidR="00000000" w:rsidRDefault="00EB4933">
      <w:pPr>
        <w:pStyle w:val="NormalWeb"/>
        <w:spacing w:before="0" w:beforeAutospacing="0" w:after="0" w:afterAutospacing="0"/>
        <w:ind w:left="1350"/>
        <w:jc w:val="both"/>
        <w:divId w:val="98525094"/>
        <w:rPr>
          <w:sz w:val="20"/>
          <w:szCs w:val="20"/>
        </w:rPr>
      </w:pPr>
      <w:r>
        <w:rPr>
          <w:sz w:val="20"/>
          <w:szCs w:val="20"/>
        </w:rPr>
        <w:t>In 2018, fund of RMB954,000 was provided by Wuhan Xin Heng Tai Investment Co., Ltd and fund of RMB412,000 was provided by Wuhan Zhong Ji Gold Co., Ltd for payments to cer</w:t>
      </w:r>
      <w:r>
        <w:rPr>
          <w:sz w:val="20"/>
          <w:szCs w:val="20"/>
        </w:rPr>
        <w:t>tain loans payable, interest payable and listing service fee. Wuhan Xin Heng Tai Investment Co., Ltd is related to Ms Wenting Xiao, a shareholder who owned 10.6% of the Group’s variable interest entity, whom is a general manager with Wuhan Xin Heng Tai Inv</w:t>
      </w:r>
      <w:r>
        <w:rPr>
          <w:sz w:val="20"/>
          <w:szCs w:val="20"/>
        </w:rPr>
        <w:t>estment Co., Ltd. Wuhan Zhong Ji Gold Co., Ltd</w:t>
      </w:r>
      <w:r>
        <w:rPr>
          <w:rStyle w:val="Strong"/>
          <w:sz w:val="20"/>
          <w:szCs w:val="20"/>
        </w:rPr>
        <w:t xml:space="preserve"> </w:t>
      </w:r>
      <w:r>
        <w:rPr>
          <w:sz w:val="20"/>
          <w:szCs w:val="20"/>
        </w:rPr>
        <w:t>is also related to Ms Wenting Xiao whom is a member of the supervisory committee with Wuhan Zhong Ji Gold Co., Ltd. These funds were provided without interest and with no fixed terms of repayment.</w:t>
      </w:r>
    </w:p>
    <w:p w14:paraId="7423843D"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11950DE0" w14:textId="77777777" w:rsidR="00000000" w:rsidRDefault="00EB4933">
      <w:pPr>
        <w:pStyle w:val="NormalWeb"/>
        <w:spacing w:before="0" w:beforeAutospacing="0" w:after="0" w:afterAutospacing="0"/>
        <w:ind w:left="1350"/>
        <w:jc w:val="both"/>
        <w:divId w:val="98525094"/>
        <w:rPr>
          <w:sz w:val="20"/>
          <w:szCs w:val="20"/>
        </w:rPr>
      </w:pPr>
      <w:r>
        <w:rPr>
          <w:sz w:val="20"/>
          <w:szCs w:val="20"/>
        </w:rPr>
        <w:t>As of Dece</w:t>
      </w:r>
      <w:r>
        <w:rPr>
          <w:sz w:val="20"/>
          <w:szCs w:val="20"/>
        </w:rPr>
        <w:t xml:space="preserve">mber 31, 2018 and 2019, payables to related parties were RMB1.4 million and RMB1.4 million, respectively. </w:t>
      </w:r>
    </w:p>
    <w:p w14:paraId="1E420BA4"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A50EAEC" w14:textId="77777777">
        <w:trPr>
          <w:divId w:val="98525094"/>
          <w:trHeight w:val="225"/>
          <w:tblCellSpacing w:w="15" w:type="dxa"/>
        </w:trPr>
        <w:tc>
          <w:tcPr>
            <w:tcW w:w="0" w:type="auto"/>
            <w:vAlign w:val="center"/>
            <w:hideMark/>
          </w:tcPr>
          <w:p w14:paraId="66C54E12" w14:textId="77777777" w:rsidR="00000000" w:rsidRDefault="00EB4933">
            <w:pPr>
              <w:rPr>
                <w:rFonts w:eastAsia="Times New Roman"/>
                <w:sz w:val="20"/>
                <w:szCs w:val="20"/>
              </w:rPr>
            </w:pPr>
            <w:r>
              <w:rPr>
                <w:rFonts w:eastAsia="Times New Roman"/>
                <w:sz w:val="20"/>
                <w:szCs w:val="20"/>
              </w:rPr>
              <w:t> </w:t>
            </w:r>
          </w:p>
        </w:tc>
      </w:tr>
      <w:tr w:rsidR="00000000" w14:paraId="3D320F92" w14:textId="77777777">
        <w:trPr>
          <w:divId w:val="98525094"/>
          <w:trHeight w:val="225"/>
          <w:tblCellSpacing w:w="15" w:type="dxa"/>
        </w:trPr>
        <w:tc>
          <w:tcPr>
            <w:tcW w:w="0" w:type="auto"/>
            <w:tcBorders>
              <w:bottom w:val="single" w:sz="6" w:space="0" w:color="000000"/>
            </w:tcBorders>
            <w:vAlign w:val="center"/>
            <w:hideMark/>
          </w:tcPr>
          <w:p w14:paraId="4D51262B" w14:textId="77777777" w:rsidR="00000000" w:rsidRDefault="00EB4933">
            <w:pPr>
              <w:jc w:val="center"/>
              <w:rPr>
                <w:rFonts w:eastAsia="Times New Roman"/>
                <w:sz w:val="20"/>
                <w:szCs w:val="20"/>
              </w:rPr>
            </w:pPr>
            <w:r>
              <w:rPr>
                <w:rFonts w:eastAsia="Times New Roman"/>
                <w:sz w:val="20"/>
                <w:szCs w:val="20"/>
              </w:rPr>
              <w:t>F-66</w:t>
            </w:r>
          </w:p>
        </w:tc>
      </w:tr>
      <w:tr w:rsidR="00000000" w14:paraId="4FB20EF4" w14:textId="77777777">
        <w:trPr>
          <w:divId w:val="98525094"/>
          <w:trHeight w:val="225"/>
          <w:tblCellSpacing w:w="15" w:type="dxa"/>
        </w:trPr>
        <w:tc>
          <w:tcPr>
            <w:tcW w:w="0" w:type="auto"/>
            <w:vAlign w:val="center"/>
            <w:hideMark/>
          </w:tcPr>
          <w:p w14:paraId="448C269C" w14:textId="77777777" w:rsidR="00000000" w:rsidRDefault="00EB4933">
            <w:pPr>
              <w:rPr>
                <w:rFonts w:eastAsia="Times New Roman"/>
                <w:sz w:val="20"/>
                <w:szCs w:val="20"/>
              </w:rPr>
            </w:pPr>
          </w:p>
        </w:tc>
      </w:tr>
      <w:tr w:rsidR="00000000" w14:paraId="4D4A8553" w14:textId="77777777">
        <w:trPr>
          <w:divId w:val="98525094"/>
          <w:trHeight w:val="225"/>
          <w:tblCellSpacing w:w="15" w:type="dxa"/>
        </w:trPr>
        <w:tc>
          <w:tcPr>
            <w:tcW w:w="0" w:type="auto"/>
            <w:vAlign w:val="center"/>
            <w:hideMark/>
          </w:tcPr>
          <w:p w14:paraId="7CF49023" w14:textId="77777777" w:rsidR="00000000" w:rsidRDefault="00EB4933">
            <w:pPr>
              <w:rPr>
                <w:rFonts w:eastAsia="Times New Roman"/>
                <w:sz w:val="20"/>
                <w:szCs w:val="20"/>
              </w:rPr>
            </w:pPr>
            <w:hyperlink r:id="rId283" w:anchor="finindex" w:history="1">
              <w:r>
                <w:rPr>
                  <w:rStyle w:val="Hyperlink"/>
                  <w:rFonts w:eastAsia="Times New Roman"/>
                  <w:i/>
                  <w:iCs/>
                  <w:sz w:val="20"/>
                  <w:szCs w:val="20"/>
                </w:rPr>
                <w:t>Table of Contents</w:t>
              </w:r>
            </w:hyperlink>
          </w:p>
        </w:tc>
      </w:tr>
    </w:tbl>
    <w:p w14:paraId="3EE9AFAC" w14:textId="77777777" w:rsidR="00000000" w:rsidRDefault="00EB4933">
      <w:pPr>
        <w:pStyle w:val="NormalWeb"/>
        <w:spacing w:before="0" w:beforeAutospacing="0" w:after="0" w:afterAutospacing="0"/>
        <w:jc w:val="both"/>
        <w:divId w:val="98525094"/>
        <w:rPr>
          <w:sz w:val="20"/>
          <w:szCs w:val="20"/>
        </w:rPr>
      </w:pPr>
      <w:r>
        <w:rPr>
          <w:sz w:val="20"/>
          <w:szCs w:val="20"/>
        </w:rPr>
        <w:t>  </w:t>
      </w:r>
      <w:r>
        <w:rPr>
          <w:rStyle w:val="Strong"/>
          <w:sz w:val="20"/>
          <w:szCs w:val="20"/>
        </w:rPr>
        <w:t xml:space="preserve">  </w:t>
      </w:r>
    </w:p>
    <w:p w14:paraId="26053041"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3018EE21"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47742A86"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4E903BE8"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0E571C56" w14:textId="77777777" w:rsidR="00000000" w:rsidRDefault="00EB4933">
      <w:pPr>
        <w:pStyle w:val="NormalWeb"/>
        <w:spacing w:before="0" w:beforeAutospacing="0" w:after="0" w:afterAutospacing="0"/>
        <w:jc w:val="both"/>
        <w:divId w:val="98525094"/>
        <w:rPr>
          <w:sz w:val="20"/>
          <w:szCs w:val="20"/>
        </w:rPr>
      </w:pPr>
      <w:r>
        <w:rPr>
          <w:rStyle w:val="Strong"/>
          <w:sz w:val="20"/>
          <w:szCs w:val="20"/>
        </w:rPr>
        <w:t>27. Related party transactions - continued</w:t>
      </w:r>
    </w:p>
    <w:p w14:paraId="3EE6B5AE"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44BEECB7" w14:textId="77777777">
        <w:trPr>
          <w:divId w:val="98525094"/>
          <w:trHeight w:val="225"/>
          <w:tblCellSpacing w:w="15" w:type="dxa"/>
        </w:trPr>
        <w:tc>
          <w:tcPr>
            <w:tcW w:w="200" w:type="pct"/>
            <w:vAlign w:val="center"/>
            <w:hideMark/>
          </w:tcPr>
          <w:p w14:paraId="33D4B505"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02314E5F" w14:textId="77777777" w:rsidR="00000000" w:rsidRDefault="00EB4933">
            <w:pPr>
              <w:pStyle w:val="NormalWeb"/>
              <w:spacing w:before="0" w:beforeAutospacing="0" w:after="0" w:afterAutospacing="0"/>
              <w:rPr>
                <w:sz w:val="20"/>
                <w:szCs w:val="20"/>
              </w:rPr>
            </w:pPr>
            <w:r>
              <w:rPr>
                <w:rStyle w:val="Strong"/>
                <w:sz w:val="20"/>
                <w:szCs w:val="20"/>
              </w:rPr>
              <w:t xml:space="preserve">10. </w:t>
            </w:r>
          </w:p>
        </w:tc>
        <w:tc>
          <w:tcPr>
            <w:tcW w:w="0" w:type="auto"/>
            <w:hideMark/>
          </w:tcPr>
          <w:p w14:paraId="389845EA" w14:textId="77777777" w:rsidR="00000000" w:rsidRDefault="00EB4933">
            <w:pPr>
              <w:rPr>
                <w:rFonts w:eastAsia="Times New Roman"/>
                <w:sz w:val="20"/>
                <w:szCs w:val="20"/>
              </w:rPr>
            </w:pPr>
            <w:r>
              <w:rPr>
                <w:rStyle w:val="Strong"/>
                <w:rFonts w:eastAsia="Times New Roman"/>
                <w:sz w:val="20"/>
                <w:szCs w:val="20"/>
              </w:rPr>
              <w:t>Loans receivable from related parties</w:t>
            </w:r>
          </w:p>
        </w:tc>
      </w:tr>
    </w:tbl>
    <w:p w14:paraId="6B8BF6A1"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719"/>
        <w:gridCol w:w="530"/>
        <w:gridCol w:w="8111"/>
      </w:tblGrid>
      <w:tr w:rsidR="00000000" w14:paraId="385DA7BC" w14:textId="77777777">
        <w:trPr>
          <w:divId w:val="98525094"/>
          <w:trHeight w:val="225"/>
          <w:tblCellSpacing w:w="15" w:type="dxa"/>
        </w:trPr>
        <w:tc>
          <w:tcPr>
            <w:tcW w:w="400" w:type="pct"/>
            <w:vAlign w:val="center"/>
            <w:hideMark/>
          </w:tcPr>
          <w:p w14:paraId="738169A2"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46BE6277" w14:textId="77777777" w:rsidR="00000000" w:rsidRDefault="00EB4933">
            <w:pPr>
              <w:pStyle w:val="NormalWeb"/>
              <w:spacing w:before="0" w:beforeAutospacing="0" w:after="0" w:afterAutospacing="0"/>
              <w:jc w:val="both"/>
              <w:rPr>
                <w:sz w:val="20"/>
                <w:szCs w:val="20"/>
              </w:rPr>
            </w:pPr>
            <w:r>
              <w:rPr>
                <w:sz w:val="20"/>
                <w:szCs w:val="20"/>
              </w:rPr>
              <w:t xml:space="preserve">10.1 </w:t>
            </w:r>
          </w:p>
        </w:tc>
        <w:tc>
          <w:tcPr>
            <w:tcW w:w="0" w:type="auto"/>
            <w:hideMark/>
          </w:tcPr>
          <w:p w14:paraId="10D43764" w14:textId="77777777" w:rsidR="00000000" w:rsidRDefault="00EB4933">
            <w:pPr>
              <w:jc w:val="both"/>
              <w:rPr>
                <w:rFonts w:eastAsia="Times New Roman"/>
                <w:sz w:val="20"/>
                <w:szCs w:val="20"/>
              </w:rPr>
            </w:pPr>
            <w:r>
              <w:rPr>
                <w:rFonts w:eastAsia="Times New Roman"/>
                <w:sz w:val="20"/>
                <w:szCs w:val="20"/>
              </w:rPr>
              <w:t>In 2016, loans receivable of RMB8.0 million were lent to Hubei Baoli Ecological Conservation Co., Ltd at an interest rate of 36% per annum. The loan was guaranteed by Ms. Jing Liang, a shareholder who owned 4.3% of the variable interest entity. The interes</w:t>
            </w:r>
            <w:r>
              <w:rPr>
                <w:rFonts w:eastAsia="Times New Roman"/>
                <w:sz w:val="20"/>
                <w:szCs w:val="20"/>
              </w:rPr>
              <w:t>t received on the loan was nil, nil and nil for the years ended December 31, 2017, 2018 and 2019, respectively. As of December 31, 2018 and 2019, this loan was overdue.</w:t>
            </w:r>
          </w:p>
        </w:tc>
      </w:tr>
      <w:tr w:rsidR="00000000" w14:paraId="558324BF" w14:textId="77777777">
        <w:trPr>
          <w:divId w:val="98525094"/>
          <w:trHeight w:val="225"/>
          <w:tblCellSpacing w:w="15" w:type="dxa"/>
        </w:trPr>
        <w:tc>
          <w:tcPr>
            <w:tcW w:w="0" w:type="auto"/>
            <w:vAlign w:val="center"/>
            <w:hideMark/>
          </w:tcPr>
          <w:p w14:paraId="7BF897CF"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0AE4C91A"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0603A950"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55CE3258" w14:textId="77777777">
        <w:trPr>
          <w:divId w:val="98525094"/>
          <w:trHeight w:val="225"/>
          <w:tblCellSpacing w:w="15" w:type="dxa"/>
        </w:trPr>
        <w:tc>
          <w:tcPr>
            <w:tcW w:w="0" w:type="auto"/>
            <w:vAlign w:val="center"/>
            <w:hideMark/>
          </w:tcPr>
          <w:p w14:paraId="2325A68E"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76735007" w14:textId="77777777" w:rsidR="00000000" w:rsidRDefault="00EB4933">
            <w:pPr>
              <w:pStyle w:val="NormalWeb"/>
              <w:spacing w:before="0" w:beforeAutospacing="0" w:after="0" w:afterAutospacing="0"/>
              <w:jc w:val="both"/>
              <w:rPr>
                <w:sz w:val="20"/>
                <w:szCs w:val="20"/>
              </w:rPr>
            </w:pPr>
            <w:r>
              <w:rPr>
                <w:sz w:val="20"/>
                <w:szCs w:val="20"/>
              </w:rPr>
              <w:t xml:space="preserve">10.2 </w:t>
            </w:r>
          </w:p>
        </w:tc>
        <w:tc>
          <w:tcPr>
            <w:tcW w:w="0" w:type="auto"/>
            <w:hideMark/>
          </w:tcPr>
          <w:p w14:paraId="40D21075" w14:textId="77777777" w:rsidR="00000000" w:rsidRDefault="00EB4933">
            <w:pPr>
              <w:jc w:val="both"/>
              <w:rPr>
                <w:rFonts w:eastAsia="Times New Roman"/>
                <w:sz w:val="20"/>
                <w:szCs w:val="20"/>
              </w:rPr>
            </w:pPr>
            <w:r>
              <w:rPr>
                <w:rFonts w:eastAsia="Times New Roman"/>
                <w:sz w:val="20"/>
                <w:szCs w:val="20"/>
              </w:rPr>
              <w:t>In 2016, loans receivable of RMB3.0 million were lent to Kang Chen at a</w:t>
            </w:r>
            <w:r>
              <w:rPr>
                <w:rFonts w:eastAsia="Times New Roman"/>
                <w:sz w:val="20"/>
                <w:szCs w:val="20"/>
              </w:rPr>
              <w:t>n interest rate of 36% per annum. The loan was guaranteed by Ms. Jing Liang, a shareholder who owned 4.3% of the variable interest entity. The interest received on the loan was nil, nil and nil for the years ended December 31, 2017, 2018 and 2019, respecti</w:t>
            </w:r>
            <w:r>
              <w:rPr>
                <w:rFonts w:eastAsia="Times New Roman"/>
                <w:sz w:val="20"/>
                <w:szCs w:val="20"/>
              </w:rPr>
              <w:t>vely. As of December 31, 2018 and 2019, this loan was overdue.</w:t>
            </w:r>
          </w:p>
        </w:tc>
      </w:tr>
      <w:tr w:rsidR="00000000" w14:paraId="5AECD08A" w14:textId="77777777">
        <w:trPr>
          <w:divId w:val="98525094"/>
          <w:trHeight w:val="225"/>
          <w:tblCellSpacing w:w="15" w:type="dxa"/>
        </w:trPr>
        <w:tc>
          <w:tcPr>
            <w:tcW w:w="0" w:type="auto"/>
            <w:vAlign w:val="center"/>
            <w:hideMark/>
          </w:tcPr>
          <w:p w14:paraId="626E2BA4"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78D0BF8"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910F752"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7CAADC6" w14:textId="77777777">
        <w:trPr>
          <w:divId w:val="98525094"/>
          <w:trHeight w:val="225"/>
          <w:tblCellSpacing w:w="15" w:type="dxa"/>
        </w:trPr>
        <w:tc>
          <w:tcPr>
            <w:tcW w:w="0" w:type="auto"/>
            <w:vAlign w:val="center"/>
            <w:hideMark/>
          </w:tcPr>
          <w:p w14:paraId="4A093079"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5D9572D6" w14:textId="77777777" w:rsidR="00000000" w:rsidRDefault="00EB4933">
            <w:pPr>
              <w:pStyle w:val="NormalWeb"/>
              <w:spacing w:before="0" w:beforeAutospacing="0" w:after="0" w:afterAutospacing="0"/>
              <w:jc w:val="both"/>
              <w:rPr>
                <w:sz w:val="20"/>
                <w:szCs w:val="20"/>
              </w:rPr>
            </w:pPr>
            <w:r>
              <w:rPr>
                <w:sz w:val="20"/>
                <w:szCs w:val="20"/>
              </w:rPr>
              <w:t xml:space="preserve">10.3 </w:t>
            </w:r>
          </w:p>
        </w:tc>
        <w:tc>
          <w:tcPr>
            <w:tcW w:w="0" w:type="auto"/>
            <w:hideMark/>
          </w:tcPr>
          <w:p w14:paraId="496376A0" w14:textId="77777777" w:rsidR="00000000" w:rsidRDefault="00EB4933">
            <w:pPr>
              <w:jc w:val="both"/>
              <w:rPr>
                <w:rFonts w:eastAsia="Times New Roman"/>
                <w:sz w:val="20"/>
                <w:szCs w:val="20"/>
              </w:rPr>
            </w:pPr>
            <w:r>
              <w:rPr>
                <w:rFonts w:eastAsia="Times New Roman"/>
                <w:sz w:val="20"/>
                <w:szCs w:val="20"/>
              </w:rPr>
              <w:t>In 2017, loans receivable of RMB18.0 million were lent to Wuhan Zhong Ji Gold Co., Ltd at a weighted average interest rate of 25.3% per annum. The loan was related to Ms Wenting Xiao, a shareholder who owned 10.6% of the variable interest entity, whom is a</w:t>
            </w:r>
            <w:r>
              <w:rPr>
                <w:rFonts w:eastAsia="Times New Roman"/>
                <w:sz w:val="20"/>
                <w:szCs w:val="20"/>
              </w:rPr>
              <w:t xml:space="preserve"> member of the supervisory </w:t>
            </w:r>
            <w:r>
              <w:rPr>
                <w:rFonts w:eastAsia="Times New Roman"/>
                <w:sz w:val="20"/>
                <w:szCs w:val="20"/>
              </w:rPr>
              <w:lastRenderedPageBreak/>
              <w:t>committee with Wuhan Zhong Ji Gold Co., Ltd. The interest received on loan was RMB6.5 million for the year ended December 31, 2017. This loan was fully repaid in 2017.</w:t>
            </w:r>
          </w:p>
        </w:tc>
      </w:tr>
      <w:tr w:rsidR="00000000" w14:paraId="799ADDAF" w14:textId="77777777">
        <w:trPr>
          <w:divId w:val="98525094"/>
          <w:trHeight w:val="225"/>
          <w:tblCellSpacing w:w="15" w:type="dxa"/>
        </w:trPr>
        <w:tc>
          <w:tcPr>
            <w:tcW w:w="0" w:type="auto"/>
            <w:vAlign w:val="center"/>
            <w:hideMark/>
          </w:tcPr>
          <w:p w14:paraId="057929A6" w14:textId="77777777" w:rsidR="00000000" w:rsidRDefault="00EB4933">
            <w:pPr>
              <w:pStyle w:val="NormalWeb"/>
              <w:spacing w:before="0" w:beforeAutospacing="0" w:after="0" w:afterAutospacing="0"/>
              <w:ind w:firstLine="450"/>
              <w:jc w:val="both"/>
              <w:rPr>
                <w:sz w:val="20"/>
                <w:szCs w:val="20"/>
              </w:rPr>
            </w:pPr>
            <w:r>
              <w:rPr>
                <w:sz w:val="20"/>
                <w:szCs w:val="20"/>
              </w:rPr>
              <w:lastRenderedPageBreak/>
              <w:t> </w:t>
            </w:r>
          </w:p>
        </w:tc>
        <w:tc>
          <w:tcPr>
            <w:tcW w:w="0" w:type="auto"/>
            <w:vAlign w:val="center"/>
            <w:hideMark/>
          </w:tcPr>
          <w:p w14:paraId="143F78EF"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20F2211"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2AC6A805" w14:textId="77777777">
        <w:trPr>
          <w:divId w:val="98525094"/>
          <w:trHeight w:val="225"/>
          <w:tblCellSpacing w:w="15" w:type="dxa"/>
        </w:trPr>
        <w:tc>
          <w:tcPr>
            <w:tcW w:w="0" w:type="auto"/>
            <w:vAlign w:val="center"/>
            <w:hideMark/>
          </w:tcPr>
          <w:p w14:paraId="453777E9"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7C0010DD" w14:textId="77777777" w:rsidR="00000000" w:rsidRDefault="00EB4933">
            <w:pPr>
              <w:pStyle w:val="NormalWeb"/>
              <w:spacing w:before="0" w:beforeAutospacing="0" w:after="0" w:afterAutospacing="0"/>
              <w:jc w:val="both"/>
              <w:rPr>
                <w:sz w:val="20"/>
                <w:szCs w:val="20"/>
              </w:rPr>
            </w:pPr>
            <w:r>
              <w:rPr>
                <w:sz w:val="20"/>
                <w:szCs w:val="20"/>
              </w:rPr>
              <w:t xml:space="preserve">10.4 </w:t>
            </w:r>
          </w:p>
        </w:tc>
        <w:tc>
          <w:tcPr>
            <w:tcW w:w="0" w:type="auto"/>
            <w:hideMark/>
          </w:tcPr>
          <w:p w14:paraId="2993EBB8" w14:textId="77777777" w:rsidR="00000000" w:rsidRDefault="00EB4933">
            <w:pPr>
              <w:jc w:val="both"/>
              <w:rPr>
                <w:rFonts w:eastAsia="Times New Roman"/>
                <w:sz w:val="20"/>
                <w:szCs w:val="20"/>
              </w:rPr>
            </w:pPr>
            <w:r>
              <w:rPr>
                <w:rFonts w:eastAsia="Times New Roman"/>
                <w:sz w:val="20"/>
                <w:szCs w:val="20"/>
              </w:rPr>
              <w:t xml:space="preserve">In 2017, loans receivable of RMB19.0 million </w:t>
            </w:r>
            <w:r>
              <w:rPr>
                <w:rFonts w:eastAsia="Times New Roman"/>
                <w:sz w:val="20"/>
                <w:szCs w:val="20"/>
              </w:rPr>
              <w:t>were lent to Wuhan Xin Heng Tai Investment Co., Ltd at a weighted average interest rate of 24.9% per annum. The loan was related to Ms Wenting Xiao, a shareholder who owned 10.6% of the variable interest entity, whom is a general manager with Wuhan Xin Hen</w:t>
            </w:r>
            <w:r>
              <w:rPr>
                <w:rFonts w:eastAsia="Times New Roman"/>
                <w:sz w:val="20"/>
                <w:szCs w:val="20"/>
              </w:rPr>
              <w:t>g Tai Investment Co., Ltd. The interest received on loan was RMB4.9 million for the year ended December 31, 2017. This loan was fully repaid in 2017.</w:t>
            </w:r>
          </w:p>
        </w:tc>
      </w:tr>
    </w:tbl>
    <w:p w14:paraId="222887CF"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36C8A2A0" w14:textId="77777777">
        <w:trPr>
          <w:divId w:val="98525094"/>
          <w:trHeight w:val="225"/>
          <w:tblCellSpacing w:w="15" w:type="dxa"/>
        </w:trPr>
        <w:tc>
          <w:tcPr>
            <w:tcW w:w="200" w:type="pct"/>
            <w:vAlign w:val="center"/>
            <w:hideMark/>
          </w:tcPr>
          <w:p w14:paraId="07EEC853"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6E87CD80" w14:textId="77777777" w:rsidR="00000000" w:rsidRDefault="00EB4933">
            <w:pPr>
              <w:pStyle w:val="NormalWeb"/>
              <w:spacing w:before="0" w:beforeAutospacing="0" w:after="0" w:afterAutospacing="0"/>
              <w:rPr>
                <w:sz w:val="20"/>
                <w:szCs w:val="20"/>
              </w:rPr>
            </w:pPr>
            <w:r>
              <w:rPr>
                <w:rStyle w:val="Strong"/>
                <w:sz w:val="20"/>
                <w:szCs w:val="20"/>
              </w:rPr>
              <w:t xml:space="preserve">11. </w:t>
            </w:r>
          </w:p>
        </w:tc>
        <w:tc>
          <w:tcPr>
            <w:tcW w:w="0" w:type="auto"/>
            <w:hideMark/>
          </w:tcPr>
          <w:p w14:paraId="6AE38DED" w14:textId="77777777" w:rsidR="00000000" w:rsidRDefault="00EB4933">
            <w:pPr>
              <w:rPr>
                <w:rFonts w:eastAsia="Times New Roman"/>
                <w:sz w:val="20"/>
                <w:szCs w:val="20"/>
              </w:rPr>
            </w:pPr>
            <w:r>
              <w:rPr>
                <w:rStyle w:val="Strong"/>
                <w:rFonts w:eastAsia="Times New Roman"/>
                <w:sz w:val="20"/>
                <w:szCs w:val="20"/>
              </w:rPr>
              <w:t>Loans receivable novated to a related party</w:t>
            </w:r>
          </w:p>
        </w:tc>
      </w:tr>
    </w:tbl>
    <w:p w14:paraId="4A13B2C2"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0BDA61F" w14:textId="77777777" w:rsidR="00000000" w:rsidRDefault="00EB4933">
      <w:pPr>
        <w:pStyle w:val="NormalWeb"/>
        <w:spacing w:before="0" w:beforeAutospacing="0" w:after="0" w:afterAutospacing="0"/>
        <w:ind w:left="675"/>
        <w:jc w:val="both"/>
        <w:divId w:val="98525094"/>
        <w:rPr>
          <w:sz w:val="20"/>
          <w:szCs w:val="20"/>
        </w:rPr>
      </w:pPr>
      <w:r>
        <w:rPr>
          <w:sz w:val="20"/>
          <w:szCs w:val="20"/>
        </w:rPr>
        <w:t xml:space="preserve">In 2019, certain loans receivable were novated to a related party, Hubei New Nature Investment Co., Ltd, a company that is 80.8% owned by the Chairman and the Chief Executive Officer, Mr Ricky Qizhi Wei, to offset loans payable of RMB9.9 million, interest </w:t>
      </w:r>
      <w:r>
        <w:rPr>
          <w:sz w:val="20"/>
          <w:szCs w:val="20"/>
        </w:rPr>
        <w:t>payable of RMB3.1 million to Hubei New Nature (see Note 27 of Notes to Consolidated Financial Statements, sub-section 3.2 of Section 3 for detailed disclosure), reverse merger and operating expenses payable of RMB22.6 million (see Note 27 of Notes to Conso</w:t>
      </w:r>
      <w:r>
        <w:rPr>
          <w:sz w:val="20"/>
          <w:szCs w:val="20"/>
        </w:rPr>
        <w:t>lidated Financial Statements, Section 6 for detailed disclosure), and advisory expenses payable of RMB4.6 million (see Note 27 of Notes to Consolidated Financial Statements, Section 7 for detailed disclosure).</w:t>
      </w:r>
    </w:p>
    <w:p w14:paraId="369AF7D0"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FFC6DD7" w14:textId="77777777">
        <w:trPr>
          <w:divId w:val="98525094"/>
          <w:trHeight w:val="225"/>
          <w:tblCellSpacing w:w="15" w:type="dxa"/>
        </w:trPr>
        <w:tc>
          <w:tcPr>
            <w:tcW w:w="0" w:type="auto"/>
            <w:vAlign w:val="center"/>
            <w:hideMark/>
          </w:tcPr>
          <w:p w14:paraId="7221A679" w14:textId="77777777" w:rsidR="00000000" w:rsidRDefault="00EB4933">
            <w:pPr>
              <w:rPr>
                <w:rFonts w:eastAsia="Times New Roman"/>
                <w:sz w:val="20"/>
                <w:szCs w:val="20"/>
              </w:rPr>
            </w:pPr>
            <w:r>
              <w:rPr>
                <w:rFonts w:eastAsia="Times New Roman"/>
                <w:sz w:val="20"/>
                <w:szCs w:val="20"/>
              </w:rPr>
              <w:t> </w:t>
            </w:r>
          </w:p>
        </w:tc>
      </w:tr>
      <w:tr w:rsidR="00000000" w14:paraId="62E70F74" w14:textId="77777777">
        <w:trPr>
          <w:divId w:val="98525094"/>
          <w:trHeight w:val="225"/>
          <w:tblCellSpacing w:w="15" w:type="dxa"/>
        </w:trPr>
        <w:tc>
          <w:tcPr>
            <w:tcW w:w="0" w:type="auto"/>
            <w:tcBorders>
              <w:bottom w:val="single" w:sz="6" w:space="0" w:color="000000"/>
            </w:tcBorders>
            <w:vAlign w:val="center"/>
            <w:hideMark/>
          </w:tcPr>
          <w:p w14:paraId="620E8A93" w14:textId="77777777" w:rsidR="00000000" w:rsidRDefault="00EB4933">
            <w:pPr>
              <w:jc w:val="center"/>
              <w:rPr>
                <w:rFonts w:eastAsia="Times New Roman"/>
                <w:sz w:val="20"/>
                <w:szCs w:val="20"/>
              </w:rPr>
            </w:pPr>
            <w:r>
              <w:rPr>
                <w:rFonts w:eastAsia="Times New Roman"/>
                <w:sz w:val="20"/>
                <w:szCs w:val="20"/>
              </w:rPr>
              <w:t>F-67</w:t>
            </w:r>
          </w:p>
        </w:tc>
      </w:tr>
      <w:tr w:rsidR="00000000" w14:paraId="62B24ABB" w14:textId="77777777">
        <w:trPr>
          <w:divId w:val="98525094"/>
          <w:trHeight w:val="225"/>
          <w:tblCellSpacing w:w="15" w:type="dxa"/>
        </w:trPr>
        <w:tc>
          <w:tcPr>
            <w:tcW w:w="0" w:type="auto"/>
            <w:vAlign w:val="center"/>
            <w:hideMark/>
          </w:tcPr>
          <w:p w14:paraId="5548BE1D" w14:textId="77777777" w:rsidR="00000000" w:rsidRDefault="00EB4933">
            <w:pPr>
              <w:rPr>
                <w:rFonts w:eastAsia="Times New Roman"/>
                <w:sz w:val="20"/>
                <w:szCs w:val="20"/>
              </w:rPr>
            </w:pPr>
          </w:p>
        </w:tc>
      </w:tr>
      <w:tr w:rsidR="00000000" w14:paraId="60650776" w14:textId="77777777">
        <w:trPr>
          <w:divId w:val="98525094"/>
          <w:trHeight w:val="225"/>
          <w:tblCellSpacing w:w="15" w:type="dxa"/>
        </w:trPr>
        <w:tc>
          <w:tcPr>
            <w:tcW w:w="0" w:type="auto"/>
            <w:vAlign w:val="center"/>
            <w:hideMark/>
          </w:tcPr>
          <w:p w14:paraId="6CE9CCDC" w14:textId="77777777" w:rsidR="00000000" w:rsidRDefault="00EB4933">
            <w:pPr>
              <w:rPr>
                <w:rFonts w:eastAsia="Times New Roman"/>
                <w:sz w:val="20"/>
                <w:szCs w:val="20"/>
              </w:rPr>
            </w:pPr>
            <w:hyperlink r:id="rId284" w:anchor="finindex" w:history="1">
              <w:r>
                <w:rPr>
                  <w:rStyle w:val="Hyperlink"/>
                  <w:rFonts w:eastAsia="Times New Roman"/>
                  <w:i/>
                  <w:iCs/>
                  <w:sz w:val="20"/>
                  <w:szCs w:val="20"/>
                </w:rPr>
                <w:t>Table of Contents</w:t>
              </w:r>
            </w:hyperlink>
          </w:p>
        </w:tc>
      </w:tr>
    </w:tbl>
    <w:p w14:paraId="1EDC174E"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C76D237"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756B81BC"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385D0FF2"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FOR THE FINANCIAL YEAR ENDED 2017, 2018 AND 2019 </w:t>
      </w:r>
    </w:p>
    <w:p w14:paraId="65397A1F"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90EF4D7" w14:textId="77777777" w:rsidR="00000000" w:rsidRDefault="00EB4933">
      <w:pPr>
        <w:pStyle w:val="NormalWeb"/>
        <w:spacing w:before="0" w:beforeAutospacing="0" w:after="0" w:afterAutospacing="0"/>
        <w:jc w:val="both"/>
        <w:divId w:val="98525094"/>
        <w:rPr>
          <w:sz w:val="20"/>
          <w:szCs w:val="20"/>
        </w:rPr>
      </w:pPr>
      <w:r>
        <w:rPr>
          <w:rStyle w:val="Strong"/>
          <w:sz w:val="20"/>
          <w:szCs w:val="20"/>
        </w:rPr>
        <w:t>28. Legal proceedings</w:t>
      </w:r>
    </w:p>
    <w:p w14:paraId="7DD3C66D"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0703A22" w14:textId="77777777" w:rsidR="00000000" w:rsidRDefault="00EB4933">
      <w:pPr>
        <w:pStyle w:val="NormalWeb"/>
        <w:spacing w:before="0" w:beforeAutospacing="0" w:after="0" w:afterAutospacing="0"/>
        <w:ind w:left="675"/>
        <w:jc w:val="both"/>
        <w:divId w:val="98525094"/>
        <w:rPr>
          <w:sz w:val="20"/>
          <w:szCs w:val="20"/>
        </w:rPr>
      </w:pPr>
      <w:r>
        <w:rPr>
          <w:rStyle w:val="Emphasis"/>
          <w:b/>
          <w:bCs/>
          <w:sz w:val="20"/>
          <w:szCs w:val="20"/>
        </w:rPr>
        <w:t>Property Preservation Proceedings</w:t>
      </w:r>
    </w:p>
    <w:p w14:paraId="2C7311FB"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45"/>
        <w:gridCol w:w="530"/>
        <w:gridCol w:w="8285"/>
      </w:tblGrid>
      <w:tr w:rsidR="00000000" w14:paraId="2B253D99" w14:textId="77777777">
        <w:trPr>
          <w:divId w:val="98525094"/>
          <w:trHeight w:val="225"/>
          <w:tblCellSpacing w:w="15" w:type="dxa"/>
        </w:trPr>
        <w:tc>
          <w:tcPr>
            <w:tcW w:w="200" w:type="pct"/>
            <w:vAlign w:val="center"/>
            <w:hideMark/>
          </w:tcPr>
          <w:p w14:paraId="558585AD"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7E66203A" w14:textId="77777777" w:rsidR="00000000" w:rsidRDefault="00EB4933">
            <w:pPr>
              <w:pStyle w:val="NormalWeb"/>
              <w:spacing w:before="0" w:beforeAutospacing="0" w:after="0" w:afterAutospacing="0"/>
              <w:jc w:val="both"/>
              <w:rPr>
                <w:sz w:val="20"/>
                <w:szCs w:val="20"/>
              </w:rPr>
            </w:pPr>
            <w:r>
              <w:rPr>
                <w:sz w:val="20"/>
                <w:szCs w:val="20"/>
              </w:rPr>
              <w:t xml:space="preserve">28.1 </w:t>
            </w:r>
          </w:p>
        </w:tc>
        <w:tc>
          <w:tcPr>
            <w:tcW w:w="0" w:type="auto"/>
            <w:hideMark/>
          </w:tcPr>
          <w:p w14:paraId="2EEF3DDE" w14:textId="77777777" w:rsidR="00000000" w:rsidRDefault="00EB4933">
            <w:pPr>
              <w:jc w:val="both"/>
              <w:rPr>
                <w:rFonts w:eastAsia="Times New Roman"/>
                <w:sz w:val="20"/>
                <w:szCs w:val="20"/>
              </w:rPr>
            </w:pPr>
            <w:r>
              <w:rPr>
                <w:rFonts w:eastAsia="Times New Roman"/>
                <w:sz w:val="20"/>
                <w:szCs w:val="20"/>
              </w:rPr>
              <w:t xml:space="preserve">On July 16, 2019, Shenzhen Lihe Wantong Commerical Factoring Co., Ltd applied to the Wuhan Wuchang People’s Court for pre-litigation protective measures to be taken against the respondents Chutian and Mr Ricky Qizhi Wei with regards to a contract dispute. </w:t>
            </w:r>
            <w:r>
              <w:rPr>
                <w:rFonts w:eastAsia="Times New Roman"/>
                <w:sz w:val="20"/>
                <w:szCs w:val="20"/>
              </w:rPr>
              <w:t>On July 31, 2019, the court issued a preservation order freezing a total of RMB12.3 million of deposits in the bank accounts of Chutian and Mr Ricky Qizhi Wei be for a period of one (1) year; and seizing four properties of Mr Ricky Qizhi Wei and Ms Peng Ya</w:t>
            </w:r>
            <w:r>
              <w:rPr>
                <w:rFonts w:eastAsia="Times New Roman"/>
                <w:sz w:val="20"/>
                <w:szCs w:val="20"/>
              </w:rPr>
              <w:t xml:space="preserve">n, Mr Ricky Qizhi Wei’s wife. The total limit of the property preservation in this matter is RMB29.9 million. </w:t>
            </w:r>
          </w:p>
        </w:tc>
      </w:tr>
      <w:tr w:rsidR="00000000" w14:paraId="54B7EA0A" w14:textId="77777777">
        <w:trPr>
          <w:divId w:val="98525094"/>
          <w:trHeight w:val="225"/>
          <w:tblCellSpacing w:w="15" w:type="dxa"/>
        </w:trPr>
        <w:tc>
          <w:tcPr>
            <w:tcW w:w="0" w:type="auto"/>
            <w:vAlign w:val="center"/>
            <w:hideMark/>
          </w:tcPr>
          <w:p w14:paraId="4EB8E927"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26D55D74"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26EEE46"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725CB4B9" w14:textId="77777777">
        <w:trPr>
          <w:divId w:val="98525094"/>
          <w:trHeight w:val="225"/>
          <w:tblCellSpacing w:w="15" w:type="dxa"/>
        </w:trPr>
        <w:tc>
          <w:tcPr>
            <w:tcW w:w="0" w:type="auto"/>
            <w:vAlign w:val="center"/>
            <w:hideMark/>
          </w:tcPr>
          <w:p w14:paraId="2E9A7014"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75CA7F10" w14:textId="77777777" w:rsidR="00000000" w:rsidRDefault="00EB4933">
            <w:pPr>
              <w:pStyle w:val="NormalWeb"/>
              <w:spacing w:before="0" w:beforeAutospacing="0" w:after="0" w:afterAutospacing="0"/>
              <w:jc w:val="both"/>
              <w:rPr>
                <w:sz w:val="20"/>
                <w:szCs w:val="20"/>
              </w:rPr>
            </w:pPr>
            <w:r>
              <w:rPr>
                <w:sz w:val="20"/>
                <w:szCs w:val="20"/>
              </w:rPr>
              <w:t xml:space="preserve">28.2 </w:t>
            </w:r>
          </w:p>
        </w:tc>
        <w:tc>
          <w:tcPr>
            <w:tcW w:w="0" w:type="auto"/>
            <w:hideMark/>
          </w:tcPr>
          <w:p w14:paraId="747973CF" w14:textId="77777777" w:rsidR="00000000" w:rsidRDefault="00EB4933">
            <w:pPr>
              <w:jc w:val="both"/>
              <w:rPr>
                <w:rFonts w:eastAsia="Times New Roman"/>
                <w:sz w:val="20"/>
                <w:szCs w:val="20"/>
              </w:rPr>
            </w:pPr>
            <w:r>
              <w:rPr>
                <w:rFonts w:eastAsia="Times New Roman"/>
                <w:sz w:val="20"/>
                <w:szCs w:val="20"/>
              </w:rPr>
              <w:t>On September 4, 2019, Hubei Changjiang Microcredit Co., Ltd applied to the Wuhan Wuchang People’s Court for pre-litigation proper</w:t>
            </w:r>
            <w:r>
              <w:rPr>
                <w:rFonts w:eastAsia="Times New Roman"/>
                <w:sz w:val="20"/>
                <w:szCs w:val="20"/>
              </w:rPr>
              <w:t>ty preservation of respondents Mr Ricky Qizhi Wei and Ms Peng Yan, Mr Ricky Qizhi Wei’s wife, Chutian and Hubei New Nature Investment Co., Ltd in connection with a loan contract dispute. On September 6, 2019, the court issued a preservation order seizing t</w:t>
            </w:r>
            <w:r>
              <w:rPr>
                <w:rFonts w:eastAsia="Times New Roman"/>
                <w:sz w:val="20"/>
                <w:szCs w:val="20"/>
              </w:rPr>
              <w:t xml:space="preserve">he bank deposits, or property in the corresponding value, of Mr Ricky Qizhi Wei, Ms Peng Yan, Chutian, Hubei New Nature Investment Co., Ltd and Dunxin Holdings Co., Ltd in the amount of RMB13.0 million and RMB12.0 million. Hubei New Nature Investment Co., </w:t>
            </w:r>
            <w:r>
              <w:rPr>
                <w:rFonts w:eastAsia="Times New Roman"/>
                <w:sz w:val="20"/>
                <w:szCs w:val="20"/>
              </w:rPr>
              <w:t>Ltd is a company that is 80.8% owned by the Chairman and the Chief Executive Officer, Mr Ricky Qizhi Wei. Dunxin Holdings Co., Ltd is a company that is 70% owned by the Chairman and the Chief Executive Officer, Mr Ricky Qizhi Wei and 30% owned by Ms Wentin</w:t>
            </w:r>
            <w:r>
              <w:rPr>
                <w:rFonts w:eastAsia="Times New Roman"/>
                <w:sz w:val="20"/>
                <w:szCs w:val="20"/>
              </w:rPr>
              <w:t xml:space="preserve">g (Tina) Xiao, Chief Personal/Human Resource Officer. The Court’s ruling was effective immediately. </w:t>
            </w:r>
          </w:p>
        </w:tc>
      </w:tr>
      <w:tr w:rsidR="00000000" w14:paraId="7FBD8146" w14:textId="77777777">
        <w:trPr>
          <w:divId w:val="98525094"/>
          <w:trHeight w:val="225"/>
          <w:tblCellSpacing w:w="15" w:type="dxa"/>
        </w:trPr>
        <w:tc>
          <w:tcPr>
            <w:tcW w:w="0" w:type="auto"/>
            <w:vAlign w:val="center"/>
            <w:hideMark/>
          </w:tcPr>
          <w:p w14:paraId="698E0608"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088A3F3F"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3AA8FB4D"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6325FE2A" w14:textId="77777777">
        <w:trPr>
          <w:divId w:val="98525094"/>
          <w:trHeight w:val="225"/>
          <w:tblCellSpacing w:w="15" w:type="dxa"/>
        </w:trPr>
        <w:tc>
          <w:tcPr>
            <w:tcW w:w="0" w:type="auto"/>
            <w:vAlign w:val="center"/>
            <w:hideMark/>
          </w:tcPr>
          <w:p w14:paraId="24156580"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63E397C5" w14:textId="77777777" w:rsidR="00000000" w:rsidRDefault="00EB4933">
            <w:pPr>
              <w:pStyle w:val="NormalWeb"/>
              <w:spacing w:before="0" w:beforeAutospacing="0" w:after="0" w:afterAutospacing="0"/>
              <w:jc w:val="both"/>
              <w:rPr>
                <w:sz w:val="20"/>
                <w:szCs w:val="20"/>
              </w:rPr>
            </w:pPr>
            <w:r>
              <w:rPr>
                <w:sz w:val="20"/>
                <w:szCs w:val="20"/>
              </w:rPr>
              <w:t xml:space="preserve">28.3 </w:t>
            </w:r>
          </w:p>
        </w:tc>
        <w:tc>
          <w:tcPr>
            <w:tcW w:w="0" w:type="auto"/>
            <w:hideMark/>
          </w:tcPr>
          <w:p w14:paraId="2D424A37" w14:textId="77777777" w:rsidR="00000000" w:rsidRDefault="00EB4933">
            <w:pPr>
              <w:jc w:val="both"/>
              <w:rPr>
                <w:rFonts w:eastAsia="Times New Roman"/>
                <w:sz w:val="20"/>
                <w:szCs w:val="20"/>
              </w:rPr>
            </w:pPr>
            <w:r>
              <w:rPr>
                <w:rFonts w:eastAsia="Times New Roman"/>
                <w:sz w:val="20"/>
                <w:szCs w:val="20"/>
              </w:rPr>
              <w:t xml:space="preserve">On October 14, 2019, Mr Deng Xinxue, Mr Zhang Xuan and Mr Yang Bobiao each applied to the Wuhan Wuchang People’s Court for pre-litigation property preservation of respondents Hubei Shanyin </w:t>
            </w:r>
            <w:r>
              <w:rPr>
                <w:rFonts w:eastAsia="Times New Roman"/>
                <w:sz w:val="20"/>
                <w:szCs w:val="20"/>
              </w:rPr>
              <w:lastRenderedPageBreak/>
              <w:t>Wealth Management Co., Ltd, a company that is 69.5% owned by the Ch</w:t>
            </w:r>
            <w:r>
              <w:rPr>
                <w:rFonts w:eastAsia="Times New Roman"/>
                <w:sz w:val="20"/>
                <w:szCs w:val="20"/>
              </w:rPr>
              <w:t>airman and the Chief Executive Officer, Mr Ricky Qizhi Wei, and Chutian in connection with loan contracts dispute. The court issued a preservation order seizing the bank deposits, or property in the corresponding value, of Hubei Shanyin Wealth Management C</w:t>
            </w:r>
            <w:r>
              <w:rPr>
                <w:rFonts w:eastAsia="Times New Roman"/>
                <w:sz w:val="20"/>
                <w:szCs w:val="20"/>
              </w:rPr>
              <w:t xml:space="preserve">o., Ltd and Chutian in the amount of RMB2.9 million, RMB9.0 million and RMB9.0 million, respectively. The court’s ruling was effective immediately. </w:t>
            </w:r>
          </w:p>
        </w:tc>
      </w:tr>
      <w:tr w:rsidR="00000000" w14:paraId="2D898C8C" w14:textId="77777777">
        <w:trPr>
          <w:divId w:val="98525094"/>
          <w:trHeight w:val="225"/>
          <w:tblCellSpacing w:w="15" w:type="dxa"/>
        </w:trPr>
        <w:tc>
          <w:tcPr>
            <w:tcW w:w="0" w:type="auto"/>
            <w:vAlign w:val="center"/>
            <w:hideMark/>
          </w:tcPr>
          <w:p w14:paraId="43947776" w14:textId="77777777" w:rsidR="00000000" w:rsidRDefault="00EB4933">
            <w:pPr>
              <w:pStyle w:val="NormalWeb"/>
              <w:spacing w:before="0" w:beforeAutospacing="0" w:after="0" w:afterAutospacing="0"/>
              <w:ind w:firstLine="450"/>
              <w:jc w:val="both"/>
              <w:rPr>
                <w:sz w:val="20"/>
                <w:szCs w:val="20"/>
              </w:rPr>
            </w:pPr>
            <w:r>
              <w:rPr>
                <w:sz w:val="20"/>
                <w:szCs w:val="20"/>
              </w:rPr>
              <w:lastRenderedPageBreak/>
              <w:t> </w:t>
            </w:r>
          </w:p>
        </w:tc>
        <w:tc>
          <w:tcPr>
            <w:tcW w:w="0" w:type="auto"/>
            <w:vAlign w:val="center"/>
            <w:hideMark/>
          </w:tcPr>
          <w:p w14:paraId="31B7BA6B"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70775876"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241071F9" w14:textId="77777777">
        <w:trPr>
          <w:divId w:val="98525094"/>
          <w:trHeight w:val="225"/>
          <w:tblCellSpacing w:w="15" w:type="dxa"/>
        </w:trPr>
        <w:tc>
          <w:tcPr>
            <w:tcW w:w="0" w:type="auto"/>
            <w:vAlign w:val="center"/>
            <w:hideMark/>
          </w:tcPr>
          <w:p w14:paraId="10E19D12"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3A537695" w14:textId="77777777" w:rsidR="00000000" w:rsidRDefault="00EB4933">
            <w:pPr>
              <w:pStyle w:val="NormalWeb"/>
              <w:spacing w:before="0" w:beforeAutospacing="0" w:after="0" w:afterAutospacing="0"/>
              <w:jc w:val="both"/>
              <w:rPr>
                <w:sz w:val="20"/>
                <w:szCs w:val="20"/>
              </w:rPr>
            </w:pPr>
            <w:r>
              <w:rPr>
                <w:sz w:val="20"/>
                <w:szCs w:val="20"/>
              </w:rPr>
              <w:t xml:space="preserve">28.4 </w:t>
            </w:r>
          </w:p>
        </w:tc>
        <w:tc>
          <w:tcPr>
            <w:tcW w:w="0" w:type="auto"/>
            <w:hideMark/>
          </w:tcPr>
          <w:p w14:paraId="2EF91110" w14:textId="77777777" w:rsidR="00000000" w:rsidRDefault="00EB4933">
            <w:pPr>
              <w:jc w:val="both"/>
              <w:rPr>
                <w:rFonts w:eastAsia="Times New Roman"/>
                <w:sz w:val="20"/>
                <w:szCs w:val="20"/>
              </w:rPr>
            </w:pPr>
            <w:r>
              <w:rPr>
                <w:rFonts w:eastAsia="Times New Roman"/>
                <w:sz w:val="20"/>
                <w:szCs w:val="20"/>
              </w:rPr>
              <w:t>On October 15, 2019, the Wuhan Wuchang People’s Court received a Letter of Property Preserv</w:t>
            </w:r>
            <w:r>
              <w:rPr>
                <w:rFonts w:eastAsia="Times New Roman"/>
                <w:sz w:val="20"/>
                <w:szCs w:val="20"/>
              </w:rPr>
              <w:t>ation from the Wuhan Arbitration Commission in connection with a loan contract dispute among the applicant Hubei Huaya Investment Co., Ltd and respondents Mr Ricky Qizhi Wei, Ms Peng Yan and Chutian. On October 23, 2019, after review of the letter by the c</w:t>
            </w:r>
            <w:r>
              <w:rPr>
                <w:rFonts w:eastAsia="Times New Roman"/>
                <w:sz w:val="20"/>
                <w:szCs w:val="20"/>
              </w:rPr>
              <w:t xml:space="preserve">ourt, the court issued a preservation seizing the bank deposits, or property in the corresponding value, of Mr Ricky Qizhi Wei, Ms Peng Yan, and Chutian in the amount of RMB12.3 million. The Court’s ruling was effective immediately. </w:t>
            </w:r>
          </w:p>
        </w:tc>
      </w:tr>
    </w:tbl>
    <w:p w14:paraId="25F12B29"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B311143" w14:textId="77777777">
        <w:trPr>
          <w:divId w:val="98525094"/>
          <w:trHeight w:val="225"/>
          <w:tblCellSpacing w:w="15" w:type="dxa"/>
        </w:trPr>
        <w:tc>
          <w:tcPr>
            <w:tcW w:w="0" w:type="auto"/>
            <w:vAlign w:val="center"/>
            <w:hideMark/>
          </w:tcPr>
          <w:p w14:paraId="3011853C" w14:textId="77777777" w:rsidR="00000000" w:rsidRDefault="00EB4933">
            <w:pPr>
              <w:rPr>
                <w:rFonts w:eastAsia="Times New Roman"/>
                <w:sz w:val="20"/>
                <w:szCs w:val="20"/>
              </w:rPr>
            </w:pPr>
            <w:r>
              <w:rPr>
                <w:rFonts w:eastAsia="Times New Roman"/>
                <w:sz w:val="20"/>
                <w:szCs w:val="20"/>
              </w:rPr>
              <w:t> </w:t>
            </w:r>
          </w:p>
        </w:tc>
      </w:tr>
      <w:tr w:rsidR="00000000" w14:paraId="2539BDF8" w14:textId="77777777">
        <w:trPr>
          <w:divId w:val="98525094"/>
          <w:trHeight w:val="225"/>
          <w:tblCellSpacing w:w="15" w:type="dxa"/>
        </w:trPr>
        <w:tc>
          <w:tcPr>
            <w:tcW w:w="0" w:type="auto"/>
            <w:tcBorders>
              <w:bottom w:val="single" w:sz="6" w:space="0" w:color="000000"/>
            </w:tcBorders>
            <w:vAlign w:val="center"/>
            <w:hideMark/>
          </w:tcPr>
          <w:p w14:paraId="146FEF3D" w14:textId="77777777" w:rsidR="00000000" w:rsidRDefault="00EB4933">
            <w:pPr>
              <w:jc w:val="center"/>
              <w:rPr>
                <w:rFonts w:eastAsia="Times New Roman"/>
                <w:sz w:val="20"/>
                <w:szCs w:val="20"/>
              </w:rPr>
            </w:pPr>
            <w:r>
              <w:rPr>
                <w:rFonts w:eastAsia="Times New Roman"/>
                <w:sz w:val="20"/>
                <w:szCs w:val="20"/>
              </w:rPr>
              <w:t>F-68</w:t>
            </w:r>
          </w:p>
        </w:tc>
      </w:tr>
      <w:tr w:rsidR="00000000" w14:paraId="44A995A5" w14:textId="77777777">
        <w:trPr>
          <w:divId w:val="98525094"/>
          <w:trHeight w:val="225"/>
          <w:tblCellSpacing w:w="15" w:type="dxa"/>
        </w:trPr>
        <w:tc>
          <w:tcPr>
            <w:tcW w:w="0" w:type="auto"/>
            <w:vAlign w:val="center"/>
            <w:hideMark/>
          </w:tcPr>
          <w:p w14:paraId="33399F86" w14:textId="77777777" w:rsidR="00000000" w:rsidRDefault="00EB4933">
            <w:pPr>
              <w:rPr>
                <w:rFonts w:eastAsia="Times New Roman"/>
                <w:sz w:val="20"/>
                <w:szCs w:val="20"/>
              </w:rPr>
            </w:pPr>
          </w:p>
        </w:tc>
      </w:tr>
      <w:tr w:rsidR="00000000" w14:paraId="54093FF9" w14:textId="77777777">
        <w:trPr>
          <w:divId w:val="98525094"/>
          <w:trHeight w:val="225"/>
          <w:tblCellSpacing w:w="15" w:type="dxa"/>
        </w:trPr>
        <w:tc>
          <w:tcPr>
            <w:tcW w:w="0" w:type="auto"/>
            <w:vAlign w:val="center"/>
            <w:hideMark/>
          </w:tcPr>
          <w:p w14:paraId="38DEBD19" w14:textId="77777777" w:rsidR="00000000" w:rsidRDefault="00EB4933">
            <w:pPr>
              <w:rPr>
                <w:rFonts w:eastAsia="Times New Roman"/>
                <w:sz w:val="20"/>
                <w:szCs w:val="20"/>
              </w:rPr>
            </w:pPr>
            <w:hyperlink r:id="rId285" w:anchor="finindex" w:history="1">
              <w:r>
                <w:rPr>
                  <w:rStyle w:val="Hyperlink"/>
                  <w:rFonts w:eastAsia="Times New Roman"/>
                  <w:i/>
                  <w:iCs/>
                  <w:sz w:val="20"/>
                  <w:szCs w:val="20"/>
                </w:rPr>
                <w:t>Table of Contents</w:t>
              </w:r>
            </w:hyperlink>
          </w:p>
        </w:tc>
      </w:tr>
    </w:tbl>
    <w:p w14:paraId="01E80FC6"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3EB1CA04"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459FBFF1"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1C934BC8"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59CEF938"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743BB0B5" w14:textId="77777777" w:rsidR="00000000" w:rsidRDefault="00EB4933">
      <w:pPr>
        <w:pStyle w:val="NormalWeb"/>
        <w:spacing w:before="0" w:beforeAutospacing="0" w:after="0" w:afterAutospacing="0"/>
        <w:jc w:val="both"/>
        <w:divId w:val="98525094"/>
        <w:rPr>
          <w:sz w:val="20"/>
          <w:szCs w:val="20"/>
        </w:rPr>
      </w:pPr>
      <w:r>
        <w:rPr>
          <w:rStyle w:val="Strong"/>
          <w:sz w:val="20"/>
          <w:szCs w:val="20"/>
        </w:rPr>
        <w:t>28. Legal proceedings - continued</w:t>
      </w:r>
    </w:p>
    <w:p w14:paraId="30F70804" w14:textId="77777777" w:rsidR="00000000" w:rsidRDefault="00EB4933">
      <w:pPr>
        <w:pStyle w:val="NormalWeb"/>
        <w:spacing w:before="0" w:beforeAutospacing="0" w:after="0" w:afterAutospacing="0"/>
        <w:jc w:val="both"/>
        <w:divId w:val="98525094"/>
        <w:rPr>
          <w:sz w:val="20"/>
          <w:szCs w:val="20"/>
        </w:rPr>
      </w:pPr>
      <w:r>
        <w:rPr>
          <w:rStyle w:val="Strong"/>
          <w:sz w:val="20"/>
          <w:szCs w:val="20"/>
        </w:rPr>
        <w:t> </w:t>
      </w:r>
    </w:p>
    <w:p w14:paraId="0FFB4976" w14:textId="77777777" w:rsidR="00000000" w:rsidRDefault="00EB4933">
      <w:pPr>
        <w:pStyle w:val="NormalWeb"/>
        <w:spacing w:before="0" w:beforeAutospacing="0" w:after="0" w:afterAutospacing="0"/>
        <w:ind w:left="675"/>
        <w:jc w:val="both"/>
        <w:divId w:val="98525094"/>
        <w:rPr>
          <w:sz w:val="20"/>
          <w:szCs w:val="20"/>
        </w:rPr>
      </w:pPr>
      <w:r>
        <w:rPr>
          <w:rStyle w:val="Emphasis"/>
          <w:b/>
          <w:bCs/>
          <w:sz w:val="20"/>
          <w:szCs w:val="20"/>
        </w:rPr>
        <w:t>Property Services Contract Proceeding</w:t>
      </w:r>
    </w:p>
    <w:p w14:paraId="363DFCB3"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090270B6" w14:textId="77777777">
        <w:trPr>
          <w:divId w:val="98525094"/>
          <w:trHeight w:val="225"/>
          <w:tblCellSpacing w:w="15" w:type="dxa"/>
        </w:trPr>
        <w:tc>
          <w:tcPr>
            <w:tcW w:w="200" w:type="pct"/>
            <w:vAlign w:val="center"/>
            <w:hideMark/>
          </w:tcPr>
          <w:p w14:paraId="031427C9"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37470BCF" w14:textId="77777777" w:rsidR="00000000" w:rsidRDefault="00EB4933">
            <w:pPr>
              <w:pStyle w:val="NormalWeb"/>
              <w:spacing w:before="0" w:beforeAutospacing="0" w:after="0" w:afterAutospacing="0"/>
              <w:jc w:val="both"/>
              <w:rPr>
                <w:sz w:val="20"/>
                <w:szCs w:val="20"/>
              </w:rPr>
            </w:pPr>
            <w:r>
              <w:rPr>
                <w:sz w:val="20"/>
                <w:szCs w:val="20"/>
              </w:rPr>
              <w:t xml:space="preserve">28.5 </w:t>
            </w:r>
          </w:p>
        </w:tc>
        <w:tc>
          <w:tcPr>
            <w:tcW w:w="0" w:type="auto"/>
            <w:hideMark/>
          </w:tcPr>
          <w:p w14:paraId="3B9CCA1C" w14:textId="77777777" w:rsidR="00000000" w:rsidRDefault="00EB4933">
            <w:pPr>
              <w:jc w:val="both"/>
              <w:rPr>
                <w:rFonts w:eastAsia="Times New Roman"/>
                <w:sz w:val="20"/>
                <w:szCs w:val="20"/>
              </w:rPr>
            </w:pPr>
            <w:r>
              <w:rPr>
                <w:rFonts w:eastAsia="Times New Roman"/>
                <w:sz w:val="20"/>
                <w:szCs w:val="20"/>
              </w:rPr>
              <w:t xml:space="preserve">On September 26, 2019, the Wuhan Branch of Xiamen Lianfa (Group) Property Services Co., Ltd (“Xiamen Lianfa”) filed an action in the Wuhan Wuchang People’s Court against Chutian in connection with a property service contract dispute. On November 27, 2019, </w:t>
            </w:r>
            <w:r>
              <w:rPr>
                <w:rFonts w:eastAsia="Times New Roman"/>
                <w:sz w:val="20"/>
                <w:szCs w:val="20"/>
              </w:rPr>
              <w:t>the case was scheduled to be heard and Chutian was lawfully summoned and failed to appear, and did not submit a reply. The case was decided and concluded on November 27, 2019. The court found that Chutian failed to pay the owed property services fees to Xi</w:t>
            </w:r>
            <w:r>
              <w:rPr>
                <w:rFonts w:eastAsia="Times New Roman"/>
                <w:sz w:val="20"/>
                <w:szCs w:val="20"/>
              </w:rPr>
              <w:t>amen Lianfa from April 1, 2019 to August 31, 2019. The court rendered a judgment in favor of Xiamen Lianfa and ordered Chutian to pay property services fee in the amount of RMB193,944 for the period from April 1, 2019 to August 31, 2019 to Xiamen Lianfa, w</w:t>
            </w:r>
            <w:r>
              <w:rPr>
                <w:rFonts w:eastAsia="Times New Roman"/>
                <w:sz w:val="20"/>
                <w:szCs w:val="20"/>
              </w:rPr>
              <w:t xml:space="preserve">ithin 10 days of the judgment. The court further ordered Chutian to pay the accrued interest, to be calculated based on the principal amount of RMB193,944 and based on the People’s Bank of China lending interest rate for the period from September 26, 2019 </w:t>
            </w:r>
            <w:r>
              <w:rPr>
                <w:rFonts w:eastAsia="Times New Roman"/>
                <w:sz w:val="20"/>
                <w:szCs w:val="20"/>
              </w:rPr>
              <w:t>until fully paid. In the event that the repayment obligation is not fulfilled, the court ordered that the debt interest would be doubled in accordance with PRC law. Chutian did not appeal the judgment and the judgment was effected immediately.</w:t>
            </w:r>
          </w:p>
        </w:tc>
      </w:tr>
    </w:tbl>
    <w:p w14:paraId="3DAAB61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919084B" w14:textId="77777777" w:rsidR="00000000" w:rsidRDefault="00EB4933">
      <w:pPr>
        <w:pStyle w:val="NormalWeb"/>
        <w:spacing w:before="0" w:beforeAutospacing="0" w:after="0" w:afterAutospacing="0"/>
        <w:ind w:firstLine="738"/>
        <w:jc w:val="both"/>
        <w:divId w:val="98525094"/>
        <w:rPr>
          <w:sz w:val="20"/>
          <w:szCs w:val="20"/>
        </w:rPr>
      </w:pPr>
      <w:r>
        <w:rPr>
          <w:rStyle w:val="Emphasis"/>
          <w:b/>
          <w:bCs/>
          <w:sz w:val="20"/>
          <w:szCs w:val="20"/>
        </w:rPr>
        <w:t>Li Ling L</w:t>
      </w:r>
      <w:r>
        <w:rPr>
          <w:rStyle w:val="Emphasis"/>
          <w:b/>
          <w:bCs/>
          <w:sz w:val="20"/>
          <w:szCs w:val="20"/>
        </w:rPr>
        <w:t>oan Dispute Proceeding</w:t>
      </w:r>
    </w:p>
    <w:p w14:paraId="306000F6"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61D031A0" w14:textId="77777777">
        <w:trPr>
          <w:divId w:val="98525094"/>
          <w:trHeight w:val="225"/>
          <w:tblCellSpacing w:w="15" w:type="dxa"/>
        </w:trPr>
        <w:tc>
          <w:tcPr>
            <w:tcW w:w="200" w:type="pct"/>
            <w:vAlign w:val="center"/>
            <w:hideMark/>
          </w:tcPr>
          <w:p w14:paraId="6E119D6E"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34D16A6A" w14:textId="77777777" w:rsidR="00000000" w:rsidRDefault="00EB4933">
            <w:pPr>
              <w:pStyle w:val="NormalWeb"/>
              <w:spacing w:before="0" w:beforeAutospacing="0" w:after="0" w:afterAutospacing="0"/>
              <w:jc w:val="both"/>
              <w:rPr>
                <w:sz w:val="20"/>
                <w:szCs w:val="20"/>
              </w:rPr>
            </w:pPr>
            <w:r>
              <w:rPr>
                <w:sz w:val="20"/>
                <w:szCs w:val="20"/>
              </w:rPr>
              <w:t xml:space="preserve">28.6 </w:t>
            </w:r>
          </w:p>
        </w:tc>
        <w:tc>
          <w:tcPr>
            <w:tcW w:w="0" w:type="auto"/>
            <w:hideMark/>
          </w:tcPr>
          <w:p w14:paraId="60EC3C3F" w14:textId="77777777" w:rsidR="00000000" w:rsidRDefault="00EB4933">
            <w:pPr>
              <w:jc w:val="both"/>
              <w:rPr>
                <w:rFonts w:eastAsia="Times New Roman"/>
                <w:sz w:val="20"/>
                <w:szCs w:val="20"/>
              </w:rPr>
            </w:pPr>
            <w:r>
              <w:rPr>
                <w:rFonts w:eastAsia="Times New Roman"/>
                <w:sz w:val="20"/>
                <w:szCs w:val="20"/>
              </w:rPr>
              <w:t>On August 27, 2019, Ms Li Ling applied to the Wuhan Wuchang People’s Court for pre-litigation property preservation of respondents Chutian and Mr Ricky Qizhi Wei in connection with a loan contract dispute. court issued a pr</w:t>
            </w:r>
            <w:r>
              <w:rPr>
                <w:rFonts w:eastAsia="Times New Roman"/>
                <w:sz w:val="20"/>
                <w:szCs w:val="20"/>
              </w:rPr>
              <w:t xml:space="preserve">eservation order that froze the bank deposits of Chutian and Mr Ricky Qizhi Wei in the amount of RMB12.0 million, or to seize or attach property in the corresponding value. </w:t>
            </w:r>
          </w:p>
        </w:tc>
      </w:tr>
    </w:tbl>
    <w:p w14:paraId="0B0CA0D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E8235A8" w14:textId="77777777" w:rsidR="00000000" w:rsidRDefault="00EB4933">
      <w:pPr>
        <w:pStyle w:val="NormalWeb"/>
        <w:spacing w:before="0" w:beforeAutospacing="0" w:after="0" w:afterAutospacing="0"/>
        <w:ind w:left="1350"/>
        <w:jc w:val="both"/>
        <w:divId w:val="98525094"/>
        <w:rPr>
          <w:sz w:val="20"/>
          <w:szCs w:val="20"/>
        </w:rPr>
      </w:pPr>
      <w:r>
        <w:rPr>
          <w:sz w:val="20"/>
          <w:szCs w:val="20"/>
        </w:rPr>
        <w:t>On October 9, 2019, the case was filed and accepted in the Wuhan Jiang’an Peopl</w:t>
      </w:r>
      <w:r>
        <w:rPr>
          <w:sz w:val="20"/>
          <w:szCs w:val="20"/>
        </w:rPr>
        <w:t>e’s Court. Li Ling filed the following actions with the court: (1) that the two defendants Chutian and Mr Ricky Qizhi Wei repay the borrowed principal of RMB10.0 million and interest of RMB787,500 (based on the interest rate of 1.125% per month on the prin</w:t>
      </w:r>
      <w:r>
        <w:rPr>
          <w:sz w:val="20"/>
          <w:szCs w:val="20"/>
        </w:rPr>
        <w:t>cipal of RMB10.0 million, calculated from February 1, 2019 until fully paid, currently calculated until 30 August, 2019), and (2) the costs of litigation to be fully borne by both defendants. On December 4, 2019, the court ruled that there was a valid loan</w:t>
      </w:r>
      <w:r>
        <w:rPr>
          <w:sz w:val="20"/>
          <w:szCs w:val="20"/>
        </w:rPr>
        <w:t xml:space="preserve"> relationship, that Chutian had failed to repay the loan as agreed and that Ms Li Ling had the right to </w:t>
      </w:r>
      <w:r>
        <w:rPr>
          <w:sz w:val="20"/>
          <w:szCs w:val="20"/>
        </w:rPr>
        <w:lastRenderedPageBreak/>
        <w:t xml:space="preserve">request full repayment of the loan principal and interest. The court ordered Chutian to repay the principal amount of the loan of RMB10.0 million to Ms </w:t>
      </w:r>
      <w:r>
        <w:rPr>
          <w:sz w:val="20"/>
          <w:szCs w:val="20"/>
        </w:rPr>
        <w:t>Li Ling, and to pay the interest rate of 1.125% per month on the principal amount of RMB10.0 million, beginning February 2019 until the date the loan is fully paid. The court further ordered that Mr Ricky Qizhi Wei shall also be jointly and severally liabl</w:t>
      </w:r>
      <w:r>
        <w:rPr>
          <w:sz w:val="20"/>
          <w:szCs w:val="20"/>
        </w:rPr>
        <w:t>e for the repayment of the loan. In the event that the repayment obligation is not fulfilled, the court ordered that the debt interest would be doubled in accordance with PRC law.</w:t>
      </w:r>
    </w:p>
    <w:p w14:paraId="64517606" w14:textId="77777777" w:rsidR="00000000" w:rsidRDefault="00EB4933">
      <w:pPr>
        <w:pStyle w:val="NormalWeb"/>
        <w:spacing w:before="0" w:beforeAutospacing="0" w:after="0" w:afterAutospacing="0"/>
        <w:ind w:left="1350"/>
        <w:jc w:val="both"/>
        <w:divId w:val="98525094"/>
        <w:rPr>
          <w:sz w:val="20"/>
          <w:szCs w:val="20"/>
        </w:rPr>
      </w:pPr>
      <w:r>
        <w:rPr>
          <w:sz w:val="20"/>
          <w:szCs w:val="20"/>
        </w:rPr>
        <w:t> </w:t>
      </w:r>
    </w:p>
    <w:p w14:paraId="2429B819" w14:textId="77777777" w:rsidR="00000000" w:rsidRDefault="00EB4933">
      <w:pPr>
        <w:pStyle w:val="NormalWeb"/>
        <w:spacing w:before="0" w:beforeAutospacing="0" w:after="0" w:afterAutospacing="0"/>
        <w:ind w:left="1350"/>
        <w:jc w:val="both"/>
        <w:divId w:val="98525094"/>
        <w:rPr>
          <w:sz w:val="20"/>
          <w:szCs w:val="20"/>
        </w:rPr>
      </w:pPr>
      <w:r>
        <w:rPr>
          <w:sz w:val="20"/>
          <w:szCs w:val="20"/>
        </w:rPr>
        <w:t>On May 20, 2020, due to the failure of Chutian to fulfil its obligation to</w:t>
      </w:r>
      <w:r>
        <w:rPr>
          <w:sz w:val="20"/>
          <w:szCs w:val="20"/>
        </w:rPr>
        <w:t xml:space="preserve"> repay the principal amount determined above, the court issued a consumer restriction order against Mr Ricky Qizhi Wei to restrict high consumption and high expenditure behaviors. Violation of this order carries the imposition of fines and detention, and i</w:t>
      </w:r>
      <w:r>
        <w:rPr>
          <w:sz w:val="20"/>
          <w:szCs w:val="20"/>
        </w:rPr>
        <w:t>n circumstances sufficiently serious to constitute a crime, pursuit of criminal liability according to law.</w:t>
      </w:r>
    </w:p>
    <w:p w14:paraId="6F884A7B"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44D4057" w14:textId="77777777">
        <w:trPr>
          <w:divId w:val="98525094"/>
          <w:trHeight w:val="225"/>
          <w:tblCellSpacing w:w="15" w:type="dxa"/>
        </w:trPr>
        <w:tc>
          <w:tcPr>
            <w:tcW w:w="0" w:type="auto"/>
            <w:vAlign w:val="center"/>
            <w:hideMark/>
          </w:tcPr>
          <w:p w14:paraId="5A9E41C0" w14:textId="77777777" w:rsidR="00000000" w:rsidRDefault="00EB4933">
            <w:pPr>
              <w:rPr>
                <w:rFonts w:eastAsia="Times New Roman"/>
                <w:sz w:val="20"/>
                <w:szCs w:val="20"/>
              </w:rPr>
            </w:pPr>
            <w:r>
              <w:rPr>
                <w:rFonts w:eastAsia="Times New Roman"/>
                <w:sz w:val="20"/>
                <w:szCs w:val="20"/>
              </w:rPr>
              <w:t> </w:t>
            </w:r>
          </w:p>
        </w:tc>
      </w:tr>
      <w:tr w:rsidR="00000000" w14:paraId="6D9E48F7" w14:textId="77777777">
        <w:trPr>
          <w:divId w:val="98525094"/>
          <w:trHeight w:val="225"/>
          <w:tblCellSpacing w:w="15" w:type="dxa"/>
        </w:trPr>
        <w:tc>
          <w:tcPr>
            <w:tcW w:w="0" w:type="auto"/>
            <w:tcBorders>
              <w:bottom w:val="single" w:sz="6" w:space="0" w:color="000000"/>
            </w:tcBorders>
            <w:vAlign w:val="center"/>
            <w:hideMark/>
          </w:tcPr>
          <w:p w14:paraId="22A9F810" w14:textId="77777777" w:rsidR="00000000" w:rsidRDefault="00EB4933">
            <w:pPr>
              <w:jc w:val="center"/>
              <w:rPr>
                <w:rFonts w:eastAsia="Times New Roman"/>
                <w:sz w:val="20"/>
                <w:szCs w:val="20"/>
              </w:rPr>
            </w:pPr>
            <w:r>
              <w:rPr>
                <w:rFonts w:eastAsia="Times New Roman"/>
                <w:sz w:val="20"/>
                <w:szCs w:val="20"/>
              </w:rPr>
              <w:t>F-69</w:t>
            </w:r>
          </w:p>
        </w:tc>
      </w:tr>
      <w:tr w:rsidR="00000000" w14:paraId="088D9794" w14:textId="77777777">
        <w:trPr>
          <w:divId w:val="98525094"/>
          <w:trHeight w:val="225"/>
          <w:tblCellSpacing w:w="15" w:type="dxa"/>
        </w:trPr>
        <w:tc>
          <w:tcPr>
            <w:tcW w:w="0" w:type="auto"/>
            <w:vAlign w:val="center"/>
            <w:hideMark/>
          </w:tcPr>
          <w:p w14:paraId="6C620CAF" w14:textId="77777777" w:rsidR="00000000" w:rsidRDefault="00EB4933">
            <w:pPr>
              <w:rPr>
                <w:rFonts w:eastAsia="Times New Roman"/>
                <w:sz w:val="20"/>
                <w:szCs w:val="20"/>
              </w:rPr>
            </w:pPr>
          </w:p>
        </w:tc>
      </w:tr>
      <w:tr w:rsidR="00000000" w14:paraId="0DA8DE5F" w14:textId="77777777">
        <w:trPr>
          <w:divId w:val="98525094"/>
          <w:trHeight w:val="225"/>
          <w:tblCellSpacing w:w="15" w:type="dxa"/>
        </w:trPr>
        <w:tc>
          <w:tcPr>
            <w:tcW w:w="0" w:type="auto"/>
            <w:vAlign w:val="center"/>
            <w:hideMark/>
          </w:tcPr>
          <w:p w14:paraId="3AFCC1F0" w14:textId="77777777" w:rsidR="00000000" w:rsidRDefault="00EB4933">
            <w:pPr>
              <w:rPr>
                <w:rFonts w:eastAsia="Times New Roman"/>
                <w:sz w:val="20"/>
                <w:szCs w:val="20"/>
              </w:rPr>
            </w:pPr>
            <w:hyperlink r:id="rId286" w:anchor="finindex" w:history="1">
              <w:r>
                <w:rPr>
                  <w:rStyle w:val="Hyperlink"/>
                  <w:rFonts w:eastAsia="Times New Roman"/>
                  <w:i/>
                  <w:iCs/>
                  <w:sz w:val="20"/>
                  <w:szCs w:val="20"/>
                </w:rPr>
                <w:t>Table of Contents</w:t>
              </w:r>
            </w:hyperlink>
          </w:p>
        </w:tc>
      </w:tr>
    </w:tbl>
    <w:p w14:paraId="22678F3F" w14:textId="77777777" w:rsidR="00000000" w:rsidRDefault="00EB4933">
      <w:pPr>
        <w:pStyle w:val="NormalWeb"/>
        <w:spacing w:before="0" w:beforeAutospacing="0" w:after="0" w:afterAutospacing="0"/>
        <w:jc w:val="both"/>
        <w:divId w:val="98525094"/>
        <w:rPr>
          <w:sz w:val="20"/>
          <w:szCs w:val="20"/>
        </w:rPr>
      </w:pPr>
      <w:r>
        <w:rPr>
          <w:rStyle w:val="Strong"/>
          <w:sz w:val="20"/>
          <w:szCs w:val="20"/>
        </w:rPr>
        <w:t> </w:t>
      </w:r>
    </w:p>
    <w:p w14:paraId="79EF2838"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66E6DF5B"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42139F5E" w14:textId="77777777" w:rsidR="00000000" w:rsidRDefault="00EB4933">
      <w:pPr>
        <w:pStyle w:val="NormalWeb"/>
        <w:spacing w:before="0" w:beforeAutospacing="0" w:after="0" w:afterAutospacing="0"/>
        <w:jc w:val="both"/>
        <w:divId w:val="98525094"/>
        <w:rPr>
          <w:sz w:val="20"/>
          <w:szCs w:val="20"/>
        </w:rPr>
      </w:pPr>
      <w:r>
        <w:rPr>
          <w:rStyle w:val="Strong"/>
          <w:sz w:val="20"/>
          <w:szCs w:val="20"/>
        </w:rPr>
        <w:t>FOR THE FINANCIAL YEAR ENDED 2017, 2018 AND 2019</w:t>
      </w:r>
    </w:p>
    <w:p w14:paraId="05D5B5EA"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72B08089" w14:textId="77777777" w:rsidR="00000000" w:rsidRDefault="00EB4933">
      <w:pPr>
        <w:pStyle w:val="NormalWeb"/>
        <w:spacing w:before="0" w:beforeAutospacing="0" w:after="0" w:afterAutospacing="0"/>
        <w:jc w:val="both"/>
        <w:divId w:val="98525094"/>
        <w:rPr>
          <w:sz w:val="20"/>
          <w:szCs w:val="20"/>
        </w:rPr>
      </w:pPr>
      <w:r>
        <w:rPr>
          <w:rStyle w:val="Strong"/>
          <w:sz w:val="20"/>
          <w:szCs w:val="20"/>
        </w:rPr>
        <w:t>28. Legal proceedings - continued</w:t>
      </w:r>
    </w:p>
    <w:p w14:paraId="7840004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4A569A73" w14:textId="77777777" w:rsidR="00000000" w:rsidRDefault="00EB4933">
      <w:pPr>
        <w:pStyle w:val="NormalWeb"/>
        <w:spacing w:before="0" w:beforeAutospacing="0" w:after="0" w:afterAutospacing="0"/>
        <w:ind w:left="675"/>
        <w:jc w:val="both"/>
        <w:divId w:val="98525094"/>
        <w:rPr>
          <w:sz w:val="20"/>
          <w:szCs w:val="20"/>
        </w:rPr>
      </w:pPr>
      <w:r>
        <w:rPr>
          <w:rStyle w:val="Strong"/>
          <w:sz w:val="20"/>
          <w:szCs w:val="20"/>
        </w:rPr>
        <w:t>Property preservation proceedings</w:t>
      </w:r>
    </w:p>
    <w:p w14:paraId="777009B6"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5EBF7ACD" w14:textId="77777777">
        <w:trPr>
          <w:divId w:val="98525094"/>
          <w:trHeight w:val="225"/>
          <w:tblCellSpacing w:w="15" w:type="dxa"/>
        </w:trPr>
        <w:tc>
          <w:tcPr>
            <w:tcW w:w="200" w:type="pct"/>
            <w:vAlign w:val="center"/>
            <w:hideMark/>
          </w:tcPr>
          <w:p w14:paraId="20318674"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26FFC305" w14:textId="77777777" w:rsidR="00000000" w:rsidRDefault="00EB4933">
            <w:pPr>
              <w:pStyle w:val="NormalWeb"/>
              <w:spacing w:before="0" w:beforeAutospacing="0" w:after="0" w:afterAutospacing="0"/>
              <w:jc w:val="both"/>
              <w:rPr>
                <w:sz w:val="20"/>
                <w:szCs w:val="20"/>
              </w:rPr>
            </w:pPr>
            <w:r>
              <w:rPr>
                <w:sz w:val="20"/>
                <w:szCs w:val="20"/>
              </w:rPr>
              <w:t xml:space="preserve">28.7 </w:t>
            </w:r>
          </w:p>
        </w:tc>
        <w:tc>
          <w:tcPr>
            <w:tcW w:w="0" w:type="auto"/>
            <w:hideMark/>
          </w:tcPr>
          <w:p w14:paraId="3CE9571B" w14:textId="77777777" w:rsidR="00000000" w:rsidRDefault="00EB4933">
            <w:pPr>
              <w:jc w:val="both"/>
              <w:rPr>
                <w:rFonts w:eastAsia="Times New Roman"/>
                <w:sz w:val="20"/>
                <w:szCs w:val="20"/>
              </w:rPr>
            </w:pPr>
            <w:r>
              <w:rPr>
                <w:rFonts w:eastAsia="Times New Roman"/>
                <w:sz w:val="20"/>
                <w:szCs w:val="20"/>
              </w:rPr>
              <w:t>On July 24, 2017, Chutian filed an execution case with the Wuhan Wuchang Dist</w:t>
            </w:r>
            <w:r>
              <w:rPr>
                <w:rFonts w:eastAsia="Times New Roman"/>
                <w:sz w:val="20"/>
                <w:szCs w:val="20"/>
              </w:rPr>
              <w:t>rict People’s Court for property preservation on Hubei Sheng Guang Gong Pharmaceutical Co., Ltd and related borrowers. On August 20, 2019, Chutian further filed the real estate valuation report to the court for further processing.</w:t>
            </w:r>
          </w:p>
        </w:tc>
      </w:tr>
    </w:tbl>
    <w:p w14:paraId="72D6FC1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C90D9BD" w14:textId="77777777" w:rsidR="00000000" w:rsidRDefault="00EB4933">
      <w:pPr>
        <w:pStyle w:val="NormalWeb"/>
        <w:spacing w:before="0" w:beforeAutospacing="0" w:after="0" w:afterAutospacing="0"/>
        <w:jc w:val="both"/>
        <w:divId w:val="98525094"/>
        <w:rPr>
          <w:sz w:val="20"/>
          <w:szCs w:val="20"/>
        </w:rPr>
      </w:pPr>
      <w:r>
        <w:rPr>
          <w:rStyle w:val="Strong"/>
          <w:sz w:val="20"/>
          <w:szCs w:val="20"/>
        </w:rPr>
        <w:t>29. Subsequent events</w:t>
      </w:r>
    </w:p>
    <w:p w14:paraId="1BFDFF1B"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A30614F" w14:textId="77777777" w:rsidR="00000000" w:rsidRDefault="00EB4933">
      <w:pPr>
        <w:pStyle w:val="NormalWeb"/>
        <w:spacing w:before="0" w:beforeAutospacing="0" w:after="0" w:afterAutospacing="0"/>
        <w:ind w:left="675"/>
        <w:jc w:val="both"/>
        <w:divId w:val="98525094"/>
        <w:rPr>
          <w:sz w:val="20"/>
          <w:szCs w:val="20"/>
        </w:rPr>
      </w:pPr>
      <w:r>
        <w:rPr>
          <w:sz w:val="20"/>
          <w:szCs w:val="20"/>
        </w:rPr>
        <w:t>In late December 2019, COVID-19 was discovered in Wuhan City, China. Wuhan City was locked down by the Government on January 23, 2020 for about 61 days. During the lock down in Wuhan City, except for medical workers and essential se</w:t>
      </w:r>
      <w:r>
        <w:rPr>
          <w:sz w:val="20"/>
          <w:szCs w:val="20"/>
        </w:rPr>
        <w:t>rvices, all businesses were mandatory closed and all residents were ordered to stay at home. The Company’s headquarters and operations are located in Wuhan City, China, the epicenter for COVID-19 pandemic. As a result of the government lockdown, travel res</w:t>
      </w:r>
      <w:r>
        <w:rPr>
          <w:sz w:val="20"/>
          <w:szCs w:val="20"/>
        </w:rPr>
        <w:t xml:space="preserve">trictions and quarantines imposed by the Chinese government, the Company’s operations, financial conditions and cash flows are materially and adversely affected. </w:t>
      </w:r>
    </w:p>
    <w:p w14:paraId="2D11FDE0" w14:textId="77777777" w:rsidR="00000000" w:rsidRDefault="00EB4933">
      <w:pPr>
        <w:pStyle w:val="NormalWeb"/>
        <w:spacing w:before="0" w:beforeAutospacing="0" w:after="0" w:afterAutospacing="0"/>
        <w:ind w:left="720" w:firstLine="18"/>
        <w:jc w:val="both"/>
        <w:divId w:val="98525094"/>
        <w:rPr>
          <w:sz w:val="20"/>
          <w:szCs w:val="20"/>
        </w:rPr>
      </w:pPr>
      <w:r>
        <w:rPr>
          <w:rStyle w:val="Strong"/>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935FC43" w14:textId="77777777">
        <w:trPr>
          <w:divId w:val="98525094"/>
          <w:trHeight w:val="225"/>
          <w:tblCellSpacing w:w="15" w:type="dxa"/>
        </w:trPr>
        <w:tc>
          <w:tcPr>
            <w:tcW w:w="0" w:type="auto"/>
            <w:vAlign w:val="center"/>
            <w:hideMark/>
          </w:tcPr>
          <w:p w14:paraId="26453CB0" w14:textId="77777777" w:rsidR="00000000" w:rsidRDefault="00EB4933">
            <w:pPr>
              <w:rPr>
                <w:rFonts w:eastAsia="Times New Roman"/>
                <w:sz w:val="20"/>
                <w:szCs w:val="20"/>
              </w:rPr>
            </w:pPr>
            <w:r>
              <w:rPr>
                <w:rFonts w:eastAsia="Times New Roman"/>
                <w:sz w:val="20"/>
                <w:szCs w:val="20"/>
              </w:rPr>
              <w:t> </w:t>
            </w:r>
          </w:p>
        </w:tc>
      </w:tr>
      <w:tr w:rsidR="00000000" w14:paraId="310D7902" w14:textId="77777777">
        <w:trPr>
          <w:divId w:val="98525094"/>
          <w:trHeight w:val="225"/>
          <w:tblCellSpacing w:w="15" w:type="dxa"/>
        </w:trPr>
        <w:tc>
          <w:tcPr>
            <w:tcW w:w="0" w:type="auto"/>
            <w:tcBorders>
              <w:bottom w:val="single" w:sz="6" w:space="0" w:color="000000"/>
            </w:tcBorders>
            <w:vAlign w:val="center"/>
            <w:hideMark/>
          </w:tcPr>
          <w:p w14:paraId="371B6564" w14:textId="77777777" w:rsidR="00000000" w:rsidRDefault="00EB4933">
            <w:pPr>
              <w:jc w:val="center"/>
              <w:rPr>
                <w:rFonts w:eastAsia="Times New Roman"/>
                <w:sz w:val="20"/>
                <w:szCs w:val="20"/>
              </w:rPr>
            </w:pPr>
            <w:r>
              <w:rPr>
                <w:rFonts w:eastAsia="Times New Roman"/>
                <w:sz w:val="20"/>
                <w:szCs w:val="20"/>
              </w:rPr>
              <w:t>F-70</w:t>
            </w:r>
          </w:p>
        </w:tc>
      </w:tr>
      <w:tr w:rsidR="00000000" w14:paraId="1C573F4D" w14:textId="77777777">
        <w:trPr>
          <w:divId w:val="98525094"/>
          <w:trHeight w:val="225"/>
          <w:tblCellSpacing w:w="15" w:type="dxa"/>
        </w:trPr>
        <w:tc>
          <w:tcPr>
            <w:tcW w:w="0" w:type="auto"/>
            <w:vAlign w:val="center"/>
            <w:hideMark/>
          </w:tcPr>
          <w:p w14:paraId="6CE806BC" w14:textId="77777777" w:rsidR="00000000" w:rsidRDefault="00EB4933">
            <w:pPr>
              <w:rPr>
                <w:rFonts w:eastAsia="Times New Roman"/>
                <w:sz w:val="20"/>
                <w:szCs w:val="20"/>
              </w:rPr>
            </w:pPr>
          </w:p>
        </w:tc>
      </w:tr>
      <w:tr w:rsidR="00000000" w14:paraId="3BE2F510" w14:textId="77777777">
        <w:trPr>
          <w:divId w:val="98525094"/>
          <w:trHeight w:val="225"/>
          <w:tblCellSpacing w:w="15" w:type="dxa"/>
        </w:trPr>
        <w:tc>
          <w:tcPr>
            <w:tcW w:w="0" w:type="auto"/>
            <w:vAlign w:val="center"/>
            <w:hideMark/>
          </w:tcPr>
          <w:p w14:paraId="5A24411E" w14:textId="77777777" w:rsidR="00000000" w:rsidRDefault="00EB4933">
            <w:pPr>
              <w:rPr>
                <w:rFonts w:eastAsia="Times New Roman"/>
                <w:sz w:val="20"/>
                <w:szCs w:val="20"/>
              </w:rPr>
            </w:pPr>
            <w:hyperlink r:id="rId287" w:anchor="finindex" w:history="1">
              <w:r>
                <w:rPr>
                  <w:rStyle w:val="Hyperlink"/>
                  <w:rFonts w:eastAsia="Times New Roman"/>
                  <w:i/>
                  <w:iCs/>
                  <w:sz w:val="20"/>
                  <w:szCs w:val="20"/>
                </w:rPr>
                <w:t>Table of Contents</w:t>
              </w:r>
            </w:hyperlink>
          </w:p>
        </w:tc>
      </w:tr>
    </w:tbl>
    <w:p w14:paraId="0CE04680"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2FD4E41"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1AAFDE78"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67F666AD"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FOR THE FINANCIAL YEAR ENDED 2017, 2018 AND 2019 </w:t>
      </w:r>
    </w:p>
    <w:p w14:paraId="72CDE6D1"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601CD650" w14:textId="77777777" w:rsidR="00000000" w:rsidRDefault="00EB4933">
      <w:pPr>
        <w:pStyle w:val="NormalWeb"/>
        <w:spacing w:before="0" w:beforeAutospacing="0" w:after="0" w:afterAutospacing="0"/>
        <w:jc w:val="both"/>
        <w:divId w:val="98525094"/>
        <w:rPr>
          <w:sz w:val="20"/>
          <w:szCs w:val="20"/>
        </w:rPr>
      </w:pPr>
      <w:r>
        <w:rPr>
          <w:rStyle w:val="Strong"/>
          <w:sz w:val="20"/>
          <w:szCs w:val="20"/>
        </w:rPr>
        <w:t>30. Correction of errors</w:t>
      </w:r>
    </w:p>
    <w:p w14:paraId="4D56949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D8FB41C" w14:textId="77777777" w:rsidR="00000000" w:rsidRDefault="00EB4933">
      <w:pPr>
        <w:pStyle w:val="NormalWeb"/>
        <w:spacing w:before="0" w:beforeAutospacing="0" w:after="0" w:afterAutospacing="0"/>
        <w:jc w:val="both"/>
        <w:divId w:val="98525094"/>
        <w:rPr>
          <w:sz w:val="20"/>
          <w:szCs w:val="20"/>
        </w:rPr>
      </w:pPr>
      <w:r>
        <w:rPr>
          <w:sz w:val="20"/>
          <w:szCs w:val="20"/>
        </w:rPr>
        <w:t xml:space="preserve">Subsequent to the filing of Form 20F for the financial year ended December 31, 2017, management </w:t>
      </w:r>
      <w:r>
        <w:rPr>
          <w:sz w:val="20"/>
          <w:szCs w:val="20"/>
        </w:rPr>
        <w:t>identified the following accounting errors:</w:t>
      </w:r>
    </w:p>
    <w:p w14:paraId="5CFD59AE"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45"/>
        <w:gridCol w:w="8815"/>
      </w:tblGrid>
      <w:tr w:rsidR="00000000" w14:paraId="4646674F" w14:textId="77777777">
        <w:trPr>
          <w:divId w:val="98525094"/>
          <w:trHeight w:val="225"/>
          <w:tblCellSpacing w:w="15" w:type="dxa"/>
        </w:trPr>
        <w:tc>
          <w:tcPr>
            <w:tcW w:w="200" w:type="pct"/>
            <w:hideMark/>
          </w:tcPr>
          <w:p w14:paraId="7E665B4C" w14:textId="77777777" w:rsidR="00000000" w:rsidRDefault="00EB4933">
            <w:pPr>
              <w:pStyle w:val="NormalWeb"/>
              <w:spacing w:before="0" w:beforeAutospacing="0" w:after="0" w:afterAutospacing="0"/>
              <w:jc w:val="both"/>
              <w:rPr>
                <w:sz w:val="20"/>
                <w:szCs w:val="20"/>
              </w:rPr>
            </w:pPr>
            <w:r>
              <w:rPr>
                <w:sz w:val="20"/>
                <w:szCs w:val="20"/>
              </w:rPr>
              <w:lastRenderedPageBreak/>
              <w:t xml:space="preserve">1. </w:t>
            </w:r>
          </w:p>
        </w:tc>
        <w:tc>
          <w:tcPr>
            <w:tcW w:w="0" w:type="auto"/>
            <w:hideMark/>
          </w:tcPr>
          <w:p w14:paraId="37C972D0" w14:textId="77777777" w:rsidR="00000000" w:rsidRDefault="00EB4933">
            <w:pPr>
              <w:jc w:val="both"/>
              <w:rPr>
                <w:rFonts w:eastAsia="Times New Roman"/>
                <w:sz w:val="20"/>
                <w:szCs w:val="20"/>
              </w:rPr>
            </w:pPr>
            <w:r>
              <w:rPr>
                <w:rFonts w:eastAsia="Times New Roman"/>
                <w:sz w:val="20"/>
                <w:szCs w:val="20"/>
              </w:rPr>
              <w:t>The Group had over accrued certain interest expenses of RMB4,349,000 which should have been recorded in the year of 2018. This error understated the net profit of RMB4,349,000 in 2017, overstated other paya</w:t>
            </w:r>
            <w:r>
              <w:rPr>
                <w:rFonts w:eastAsia="Times New Roman"/>
                <w:sz w:val="20"/>
                <w:szCs w:val="20"/>
              </w:rPr>
              <w:t>ble of RMB3,618,000 and overstated interest payable of RMB731,000 as of December 31, 2017.</w:t>
            </w:r>
          </w:p>
        </w:tc>
      </w:tr>
      <w:tr w:rsidR="00000000" w14:paraId="7E490AB6" w14:textId="77777777">
        <w:trPr>
          <w:divId w:val="98525094"/>
          <w:trHeight w:val="225"/>
          <w:tblCellSpacing w:w="15" w:type="dxa"/>
        </w:trPr>
        <w:tc>
          <w:tcPr>
            <w:tcW w:w="0" w:type="auto"/>
            <w:vAlign w:val="center"/>
            <w:hideMark/>
          </w:tcPr>
          <w:p w14:paraId="15F6220F"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1E85638E"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AFC687E" w14:textId="77777777">
        <w:trPr>
          <w:divId w:val="98525094"/>
          <w:trHeight w:val="225"/>
          <w:tblCellSpacing w:w="15" w:type="dxa"/>
        </w:trPr>
        <w:tc>
          <w:tcPr>
            <w:tcW w:w="0" w:type="auto"/>
            <w:hideMark/>
          </w:tcPr>
          <w:p w14:paraId="532CD6EF" w14:textId="77777777" w:rsidR="00000000" w:rsidRDefault="00EB4933">
            <w:pPr>
              <w:pStyle w:val="NormalWeb"/>
              <w:spacing w:before="0" w:beforeAutospacing="0" w:after="0" w:afterAutospacing="0"/>
              <w:jc w:val="both"/>
              <w:rPr>
                <w:sz w:val="20"/>
                <w:szCs w:val="20"/>
              </w:rPr>
            </w:pPr>
            <w:r>
              <w:rPr>
                <w:sz w:val="20"/>
                <w:szCs w:val="20"/>
              </w:rPr>
              <w:t xml:space="preserve">2. </w:t>
            </w:r>
          </w:p>
        </w:tc>
        <w:tc>
          <w:tcPr>
            <w:tcW w:w="0" w:type="auto"/>
            <w:hideMark/>
          </w:tcPr>
          <w:p w14:paraId="7A3E8189" w14:textId="77777777" w:rsidR="00000000" w:rsidRDefault="00EB4933">
            <w:pPr>
              <w:jc w:val="both"/>
              <w:rPr>
                <w:rFonts w:eastAsia="Times New Roman"/>
                <w:sz w:val="20"/>
                <w:szCs w:val="20"/>
              </w:rPr>
            </w:pPr>
            <w:r>
              <w:rPr>
                <w:rFonts w:eastAsia="Times New Roman"/>
                <w:sz w:val="20"/>
                <w:szCs w:val="20"/>
              </w:rPr>
              <w:t>There was a total of RMB14,604,000 payable for expenses related to the reverse merger and equity transaction should have been accrued for as of December 31</w:t>
            </w:r>
            <w:r>
              <w:rPr>
                <w:rFonts w:eastAsia="Times New Roman"/>
                <w:sz w:val="20"/>
                <w:szCs w:val="20"/>
              </w:rPr>
              <w:t>, 2017. RMB8,175,000 was determined to be related to the reverse merger while RMB6,429,000 was determined to be related to the equity transaction. These errors caused an overstatement of net profit in the amount of RMB8,175,000, understatement of other pay</w:t>
            </w:r>
            <w:r>
              <w:rPr>
                <w:rFonts w:eastAsia="Times New Roman"/>
                <w:sz w:val="20"/>
                <w:szCs w:val="20"/>
              </w:rPr>
              <w:t>able of RMB14,604,000 and overstatement of shareholders’ equity of RMB6,429,000 (or RMB5,143,000 after accounted for non-controlling interests).</w:t>
            </w:r>
          </w:p>
        </w:tc>
      </w:tr>
      <w:tr w:rsidR="00000000" w14:paraId="58C849C6" w14:textId="77777777">
        <w:trPr>
          <w:divId w:val="98525094"/>
          <w:trHeight w:val="225"/>
          <w:tblCellSpacing w:w="15" w:type="dxa"/>
        </w:trPr>
        <w:tc>
          <w:tcPr>
            <w:tcW w:w="0" w:type="auto"/>
            <w:vAlign w:val="center"/>
            <w:hideMark/>
          </w:tcPr>
          <w:p w14:paraId="50419033"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7E45D9FA"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9C26B87" w14:textId="77777777">
        <w:trPr>
          <w:divId w:val="98525094"/>
          <w:trHeight w:val="225"/>
          <w:tblCellSpacing w:w="15" w:type="dxa"/>
        </w:trPr>
        <w:tc>
          <w:tcPr>
            <w:tcW w:w="0" w:type="auto"/>
            <w:hideMark/>
          </w:tcPr>
          <w:p w14:paraId="16C317CF" w14:textId="77777777" w:rsidR="00000000" w:rsidRDefault="00EB4933">
            <w:pPr>
              <w:pStyle w:val="NormalWeb"/>
              <w:spacing w:before="0" w:beforeAutospacing="0" w:after="0" w:afterAutospacing="0"/>
              <w:jc w:val="both"/>
              <w:rPr>
                <w:sz w:val="20"/>
                <w:szCs w:val="20"/>
              </w:rPr>
            </w:pPr>
            <w:r>
              <w:rPr>
                <w:sz w:val="20"/>
                <w:szCs w:val="20"/>
              </w:rPr>
              <w:t xml:space="preserve">3. </w:t>
            </w:r>
          </w:p>
        </w:tc>
        <w:tc>
          <w:tcPr>
            <w:tcW w:w="0" w:type="auto"/>
            <w:hideMark/>
          </w:tcPr>
          <w:p w14:paraId="557522BC" w14:textId="77777777" w:rsidR="00000000" w:rsidRDefault="00EB4933">
            <w:pPr>
              <w:jc w:val="both"/>
              <w:rPr>
                <w:rFonts w:eastAsia="Times New Roman"/>
                <w:sz w:val="20"/>
                <w:szCs w:val="20"/>
              </w:rPr>
            </w:pPr>
            <w:r>
              <w:rPr>
                <w:rFonts w:eastAsia="Times New Roman"/>
                <w:sz w:val="20"/>
                <w:szCs w:val="20"/>
              </w:rPr>
              <w:t>Income tax impact for the errors stated in 1 and 2 above totaled RMB269,000 which understated the net profit for the year ended December 31, 2017.</w:t>
            </w:r>
          </w:p>
        </w:tc>
      </w:tr>
      <w:tr w:rsidR="00000000" w14:paraId="383D131B" w14:textId="77777777">
        <w:trPr>
          <w:divId w:val="98525094"/>
          <w:trHeight w:val="225"/>
          <w:tblCellSpacing w:w="15" w:type="dxa"/>
        </w:trPr>
        <w:tc>
          <w:tcPr>
            <w:tcW w:w="0" w:type="auto"/>
            <w:vAlign w:val="center"/>
            <w:hideMark/>
          </w:tcPr>
          <w:p w14:paraId="02A3DCBC"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357BEBC"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36DCEF93" w14:textId="77777777">
        <w:trPr>
          <w:divId w:val="98525094"/>
          <w:trHeight w:val="225"/>
          <w:tblCellSpacing w:w="15" w:type="dxa"/>
        </w:trPr>
        <w:tc>
          <w:tcPr>
            <w:tcW w:w="0" w:type="auto"/>
            <w:hideMark/>
          </w:tcPr>
          <w:p w14:paraId="1A12D75D" w14:textId="77777777" w:rsidR="00000000" w:rsidRDefault="00EB4933">
            <w:pPr>
              <w:pStyle w:val="NormalWeb"/>
              <w:spacing w:before="0" w:beforeAutospacing="0" w:after="0" w:afterAutospacing="0"/>
              <w:jc w:val="both"/>
              <w:rPr>
                <w:sz w:val="20"/>
                <w:szCs w:val="20"/>
              </w:rPr>
            </w:pPr>
            <w:r>
              <w:rPr>
                <w:sz w:val="20"/>
                <w:szCs w:val="20"/>
              </w:rPr>
              <w:t xml:space="preserve">4. </w:t>
            </w:r>
          </w:p>
        </w:tc>
        <w:tc>
          <w:tcPr>
            <w:tcW w:w="0" w:type="auto"/>
            <w:hideMark/>
          </w:tcPr>
          <w:p w14:paraId="5FDCDB7B" w14:textId="77777777" w:rsidR="00000000" w:rsidRDefault="00EB4933">
            <w:pPr>
              <w:jc w:val="both"/>
              <w:rPr>
                <w:rFonts w:eastAsia="Times New Roman"/>
                <w:sz w:val="20"/>
                <w:szCs w:val="20"/>
              </w:rPr>
            </w:pPr>
            <w:r>
              <w:rPr>
                <w:rFonts w:eastAsia="Times New Roman"/>
                <w:sz w:val="20"/>
                <w:szCs w:val="20"/>
              </w:rPr>
              <w:t>The Group overstated deferred tax assets of RMB645,000 of December 31, 2017. As a result, such deferred tax asset was being reversed. This error overstated net profit by RMB645,000 for the year ended December 31, 2017.</w:t>
            </w:r>
          </w:p>
        </w:tc>
      </w:tr>
      <w:tr w:rsidR="00000000" w14:paraId="7F00B24D" w14:textId="77777777">
        <w:trPr>
          <w:divId w:val="98525094"/>
          <w:trHeight w:val="225"/>
          <w:tblCellSpacing w:w="15" w:type="dxa"/>
        </w:trPr>
        <w:tc>
          <w:tcPr>
            <w:tcW w:w="0" w:type="auto"/>
            <w:vAlign w:val="center"/>
            <w:hideMark/>
          </w:tcPr>
          <w:p w14:paraId="54DFB7D6"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259C79FD"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C23E5EA" w14:textId="77777777">
        <w:trPr>
          <w:divId w:val="98525094"/>
          <w:trHeight w:val="225"/>
          <w:tblCellSpacing w:w="15" w:type="dxa"/>
        </w:trPr>
        <w:tc>
          <w:tcPr>
            <w:tcW w:w="0" w:type="auto"/>
            <w:hideMark/>
          </w:tcPr>
          <w:p w14:paraId="58C53A8B" w14:textId="77777777" w:rsidR="00000000" w:rsidRDefault="00EB4933">
            <w:pPr>
              <w:pStyle w:val="NormalWeb"/>
              <w:spacing w:before="0" w:beforeAutospacing="0" w:after="0" w:afterAutospacing="0"/>
              <w:jc w:val="both"/>
              <w:rPr>
                <w:sz w:val="20"/>
                <w:szCs w:val="20"/>
              </w:rPr>
            </w:pPr>
            <w:r>
              <w:rPr>
                <w:sz w:val="20"/>
                <w:szCs w:val="20"/>
              </w:rPr>
              <w:t xml:space="preserve">5. </w:t>
            </w:r>
          </w:p>
        </w:tc>
        <w:tc>
          <w:tcPr>
            <w:tcW w:w="0" w:type="auto"/>
            <w:hideMark/>
          </w:tcPr>
          <w:p w14:paraId="2163C907" w14:textId="77777777" w:rsidR="00000000" w:rsidRDefault="00EB4933">
            <w:pPr>
              <w:jc w:val="both"/>
              <w:rPr>
                <w:rFonts w:eastAsia="Times New Roman"/>
                <w:sz w:val="20"/>
                <w:szCs w:val="20"/>
              </w:rPr>
            </w:pPr>
            <w:r>
              <w:rPr>
                <w:rFonts w:eastAsia="Times New Roman"/>
                <w:sz w:val="20"/>
                <w:szCs w:val="20"/>
              </w:rPr>
              <w:t>The Group incorrectly compu</w:t>
            </w:r>
            <w:r>
              <w:rPr>
                <w:rFonts w:eastAsia="Times New Roman"/>
                <w:sz w:val="20"/>
                <w:szCs w:val="20"/>
              </w:rPr>
              <w:t xml:space="preserve">ted earnings per share using net profit, instead of using net profit attributable to equity holders of the Company. Basic and diluted earnings per share impact for errors stated in 1, 2, 3, 4 and 5 was RMB0.04 per share. </w:t>
            </w:r>
          </w:p>
        </w:tc>
      </w:tr>
      <w:tr w:rsidR="00000000" w14:paraId="4BC885B6" w14:textId="77777777">
        <w:trPr>
          <w:divId w:val="98525094"/>
          <w:trHeight w:val="225"/>
          <w:tblCellSpacing w:w="15" w:type="dxa"/>
        </w:trPr>
        <w:tc>
          <w:tcPr>
            <w:tcW w:w="0" w:type="auto"/>
            <w:vAlign w:val="center"/>
            <w:hideMark/>
          </w:tcPr>
          <w:p w14:paraId="583809B7"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78D984CC"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41DA436E" w14:textId="77777777">
        <w:trPr>
          <w:divId w:val="98525094"/>
          <w:trHeight w:val="225"/>
          <w:tblCellSpacing w:w="15" w:type="dxa"/>
        </w:trPr>
        <w:tc>
          <w:tcPr>
            <w:tcW w:w="0" w:type="auto"/>
            <w:hideMark/>
          </w:tcPr>
          <w:p w14:paraId="66BE7DD8" w14:textId="77777777" w:rsidR="00000000" w:rsidRDefault="00EB4933">
            <w:pPr>
              <w:pStyle w:val="NormalWeb"/>
              <w:spacing w:before="0" w:beforeAutospacing="0" w:after="0" w:afterAutospacing="0"/>
              <w:jc w:val="both"/>
              <w:rPr>
                <w:sz w:val="20"/>
                <w:szCs w:val="20"/>
              </w:rPr>
            </w:pPr>
            <w:r>
              <w:rPr>
                <w:sz w:val="20"/>
                <w:szCs w:val="20"/>
              </w:rPr>
              <w:t xml:space="preserve">6. </w:t>
            </w:r>
          </w:p>
        </w:tc>
        <w:tc>
          <w:tcPr>
            <w:tcW w:w="0" w:type="auto"/>
            <w:hideMark/>
          </w:tcPr>
          <w:p w14:paraId="34EEA26F" w14:textId="77777777" w:rsidR="00000000" w:rsidRDefault="00EB4933">
            <w:pPr>
              <w:jc w:val="both"/>
              <w:rPr>
                <w:rFonts w:eastAsia="Times New Roman"/>
                <w:sz w:val="20"/>
                <w:szCs w:val="20"/>
              </w:rPr>
            </w:pPr>
            <w:r>
              <w:rPr>
                <w:rFonts w:eastAsia="Times New Roman"/>
                <w:sz w:val="20"/>
                <w:szCs w:val="20"/>
              </w:rPr>
              <w:t>The Group incorrectly classified a deposit of RMB14,928,000 to purchase certain floors of an office building as prepaid expenses – current. Due to non-current nature of property and equipment to be acquired, such deposit should be classified as non-current</w:t>
            </w:r>
            <w:r>
              <w:rPr>
                <w:rFonts w:eastAsia="Times New Roman"/>
                <w:sz w:val="20"/>
                <w:szCs w:val="20"/>
              </w:rPr>
              <w:t xml:space="preserve"> as of December 31, 2017.</w:t>
            </w:r>
          </w:p>
        </w:tc>
      </w:tr>
      <w:tr w:rsidR="00000000" w14:paraId="76D967CD" w14:textId="77777777">
        <w:trPr>
          <w:divId w:val="98525094"/>
          <w:trHeight w:val="225"/>
          <w:tblCellSpacing w:w="15" w:type="dxa"/>
        </w:trPr>
        <w:tc>
          <w:tcPr>
            <w:tcW w:w="0" w:type="auto"/>
            <w:vAlign w:val="center"/>
            <w:hideMark/>
          </w:tcPr>
          <w:p w14:paraId="6D59BB42"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2671CD30"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D07FBAE" w14:textId="77777777">
        <w:trPr>
          <w:divId w:val="98525094"/>
          <w:trHeight w:val="225"/>
          <w:tblCellSpacing w:w="15" w:type="dxa"/>
        </w:trPr>
        <w:tc>
          <w:tcPr>
            <w:tcW w:w="0" w:type="auto"/>
            <w:hideMark/>
          </w:tcPr>
          <w:p w14:paraId="0D701A9D" w14:textId="77777777" w:rsidR="00000000" w:rsidRDefault="00EB4933">
            <w:pPr>
              <w:pStyle w:val="NormalWeb"/>
              <w:spacing w:before="0" w:beforeAutospacing="0" w:after="0" w:afterAutospacing="0"/>
              <w:jc w:val="both"/>
              <w:rPr>
                <w:sz w:val="20"/>
                <w:szCs w:val="20"/>
              </w:rPr>
            </w:pPr>
            <w:r>
              <w:rPr>
                <w:sz w:val="20"/>
                <w:szCs w:val="20"/>
              </w:rPr>
              <w:t xml:space="preserve">7. </w:t>
            </w:r>
          </w:p>
        </w:tc>
        <w:tc>
          <w:tcPr>
            <w:tcW w:w="0" w:type="auto"/>
            <w:hideMark/>
          </w:tcPr>
          <w:p w14:paraId="20B9A552" w14:textId="77777777" w:rsidR="00000000" w:rsidRDefault="00EB4933">
            <w:pPr>
              <w:jc w:val="both"/>
              <w:rPr>
                <w:rFonts w:eastAsia="Times New Roman"/>
                <w:sz w:val="20"/>
                <w:szCs w:val="20"/>
              </w:rPr>
            </w:pPr>
            <w:r>
              <w:rPr>
                <w:rFonts w:eastAsia="Times New Roman"/>
                <w:sz w:val="20"/>
                <w:szCs w:val="20"/>
              </w:rPr>
              <w:t>The Group incorrectly accrued the statutory reserve and general risk reserve in accordance with the PRC regulatory requirements. As a result, under the equity section, the statutory reserve was understated by RMB7,017,00</w:t>
            </w:r>
            <w:r>
              <w:rPr>
                <w:rFonts w:eastAsia="Times New Roman"/>
                <w:sz w:val="20"/>
                <w:szCs w:val="20"/>
              </w:rPr>
              <w:t xml:space="preserve">0 (or RMB5,614,000 after accounted for non-controlling interests), general risk reserve was understated by RMB4,908,000 (or RMB3,926,000 after accounted for non-controlling interests) and retained earnings were overstated by RMB11,925,000 (or RMB9,540,000 </w:t>
            </w:r>
            <w:r>
              <w:rPr>
                <w:rFonts w:eastAsia="Times New Roman"/>
                <w:sz w:val="20"/>
                <w:szCs w:val="20"/>
              </w:rPr>
              <w:t>after accounted for non-controlling interests).</w:t>
            </w:r>
          </w:p>
        </w:tc>
      </w:tr>
      <w:tr w:rsidR="00000000" w14:paraId="29E2173A" w14:textId="77777777">
        <w:trPr>
          <w:divId w:val="98525094"/>
          <w:trHeight w:val="225"/>
          <w:tblCellSpacing w:w="15" w:type="dxa"/>
        </w:trPr>
        <w:tc>
          <w:tcPr>
            <w:tcW w:w="0" w:type="auto"/>
            <w:vAlign w:val="center"/>
            <w:hideMark/>
          </w:tcPr>
          <w:p w14:paraId="064F013B"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1FEEDEB2"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6C06E888" w14:textId="77777777">
        <w:trPr>
          <w:divId w:val="98525094"/>
          <w:trHeight w:val="225"/>
          <w:tblCellSpacing w:w="15" w:type="dxa"/>
        </w:trPr>
        <w:tc>
          <w:tcPr>
            <w:tcW w:w="0" w:type="auto"/>
            <w:hideMark/>
          </w:tcPr>
          <w:p w14:paraId="61A1C743" w14:textId="77777777" w:rsidR="00000000" w:rsidRDefault="00EB4933">
            <w:pPr>
              <w:pStyle w:val="NormalWeb"/>
              <w:spacing w:before="0" w:beforeAutospacing="0" w:after="0" w:afterAutospacing="0"/>
              <w:jc w:val="both"/>
              <w:rPr>
                <w:sz w:val="20"/>
                <w:szCs w:val="20"/>
              </w:rPr>
            </w:pPr>
            <w:r>
              <w:rPr>
                <w:sz w:val="20"/>
                <w:szCs w:val="20"/>
              </w:rPr>
              <w:t xml:space="preserve">8. </w:t>
            </w:r>
          </w:p>
        </w:tc>
        <w:tc>
          <w:tcPr>
            <w:tcW w:w="0" w:type="auto"/>
            <w:hideMark/>
          </w:tcPr>
          <w:p w14:paraId="16664237" w14:textId="77777777" w:rsidR="00000000" w:rsidRDefault="00EB4933">
            <w:pPr>
              <w:jc w:val="both"/>
              <w:rPr>
                <w:rFonts w:eastAsia="Times New Roman"/>
                <w:sz w:val="20"/>
                <w:szCs w:val="20"/>
              </w:rPr>
            </w:pPr>
            <w:r>
              <w:rPr>
                <w:rFonts w:eastAsia="Times New Roman"/>
                <w:sz w:val="20"/>
                <w:szCs w:val="20"/>
              </w:rPr>
              <w:t>The Group classified loan receivables in cash flow from investing activities as originated loan disbursement and repayments of loans from customers. However, since the Group’s principal business act</w:t>
            </w:r>
            <w:r>
              <w:rPr>
                <w:rFonts w:eastAsia="Times New Roman"/>
                <w:sz w:val="20"/>
                <w:szCs w:val="20"/>
              </w:rPr>
              <w:t xml:space="preserve">ivities is to provide loan to customers to earn interest income, such activities should be considered as operating activities. As a result, cash flows generated by operating activities was overstated by RMB121,040,000 and RMB213,138,000 for the year ended </w:t>
            </w:r>
            <w:r>
              <w:rPr>
                <w:rFonts w:eastAsia="Times New Roman"/>
                <w:sz w:val="20"/>
                <w:szCs w:val="20"/>
              </w:rPr>
              <w:t>December 31, 2017 and 2016, respectively. While cash flows used in investing activities was overstated by RMB121,040,000 and RMB213,138,000 for the year ended December 31, 2017 and 2016, respectively.</w:t>
            </w:r>
          </w:p>
        </w:tc>
      </w:tr>
      <w:tr w:rsidR="00000000" w14:paraId="6714E4D9" w14:textId="77777777">
        <w:trPr>
          <w:divId w:val="98525094"/>
          <w:trHeight w:val="225"/>
          <w:tblCellSpacing w:w="15" w:type="dxa"/>
        </w:trPr>
        <w:tc>
          <w:tcPr>
            <w:tcW w:w="0" w:type="auto"/>
            <w:vAlign w:val="center"/>
            <w:hideMark/>
          </w:tcPr>
          <w:p w14:paraId="60139E38"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6BA9AB13"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0A9C7BCD" w14:textId="77777777">
        <w:trPr>
          <w:divId w:val="98525094"/>
          <w:trHeight w:val="225"/>
          <w:tblCellSpacing w:w="15" w:type="dxa"/>
        </w:trPr>
        <w:tc>
          <w:tcPr>
            <w:tcW w:w="0" w:type="auto"/>
            <w:hideMark/>
          </w:tcPr>
          <w:p w14:paraId="279C36DE" w14:textId="77777777" w:rsidR="00000000" w:rsidRDefault="00EB4933">
            <w:pPr>
              <w:pStyle w:val="NormalWeb"/>
              <w:spacing w:before="0" w:beforeAutospacing="0" w:after="0" w:afterAutospacing="0"/>
              <w:jc w:val="both"/>
              <w:rPr>
                <w:sz w:val="20"/>
                <w:szCs w:val="20"/>
              </w:rPr>
            </w:pPr>
            <w:r>
              <w:rPr>
                <w:sz w:val="20"/>
                <w:szCs w:val="20"/>
              </w:rPr>
              <w:t xml:space="preserve">9. </w:t>
            </w:r>
          </w:p>
        </w:tc>
        <w:tc>
          <w:tcPr>
            <w:tcW w:w="0" w:type="auto"/>
            <w:hideMark/>
          </w:tcPr>
          <w:p w14:paraId="2EF1BAEA" w14:textId="77777777" w:rsidR="00000000" w:rsidRDefault="00EB4933">
            <w:pPr>
              <w:jc w:val="both"/>
              <w:rPr>
                <w:rFonts w:eastAsia="Times New Roman"/>
                <w:sz w:val="20"/>
                <w:szCs w:val="20"/>
              </w:rPr>
            </w:pPr>
            <w:r>
              <w:rPr>
                <w:rFonts w:eastAsia="Times New Roman"/>
                <w:sz w:val="20"/>
                <w:szCs w:val="20"/>
              </w:rPr>
              <w:t xml:space="preserve">The Group understated proceeds received from </w:t>
            </w:r>
            <w:r>
              <w:rPr>
                <w:rFonts w:eastAsia="Times New Roman"/>
                <w:sz w:val="20"/>
                <w:szCs w:val="20"/>
              </w:rPr>
              <w:t xml:space="preserve">shareholders’ loans by RMB38,600,000 and repayment of shareholders’ loans by RMB38,600,000 for the year ended December 31, 2017. The net result of both items was nil. There was no impact to the net cash generated by financing activities. </w:t>
            </w:r>
          </w:p>
        </w:tc>
      </w:tr>
      <w:tr w:rsidR="00000000" w14:paraId="3173D100" w14:textId="77777777">
        <w:trPr>
          <w:divId w:val="98525094"/>
          <w:trHeight w:val="225"/>
          <w:tblCellSpacing w:w="15" w:type="dxa"/>
        </w:trPr>
        <w:tc>
          <w:tcPr>
            <w:tcW w:w="0" w:type="auto"/>
            <w:vAlign w:val="center"/>
            <w:hideMark/>
          </w:tcPr>
          <w:p w14:paraId="30462451" w14:textId="77777777" w:rsidR="00000000" w:rsidRDefault="00EB4933">
            <w:pPr>
              <w:pStyle w:val="NormalWeb"/>
              <w:spacing w:before="0" w:beforeAutospacing="0" w:after="0" w:afterAutospacing="0"/>
              <w:ind w:firstLine="450"/>
              <w:jc w:val="both"/>
              <w:rPr>
                <w:sz w:val="20"/>
                <w:szCs w:val="20"/>
              </w:rPr>
            </w:pPr>
            <w:r>
              <w:rPr>
                <w:sz w:val="20"/>
                <w:szCs w:val="20"/>
              </w:rPr>
              <w:t> </w:t>
            </w:r>
          </w:p>
        </w:tc>
        <w:tc>
          <w:tcPr>
            <w:tcW w:w="0" w:type="auto"/>
            <w:vAlign w:val="center"/>
            <w:hideMark/>
          </w:tcPr>
          <w:p w14:paraId="0DEBFDC9" w14:textId="77777777" w:rsidR="00000000" w:rsidRDefault="00EB4933">
            <w:pPr>
              <w:pStyle w:val="NormalWeb"/>
              <w:spacing w:before="0" w:beforeAutospacing="0" w:after="0" w:afterAutospacing="0"/>
              <w:jc w:val="both"/>
              <w:rPr>
                <w:sz w:val="20"/>
                <w:szCs w:val="20"/>
              </w:rPr>
            </w:pPr>
            <w:r>
              <w:rPr>
                <w:sz w:val="20"/>
                <w:szCs w:val="20"/>
              </w:rPr>
              <w:t> </w:t>
            </w:r>
          </w:p>
        </w:tc>
      </w:tr>
      <w:tr w:rsidR="00000000" w14:paraId="68260746" w14:textId="77777777">
        <w:trPr>
          <w:divId w:val="98525094"/>
          <w:trHeight w:val="225"/>
          <w:tblCellSpacing w:w="15" w:type="dxa"/>
        </w:trPr>
        <w:tc>
          <w:tcPr>
            <w:tcW w:w="0" w:type="auto"/>
            <w:hideMark/>
          </w:tcPr>
          <w:p w14:paraId="4325C3B1" w14:textId="77777777" w:rsidR="00000000" w:rsidRDefault="00EB4933">
            <w:pPr>
              <w:pStyle w:val="NormalWeb"/>
              <w:spacing w:before="0" w:beforeAutospacing="0" w:after="0" w:afterAutospacing="0"/>
              <w:jc w:val="both"/>
              <w:rPr>
                <w:sz w:val="20"/>
                <w:szCs w:val="20"/>
              </w:rPr>
            </w:pPr>
            <w:r>
              <w:rPr>
                <w:sz w:val="20"/>
                <w:szCs w:val="20"/>
              </w:rPr>
              <w:t xml:space="preserve">10. </w:t>
            </w:r>
          </w:p>
        </w:tc>
        <w:tc>
          <w:tcPr>
            <w:tcW w:w="0" w:type="auto"/>
            <w:hideMark/>
          </w:tcPr>
          <w:p w14:paraId="1AD13D36" w14:textId="77777777" w:rsidR="00000000" w:rsidRDefault="00EB4933">
            <w:pPr>
              <w:jc w:val="both"/>
              <w:rPr>
                <w:rFonts w:eastAsia="Times New Roman"/>
                <w:sz w:val="20"/>
                <w:szCs w:val="20"/>
              </w:rPr>
            </w:pPr>
            <w:r>
              <w:rPr>
                <w:rFonts w:eastAsia="Times New Roman"/>
                <w:sz w:val="20"/>
                <w:szCs w:val="20"/>
              </w:rPr>
              <w:t>The Group understated proceeds received from shareholders’ loans by RMB48,000,000 and repayments of shareholders’ loans by RMB58,000,000 for the year ended December 31, 2016. There was no impact to the net cash generated by financing activities</w:t>
            </w:r>
          </w:p>
        </w:tc>
      </w:tr>
    </w:tbl>
    <w:p w14:paraId="15F1ED49"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1B5F3FB" w14:textId="77777777">
        <w:trPr>
          <w:divId w:val="98525094"/>
          <w:trHeight w:val="225"/>
          <w:tblCellSpacing w:w="15" w:type="dxa"/>
        </w:trPr>
        <w:tc>
          <w:tcPr>
            <w:tcW w:w="0" w:type="auto"/>
            <w:vAlign w:val="center"/>
            <w:hideMark/>
          </w:tcPr>
          <w:p w14:paraId="7D28CFB9" w14:textId="77777777" w:rsidR="00000000" w:rsidRDefault="00EB4933">
            <w:pPr>
              <w:rPr>
                <w:rFonts w:eastAsia="Times New Roman"/>
                <w:sz w:val="20"/>
                <w:szCs w:val="20"/>
              </w:rPr>
            </w:pPr>
            <w:r>
              <w:rPr>
                <w:rFonts w:eastAsia="Times New Roman"/>
                <w:sz w:val="20"/>
                <w:szCs w:val="20"/>
              </w:rPr>
              <w:t> </w:t>
            </w:r>
          </w:p>
        </w:tc>
      </w:tr>
      <w:tr w:rsidR="00000000" w14:paraId="0E537747" w14:textId="77777777">
        <w:trPr>
          <w:divId w:val="98525094"/>
          <w:trHeight w:val="225"/>
          <w:tblCellSpacing w:w="15" w:type="dxa"/>
        </w:trPr>
        <w:tc>
          <w:tcPr>
            <w:tcW w:w="0" w:type="auto"/>
            <w:tcBorders>
              <w:bottom w:val="single" w:sz="6" w:space="0" w:color="000000"/>
            </w:tcBorders>
            <w:vAlign w:val="center"/>
            <w:hideMark/>
          </w:tcPr>
          <w:p w14:paraId="5C5D9CC1" w14:textId="77777777" w:rsidR="00000000" w:rsidRDefault="00EB4933">
            <w:pPr>
              <w:jc w:val="center"/>
              <w:rPr>
                <w:rFonts w:eastAsia="Times New Roman"/>
                <w:sz w:val="20"/>
                <w:szCs w:val="20"/>
              </w:rPr>
            </w:pPr>
            <w:r>
              <w:rPr>
                <w:rFonts w:eastAsia="Times New Roman"/>
                <w:sz w:val="20"/>
                <w:szCs w:val="20"/>
              </w:rPr>
              <w:t>F-71</w:t>
            </w:r>
          </w:p>
        </w:tc>
      </w:tr>
      <w:tr w:rsidR="00000000" w14:paraId="0F0D87B1" w14:textId="77777777">
        <w:trPr>
          <w:divId w:val="98525094"/>
          <w:trHeight w:val="225"/>
          <w:tblCellSpacing w:w="15" w:type="dxa"/>
        </w:trPr>
        <w:tc>
          <w:tcPr>
            <w:tcW w:w="0" w:type="auto"/>
            <w:vAlign w:val="center"/>
            <w:hideMark/>
          </w:tcPr>
          <w:p w14:paraId="33138622" w14:textId="77777777" w:rsidR="00000000" w:rsidRDefault="00EB4933">
            <w:pPr>
              <w:rPr>
                <w:rFonts w:eastAsia="Times New Roman"/>
                <w:sz w:val="20"/>
                <w:szCs w:val="20"/>
              </w:rPr>
            </w:pPr>
          </w:p>
        </w:tc>
      </w:tr>
      <w:tr w:rsidR="00000000" w14:paraId="54693E19" w14:textId="77777777">
        <w:trPr>
          <w:divId w:val="98525094"/>
          <w:trHeight w:val="225"/>
          <w:tblCellSpacing w:w="15" w:type="dxa"/>
        </w:trPr>
        <w:tc>
          <w:tcPr>
            <w:tcW w:w="0" w:type="auto"/>
            <w:vAlign w:val="center"/>
            <w:hideMark/>
          </w:tcPr>
          <w:p w14:paraId="151B53C4" w14:textId="77777777" w:rsidR="00000000" w:rsidRDefault="00EB4933">
            <w:pPr>
              <w:rPr>
                <w:rFonts w:eastAsia="Times New Roman"/>
                <w:sz w:val="20"/>
                <w:szCs w:val="20"/>
              </w:rPr>
            </w:pPr>
            <w:hyperlink r:id="rId288" w:anchor="finindex" w:history="1">
              <w:r>
                <w:rPr>
                  <w:rStyle w:val="Hyperlink"/>
                  <w:rFonts w:eastAsia="Times New Roman"/>
                  <w:i/>
                  <w:iCs/>
                  <w:sz w:val="20"/>
                  <w:szCs w:val="20"/>
                </w:rPr>
                <w:t>Table of Contents</w:t>
              </w:r>
            </w:hyperlink>
          </w:p>
        </w:tc>
      </w:tr>
    </w:tbl>
    <w:p w14:paraId="64803240"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2514B40B" w14:textId="77777777" w:rsidR="00000000" w:rsidRDefault="00EB4933">
      <w:pPr>
        <w:pStyle w:val="NormalWeb"/>
        <w:spacing w:before="0" w:beforeAutospacing="0" w:after="0" w:afterAutospacing="0"/>
        <w:jc w:val="both"/>
        <w:divId w:val="98525094"/>
        <w:rPr>
          <w:sz w:val="20"/>
          <w:szCs w:val="20"/>
        </w:rPr>
      </w:pPr>
      <w:r>
        <w:rPr>
          <w:rStyle w:val="Strong"/>
          <w:sz w:val="20"/>
          <w:szCs w:val="20"/>
        </w:rPr>
        <w:lastRenderedPageBreak/>
        <w:t>DUNXIN FINANCIAL HOLDINGS LIMITED</w:t>
      </w:r>
    </w:p>
    <w:p w14:paraId="264BC7F7"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44430A86"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FOR THE FINANCIAL YEAR ENDED 2017, 2018 AND 2019 </w:t>
      </w:r>
    </w:p>
    <w:p w14:paraId="5AF78E92"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66255359" w14:textId="77777777" w:rsidR="00000000" w:rsidRDefault="00EB4933">
      <w:pPr>
        <w:pStyle w:val="NormalWeb"/>
        <w:spacing w:before="0" w:beforeAutospacing="0" w:after="0" w:afterAutospacing="0"/>
        <w:jc w:val="both"/>
        <w:divId w:val="98525094"/>
        <w:rPr>
          <w:sz w:val="20"/>
          <w:szCs w:val="20"/>
        </w:rPr>
      </w:pPr>
      <w:r>
        <w:rPr>
          <w:rStyle w:val="Strong"/>
          <w:sz w:val="20"/>
          <w:szCs w:val="20"/>
        </w:rPr>
        <w:t>30. Correction of errors - continued</w:t>
      </w:r>
    </w:p>
    <w:p w14:paraId="40FB7525"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p w14:paraId="09C9D0EE" w14:textId="77777777" w:rsidR="00000000" w:rsidRDefault="00EB4933">
      <w:pPr>
        <w:pStyle w:val="NormalWeb"/>
        <w:spacing w:before="0" w:beforeAutospacing="0" w:after="0" w:afterAutospacing="0"/>
        <w:ind w:left="675"/>
        <w:jc w:val="both"/>
        <w:divId w:val="98525094"/>
        <w:rPr>
          <w:sz w:val="20"/>
          <w:szCs w:val="20"/>
        </w:rPr>
      </w:pPr>
      <w:r>
        <w:rPr>
          <w:sz w:val="20"/>
          <w:szCs w:val="20"/>
        </w:rPr>
        <w:t>As a result, the financial statements for the years ended December 31, 2017 and 2016 have been restated, respectively, as follows:</w:t>
      </w:r>
    </w:p>
    <w:p w14:paraId="1E60EEB0"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4600" w:type="pct"/>
        <w:tblCellSpacing w:w="15" w:type="dxa"/>
        <w:tblCellMar>
          <w:left w:w="0" w:type="dxa"/>
          <w:right w:w="0" w:type="dxa"/>
        </w:tblCellMar>
        <w:tblLook w:val="04A0" w:firstRow="1" w:lastRow="0" w:firstColumn="1" w:lastColumn="0" w:noHBand="0" w:noVBand="1"/>
      </w:tblPr>
      <w:tblGrid>
        <w:gridCol w:w="5157"/>
        <w:gridCol w:w="89"/>
        <w:gridCol w:w="116"/>
        <w:gridCol w:w="803"/>
        <w:gridCol w:w="97"/>
        <w:gridCol w:w="82"/>
        <w:gridCol w:w="136"/>
        <w:gridCol w:w="983"/>
        <w:gridCol w:w="97"/>
        <w:gridCol w:w="82"/>
        <w:gridCol w:w="109"/>
        <w:gridCol w:w="748"/>
        <w:gridCol w:w="112"/>
      </w:tblGrid>
      <w:tr w:rsidR="00000000" w14:paraId="28F31942" w14:textId="77777777">
        <w:trPr>
          <w:divId w:val="98525094"/>
          <w:trHeight w:val="225"/>
          <w:tblCellSpacing w:w="15" w:type="dxa"/>
        </w:trPr>
        <w:tc>
          <w:tcPr>
            <w:tcW w:w="0" w:type="auto"/>
            <w:vAlign w:val="center"/>
            <w:hideMark/>
          </w:tcPr>
          <w:p w14:paraId="07B1A092"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469B138"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10"/>
            <w:tcBorders>
              <w:bottom w:val="single" w:sz="6" w:space="0" w:color="auto"/>
            </w:tcBorders>
            <w:vAlign w:val="bottom"/>
            <w:hideMark/>
          </w:tcPr>
          <w:p w14:paraId="25C08351" w14:textId="77777777" w:rsidR="00000000" w:rsidRDefault="00EB4933">
            <w:pPr>
              <w:pStyle w:val="NormalWeb"/>
              <w:spacing w:before="0" w:beforeAutospacing="0" w:after="0" w:afterAutospacing="0"/>
              <w:jc w:val="center"/>
              <w:rPr>
                <w:sz w:val="20"/>
                <w:szCs w:val="20"/>
              </w:rPr>
            </w:pPr>
            <w:r>
              <w:rPr>
                <w:rStyle w:val="Strong"/>
                <w:sz w:val="20"/>
                <w:szCs w:val="20"/>
              </w:rPr>
              <w:t>December 31, 2017</w:t>
            </w:r>
          </w:p>
        </w:tc>
        <w:tc>
          <w:tcPr>
            <w:tcW w:w="0" w:type="auto"/>
            <w:noWrap/>
            <w:vAlign w:val="center"/>
            <w:hideMark/>
          </w:tcPr>
          <w:p w14:paraId="657A8953" w14:textId="77777777" w:rsidR="00000000" w:rsidRDefault="00EB4933">
            <w:pPr>
              <w:pStyle w:val="NormalWeb"/>
              <w:spacing w:before="0" w:beforeAutospacing="0" w:after="0" w:afterAutospacing="0"/>
              <w:rPr>
                <w:sz w:val="20"/>
                <w:szCs w:val="20"/>
              </w:rPr>
            </w:pPr>
            <w:r>
              <w:rPr>
                <w:sz w:val="20"/>
                <w:szCs w:val="20"/>
              </w:rPr>
              <w:t> </w:t>
            </w:r>
          </w:p>
        </w:tc>
      </w:tr>
      <w:tr w:rsidR="00000000" w14:paraId="39086142" w14:textId="77777777">
        <w:trPr>
          <w:divId w:val="98525094"/>
          <w:trHeight w:val="225"/>
          <w:tblCellSpacing w:w="15" w:type="dxa"/>
        </w:trPr>
        <w:tc>
          <w:tcPr>
            <w:tcW w:w="0" w:type="auto"/>
            <w:tcBorders>
              <w:bottom w:val="single" w:sz="6" w:space="0" w:color="000000"/>
            </w:tcBorders>
            <w:vAlign w:val="bottom"/>
            <w:hideMark/>
          </w:tcPr>
          <w:p w14:paraId="111CC63B" w14:textId="77777777" w:rsidR="00000000" w:rsidRDefault="00EB4933">
            <w:pPr>
              <w:pStyle w:val="NormalWeb"/>
              <w:spacing w:before="0" w:beforeAutospacing="0" w:after="0" w:afterAutospacing="0"/>
              <w:rPr>
                <w:sz w:val="20"/>
                <w:szCs w:val="20"/>
              </w:rPr>
            </w:pPr>
            <w:r>
              <w:rPr>
                <w:rStyle w:val="Strong"/>
                <w:sz w:val="20"/>
                <w:szCs w:val="20"/>
              </w:rPr>
              <w:t>Statement of profit and other comprehensive income (extract)</w:t>
            </w:r>
          </w:p>
        </w:tc>
        <w:tc>
          <w:tcPr>
            <w:tcW w:w="0" w:type="auto"/>
            <w:noWrap/>
            <w:vAlign w:val="center"/>
            <w:hideMark/>
          </w:tcPr>
          <w:p w14:paraId="17ED8354"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DD3E258" w14:textId="77777777" w:rsidR="00000000" w:rsidRDefault="00EB4933">
            <w:pPr>
              <w:pStyle w:val="NormalWeb"/>
              <w:spacing w:before="0" w:beforeAutospacing="0" w:after="0" w:afterAutospacing="0"/>
              <w:jc w:val="center"/>
              <w:rPr>
                <w:sz w:val="20"/>
                <w:szCs w:val="20"/>
              </w:rPr>
            </w:pPr>
            <w:r>
              <w:rPr>
                <w:rStyle w:val="Strong"/>
                <w:sz w:val="20"/>
                <w:szCs w:val="20"/>
              </w:rPr>
              <w:t xml:space="preserve">As </w:t>
            </w:r>
          </w:p>
          <w:p w14:paraId="149EFF9F" w14:textId="77777777" w:rsidR="00000000" w:rsidRDefault="00EB4933">
            <w:pPr>
              <w:pStyle w:val="NormalWeb"/>
              <w:spacing w:before="0" w:beforeAutospacing="0" w:after="0" w:afterAutospacing="0"/>
              <w:jc w:val="center"/>
              <w:rPr>
                <w:sz w:val="20"/>
                <w:szCs w:val="20"/>
              </w:rPr>
            </w:pPr>
            <w:r>
              <w:rPr>
                <w:rStyle w:val="Strong"/>
                <w:sz w:val="20"/>
                <w:szCs w:val="20"/>
              </w:rPr>
              <w:t>previously reported</w:t>
            </w:r>
          </w:p>
        </w:tc>
        <w:tc>
          <w:tcPr>
            <w:tcW w:w="0" w:type="auto"/>
            <w:noWrap/>
            <w:tcMar>
              <w:top w:w="0" w:type="dxa"/>
              <w:left w:w="0" w:type="dxa"/>
              <w:bottom w:w="15" w:type="dxa"/>
              <w:right w:w="0" w:type="dxa"/>
            </w:tcMar>
            <w:vAlign w:val="center"/>
            <w:hideMark/>
          </w:tcPr>
          <w:p w14:paraId="32C12C5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7CEB43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FE454B6" w14:textId="77777777" w:rsidR="00000000" w:rsidRDefault="00EB4933">
            <w:pPr>
              <w:pStyle w:val="NormalWeb"/>
              <w:spacing w:before="0" w:beforeAutospacing="0" w:after="0" w:afterAutospacing="0"/>
              <w:jc w:val="center"/>
              <w:rPr>
                <w:sz w:val="20"/>
                <w:szCs w:val="20"/>
              </w:rPr>
            </w:pPr>
            <w:r>
              <w:rPr>
                <w:rStyle w:val="Strong"/>
                <w:sz w:val="20"/>
                <w:szCs w:val="20"/>
              </w:rPr>
              <w:t>Adjustments</w:t>
            </w:r>
          </w:p>
        </w:tc>
        <w:tc>
          <w:tcPr>
            <w:tcW w:w="0" w:type="auto"/>
            <w:noWrap/>
            <w:tcMar>
              <w:top w:w="0" w:type="dxa"/>
              <w:left w:w="0" w:type="dxa"/>
              <w:bottom w:w="15" w:type="dxa"/>
              <w:right w:w="0" w:type="dxa"/>
            </w:tcMar>
            <w:vAlign w:val="center"/>
            <w:hideMark/>
          </w:tcPr>
          <w:p w14:paraId="45927C78"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FBDE3D5"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2DA2CDB" w14:textId="77777777" w:rsidR="00000000" w:rsidRDefault="00EB4933">
            <w:pPr>
              <w:pStyle w:val="NormalWeb"/>
              <w:spacing w:before="0" w:beforeAutospacing="0" w:after="0" w:afterAutospacing="0"/>
              <w:jc w:val="center"/>
              <w:rPr>
                <w:sz w:val="20"/>
                <w:szCs w:val="20"/>
              </w:rPr>
            </w:pPr>
            <w:r>
              <w:rPr>
                <w:rStyle w:val="Strong"/>
                <w:sz w:val="20"/>
                <w:szCs w:val="20"/>
              </w:rPr>
              <w:t>As currently reported</w:t>
            </w:r>
          </w:p>
        </w:tc>
        <w:tc>
          <w:tcPr>
            <w:tcW w:w="0" w:type="auto"/>
            <w:noWrap/>
            <w:tcMar>
              <w:top w:w="0" w:type="dxa"/>
              <w:left w:w="0" w:type="dxa"/>
              <w:bottom w:w="15" w:type="dxa"/>
              <w:right w:w="0" w:type="dxa"/>
            </w:tcMar>
            <w:vAlign w:val="center"/>
            <w:hideMark/>
          </w:tcPr>
          <w:p w14:paraId="16F7BC88" w14:textId="77777777" w:rsidR="00000000" w:rsidRDefault="00EB4933">
            <w:pPr>
              <w:pStyle w:val="NormalWeb"/>
              <w:spacing w:before="0" w:beforeAutospacing="0" w:after="0" w:afterAutospacing="0"/>
              <w:rPr>
                <w:sz w:val="20"/>
                <w:szCs w:val="20"/>
              </w:rPr>
            </w:pPr>
            <w:r>
              <w:rPr>
                <w:sz w:val="20"/>
                <w:szCs w:val="20"/>
              </w:rPr>
              <w:t> </w:t>
            </w:r>
          </w:p>
        </w:tc>
      </w:tr>
      <w:tr w:rsidR="00000000" w14:paraId="698E643F" w14:textId="77777777">
        <w:trPr>
          <w:divId w:val="98525094"/>
          <w:trHeight w:val="225"/>
          <w:tblCellSpacing w:w="15" w:type="dxa"/>
        </w:trPr>
        <w:tc>
          <w:tcPr>
            <w:tcW w:w="0" w:type="auto"/>
            <w:vAlign w:val="center"/>
            <w:hideMark/>
          </w:tcPr>
          <w:p w14:paraId="1187EF21"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6ED89C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01CB4108" w14:textId="77777777" w:rsidR="00000000" w:rsidRDefault="00EB4933">
            <w:pPr>
              <w:pStyle w:val="NormalWeb"/>
              <w:spacing w:before="0" w:beforeAutospacing="0" w:after="0" w:afterAutospacing="0"/>
              <w:jc w:val="center"/>
              <w:rPr>
                <w:sz w:val="20"/>
                <w:szCs w:val="20"/>
              </w:rPr>
            </w:pPr>
            <w:r>
              <w:rPr>
                <w:sz w:val="20"/>
                <w:szCs w:val="20"/>
              </w:rPr>
              <w:t xml:space="preserve">RMB’000 </w:t>
            </w:r>
          </w:p>
        </w:tc>
        <w:tc>
          <w:tcPr>
            <w:tcW w:w="0" w:type="auto"/>
            <w:noWrap/>
            <w:vAlign w:val="center"/>
            <w:hideMark/>
          </w:tcPr>
          <w:p w14:paraId="6D8A8A0C"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6DEECC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612DF617" w14:textId="77777777" w:rsidR="00000000" w:rsidRDefault="00EB4933">
            <w:pPr>
              <w:pStyle w:val="NormalWeb"/>
              <w:spacing w:before="0" w:beforeAutospacing="0" w:after="0" w:afterAutospacing="0"/>
              <w:jc w:val="center"/>
              <w:rPr>
                <w:sz w:val="20"/>
                <w:szCs w:val="20"/>
              </w:rPr>
            </w:pPr>
            <w:r>
              <w:rPr>
                <w:sz w:val="20"/>
                <w:szCs w:val="20"/>
              </w:rPr>
              <w:t>RMB’000</w:t>
            </w:r>
          </w:p>
        </w:tc>
        <w:tc>
          <w:tcPr>
            <w:tcW w:w="0" w:type="auto"/>
            <w:noWrap/>
            <w:vAlign w:val="center"/>
            <w:hideMark/>
          </w:tcPr>
          <w:p w14:paraId="3B46B6EF"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2E4BBDA"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3C07698C" w14:textId="77777777" w:rsidR="00000000" w:rsidRDefault="00EB4933">
            <w:pPr>
              <w:pStyle w:val="NormalWeb"/>
              <w:spacing w:before="0" w:beforeAutospacing="0" w:after="0" w:afterAutospacing="0"/>
              <w:jc w:val="center"/>
              <w:rPr>
                <w:sz w:val="20"/>
                <w:szCs w:val="20"/>
              </w:rPr>
            </w:pPr>
            <w:r>
              <w:rPr>
                <w:sz w:val="20"/>
                <w:szCs w:val="20"/>
              </w:rPr>
              <w:t>RMB’000</w:t>
            </w:r>
          </w:p>
        </w:tc>
        <w:tc>
          <w:tcPr>
            <w:tcW w:w="0" w:type="auto"/>
            <w:noWrap/>
            <w:vAlign w:val="center"/>
            <w:hideMark/>
          </w:tcPr>
          <w:p w14:paraId="0368E10D" w14:textId="77777777" w:rsidR="00000000" w:rsidRDefault="00EB4933">
            <w:pPr>
              <w:pStyle w:val="NormalWeb"/>
              <w:spacing w:before="0" w:beforeAutospacing="0" w:after="0" w:afterAutospacing="0"/>
              <w:rPr>
                <w:sz w:val="20"/>
                <w:szCs w:val="20"/>
              </w:rPr>
            </w:pPr>
            <w:r>
              <w:rPr>
                <w:sz w:val="20"/>
                <w:szCs w:val="20"/>
              </w:rPr>
              <w:t> </w:t>
            </w:r>
          </w:p>
        </w:tc>
      </w:tr>
      <w:tr w:rsidR="00000000" w14:paraId="46E45530" w14:textId="77777777">
        <w:trPr>
          <w:divId w:val="98525094"/>
          <w:trHeight w:val="225"/>
          <w:tblCellSpacing w:w="15" w:type="dxa"/>
        </w:trPr>
        <w:tc>
          <w:tcPr>
            <w:tcW w:w="0" w:type="auto"/>
            <w:vAlign w:val="center"/>
            <w:hideMark/>
          </w:tcPr>
          <w:p w14:paraId="16A8AB64"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FC3E16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78AA666F"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C289780"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C48E7F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3F88A43"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0DCEC67"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66610DE"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44A2129A"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8B084D3" w14:textId="77777777" w:rsidR="00000000" w:rsidRDefault="00EB4933">
            <w:pPr>
              <w:pStyle w:val="NormalWeb"/>
              <w:spacing w:before="0" w:beforeAutospacing="0" w:after="0" w:afterAutospacing="0"/>
              <w:rPr>
                <w:sz w:val="20"/>
                <w:szCs w:val="20"/>
              </w:rPr>
            </w:pPr>
            <w:r>
              <w:rPr>
                <w:sz w:val="20"/>
                <w:szCs w:val="20"/>
              </w:rPr>
              <w:t> </w:t>
            </w:r>
          </w:p>
        </w:tc>
      </w:tr>
      <w:tr w:rsidR="00000000" w14:paraId="53E1EBE6" w14:textId="77777777">
        <w:trPr>
          <w:divId w:val="98525094"/>
          <w:trHeight w:val="225"/>
          <w:tblCellSpacing w:w="15" w:type="dxa"/>
        </w:trPr>
        <w:tc>
          <w:tcPr>
            <w:tcW w:w="0" w:type="auto"/>
            <w:shd w:val="clear" w:color="auto" w:fill="CCEEFF"/>
            <w:hideMark/>
          </w:tcPr>
          <w:p w14:paraId="40A4F7AA" w14:textId="77777777" w:rsidR="00000000" w:rsidRDefault="00EB4933">
            <w:pPr>
              <w:pStyle w:val="NormalWeb"/>
              <w:spacing w:before="0" w:beforeAutospacing="0" w:after="0" w:afterAutospacing="0"/>
              <w:rPr>
                <w:sz w:val="20"/>
                <w:szCs w:val="20"/>
              </w:rPr>
            </w:pPr>
            <w:r>
              <w:rPr>
                <w:sz w:val="20"/>
                <w:szCs w:val="20"/>
              </w:rPr>
              <w:t>Interest expense (note 30.1)</w:t>
            </w:r>
          </w:p>
        </w:tc>
        <w:tc>
          <w:tcPr>
            <w:tcW w:w="50" w:type="pct"/>
            <w:shd w:val="clear" w:color="auto" w:fill="CCEEFF"/>
            <w:noWrap/>
            <w:vAlign w:val="center"/>
            <w:hideMark/>
          </w:tcPr>
          <w:p w14:paraId="13BE1DC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F8A5AF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9D1EFCE" w14:textId="77777777" w:rsidR="00000000" w:rsidRDefault="00EB4933">
            <w:pPr>
              <w:jc w:val="right"/>
              <w:rPr>
                <w:rFonts w:eastAsia="Times New Roman"/>
                <w:sz w:val="20"/>
                <w:szCs w:val="20"/>
              </w:rPr>
            </w:pPr>
            <w:r>
              <w:rPr>
                <w:rFonts w:eastAsia="Times New Roman"/>
                <w:sz w:val="20"/>
                <w:szCs w:val="20"/>
              </w:rPr>
              <w:t>(38,140</w:t>
            </w:r>
          </w:p>
        </w:tc>
        <w:tc>
          <w:tcPr>
            <w:tcW w:w="50" w:type="pct"/>
            <w:shd w:val="clear" w:color="auto" w:fill="CCEEFF"/>
            <w:noWrap/>
            <w:tcMar>
              <w:top w:w="0" w:type="dxa"/>
              <w:left w:w="0" w:type="dxa"/>
              <w:bottom w:w="15" w:type="dxa"/>
              <w:right w:w="0" w:type="dxa"/>
            </w:tcMar>
            <w:vAlign w:val="bottom"/>
            <w:hideMark/>
          </w:tcPr>
          <w:p w14:paraId="05E9A5C1"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F88909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51FC28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E768E96" w14:textId="77777777" w:rsidR="00000000" w:rsidRDefault="00EB4933">
            <w:pPr>
              <w:jc w:val="right"/>
              <w:rPr>
                <w:rFonts w:eastAsia="Times New Roman"/>
                <w:sz w:val="20"/>
                <w:szCs w:val="20"/>
              </w:rPr>
            </w:pPr>
            <w:r>
              <w:rPr>
                <w:rFonts w:eastAsia="Times New Roman"/>
                <w:sz w:val="20"/>
                <w:szCs w:val="20"/>
              </w:rPr>
              <w:t>4,349</w:t>
            </w:r>
          </w:p>
        </w:tc>
        <w:tc>
          <w:tcPr>
            <w:tcW w:w="50" w:type="pct"/>
            <w:shd w:val="clear" w:color="auto" w:fill="CCEEFF"/>
            <w:noWrap/>
            <w:tcMar>
              <w:top w:w="0" w:type="dxa"/>
              <w:left w:w="0" w:type="dxa"/>
              <w:bottom w:w="15" w:type="dxa"/>
              <w:right w:w="0" w:type="dxa"/>
            </w:tcMar>
            <w:vAlign w:val="center"/>
            <w:hideMark/>
          </w:tcPr>
          <w:p w14:paraId="7548C64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EBEEC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D33554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55B659B" w14:textId="77777777" w:rsidR="00000000" w:rsidRDefault="00EB4933">
            <w:pPr>
              <w:jc w:val="right"/>
              <w:rPr>
                <w:rFonts w:eastAsia="Times New Roman"/>
                <w:sz w:val="20"/>
                <w:szCs w:val="20"/>
              </w:rPr>
            </w:pPr>
            <w:r>
              <w:rPr>
                <w:rFonts w:eastAsia="Times New Roman"/>
                <w:sz w:val="20"/>
                <w:szCs w:val="20"/>
              </w:rPr>
              <w:t>(33,791</w:t>
            </w:r>
          </w:p>
        </w:tc>
        <w:tc>
          <w:tcPr>
            <w:tcW w:w="50" w:type="pct"/>
            <w:shd w:val="clear" w:color="auto" w:fill="CCEEFF"/>
            <w:noWrap/>
            <w:tcMar>
              <w:top w:w="0" w:type="dxa"/>
              <w:left w:w="0" w:type="dxa"/>
              <w:bottom w:w="15" w:type="dxa"/>
              <w:right w:w="0" w:type="dxa"/>
            </w:tcMar>
            <w:vAlign w:val="bottom"/>
            <w:hideMark/>
          </w:tcPr>
          <w:p w14:paraId="1E559280" w14:textId="77777777" w:rsidR="00000000" w:rsidRDefault="00EB4933">
            <w:pPr>
              <w:rPr>
                <w:rFonts w:eastAsia="Times New Roman"/>
                <w:sz w:val="20"/>
                <w:szCs w:val="20"/>
              </w:rPr>
            </w:pPr>
            <w:r>
              <w:rPr>
                <w:rFonts w:eastAsia="Times New Roman"/>
                <w:sz w:val="20"/>
                <w:szCs w:val="20"/>
              </w:rPr>
              <w:t>)</w:t>
            </w:r>
          </w:p>
        </w:tc>
      </w:tr>
      <w:tr w:rsidR="00000000" w14:paraId="02BE0DCF" w14:textId="77777777">
        <w:trPr>
          <w:divId w:val="98525094"/>
          <w:trHeight w:val="225"/>
          <w:tblCellSpacing w:w="15" w:type="dxa"/>
        </w:trPr>
        <w:tc>
          <w:tcPr>
            <w:tcW w:w="0" w:type="auto"/>
            <w:shd w:val="clear" w:color="auto" w:fill="FFFFFF"/>
            <w:hideMark/>
          </w:tcPr>
          <w:p w14:paraId="1D23C7A0" w14:textId="77777777" w:rsidR="00000000" w:rsidRDefault="00EB4933">
            <w:pPr>
              <w:pStyle w:val="NormalWeb"/>
              <w:spacing w:before="0" w:beforeAutospacing="0" w:after="0" w:afterAutospacing="0"/>
              <w:rPr>
                <w:sz w:val="20"/>
                <w:szCs w:val="20"/>
              </w:rPr>
            </w:pPr>
            <w:r>
              <w:rPr>
                <w:rStyle w:val="Strong"/>
                <w:sz w:val="20"/>
                <w:szCs w:val="20"/>
              </w:rPr>
              <w:t>Total interest expense</w:t>
            </w:r>
          </w:p>
        </w:tc>
        <w:tc>
          <w:tcPr>
            <w:tcW w:w="50" w:type="pct"/>
            <w:shd w:val="clear" w:color="auto" w:fill="FFFFFF"/>
            <w:noWrap/>
            <w:vAlign w:val="center"/>
            <w:hideMark/>
          </w:tcPr>
          <w:p w14:paraId="00ADFC4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B3D74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756B46E" w14:textId="77777777" w:rsidR="00000000" w:rsidRDefault="00EB4933">
            <w:pPr>
              <w:jc w:val="right"/>
              <w:rPr>
                <w:rFonts w:eastAsia="Times New Roman"/>
                <w:sz w:val="20"/>
                <w:szCs w:val="20"/>
              </w:rPr>
            </w:pPr>
            <w:r>
              <w:rPr>
                <w:rFonts w:eastAsia="Times New Roman"/>
                <w:sz w:val="20"/>
                <w:szCs w:val="20"/>
              </w:rPr>
              <w:t>(38,814</w:t>
            </w:r>
          </w:p>
        </w:tc>
        <w:tc>
          <w:tcPr>
            <w:tcW w:w="50" w:type="pct"/>
            <w:shd w:val="clear" w:color="auto" w:fill="FFFFFF"/>
            <w:noWrap/>
            <w:vAlign w:val="bottom"/>
            <w:hideMark/>
          </w:tcPr>
          <w:p w14:paraId="0454CC0D"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424AFB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74F02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72D82EC" w14:textId="77777777" w:rsidR="00000000" w:rsidRDefault="00EB4933">
            <w:pPr>
              <w:jc w:val="right"/>
              <w:rPr>
                <w:rFonts w:eastAsia="Times New Roman"/>
                <w:sz w:val="20"/>
                <w:szCs w:val="20"/>
              </w:rPr>
            </w:pPr>
            <w:r>
              <w:rPr>
                <w:rFonts w:eastAsia="Times New Roman"/>
                <w:sz w:val="20"/>
                <w:szCs w:val="20"/>
              </w:rPr>
              <w:t>4,349</w:t>
            </w:r>
          </w:p>
        </w:tc>
        <w:tc>
          <w:tcPr>
            <w:tcW w:w="50" w:type="pct"/>
            <w:shd w:val="clear" w:color="auto" w:fill="FFFFFF"/>
            <w:noWrap/>
            <w:vAlign w:val="center"/>
            <w:hideMark/>
          </w:tcPr>
          <w:p w14:paraId="28047C8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29934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03843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6F372F7" w14:textId="77777777" w:rsidR="00000000" w:rsidRDefault="00EB4933">
            <w:pPr>
              <w:jc w:val="right"/>
              <w:rPr>
                <w:rFonts w:eastAsia="Times New Roman"/>
                <w:sz w:val="20"/>
                <w:szCs w:val="20"/>
              </w:rPr>
            </w:pPr>
            <w:r>
              <w:rPr>
                <w:rFonts w:eastAsia="Times New Roman"/>
                <w:sz w:val="20"/>
                <w:szCs w:val="20"/>
              </w:rPr>
              <w:t>(34,465</w:t>
            </w:r>
          </w:p>
        </w:tc>
        <w:tc>
          <w:tcPr>
            <w:tcW w:w="50" w:type="pct"/>
            <w:shd w:val="clear" w:color="auto" w:fill="FFFFFF"/>
            <w:noWrap/>
            <w:vAlign w:val="bottom"/>
            <w:hideMark/>
          </w:tcPr>
          <w:p w14:paraId="248E50CA" w14:textId="77777777" w:rsidR="00000000" w:rsidRDefault="00EB4933">
            <w:pPr>
              <w:rPr>
                <w:rFonts w:eastAsia="Times New Roman"/>
                <w:sz w:val="20"/>
                <w:szCs w:val="20"/>
              </w:rPr>
            </w:pPr>
            <w:r>
              <w:rPr>
                <w:rFonts w:eastAsia="Times New Roman"/>
                <w:sz w:val="20"/>
                <w:szCs w:val="20"/>
              </w:rPr>
              <w:t>)</w:t>
            </w:r>
          </w:p>
        </w:tc>
      </w:tr>
      <w:tr w:rsidR="00000000" w14:paraId="02F3116E" w14:textId="77777777">
        <w:trPr>
          <w:divId w:val="98525094"/>
          <w:trHeight w:val="225"/>
          <w:tblCellSpacing w:w="15" w:type="dxa"/>
        </w:trPr>
        <w:tc>
          <w:tcPr>
            <w:tcW w:w="0" w:type="auto"/>
            <w:shd w:val="clear" w:color="auto" w:fill="CCEEFF"/>
            <w:vAlign w:val="center"/>
            <w:hideMark/>
          </w:tcPr>
          <w:p w14:paraId="5024690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DF3A6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D00C4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5740CF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21F4E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BE5E2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2FA6A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21971C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2F4EC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ED7CC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D80A3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A0D0E5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EBED14" w14:textId="77777777" w:rsidR="00000000" w:rsidRDefault="00EB4933">
            <w:pPr>
              <w:pStyle w:val="NormalWeb"/>
              <w:spacing w:before="0" w:beforeAutospacing="0" w:after="0" w:afterAutospacing="0"/>
              <w:rPr>
                <w:sz w:val="20"/>
                <w:szCs w:val="20"/>
              </w:rPr>
            </w:pPr>
            <w:r>
              <w:rPr>
                <w:sz w:val="20"/>
                <w:szCs w:val="20"/>
              </w:rPr>
              <w:t> </w:t>
            </w:r>
          </w:p>
        </w:tc>
      </w:tr>
      <w:tr w:rsidR="00000000" w14:paraId="45B59ECC" w14:textId="77777777">
        <w:trPr>
          <w:divId w:val="98525094"/>
          <w:trHeight w:val="225"/>
          <w:tblCellSpacing w:w="15" w:type="dxa"/>
        </w:trPr>
        <w:tc>
          <w:tcPr>
            <w:tcW w:w="0" w:type="auto"/>
            <w:shd w:val="clear" w:color="auto" w:fill="FFFFFF"/>
            <w:hideMark/>
          </w:tcPr>
          <w:p w14:paraId="41F0517F" w14:textId="77777777" w:rsidR="00000000" w:rsidRDefault="00EB4933">
            <w:pPr>
              <w:pStyle w:val="NormalWeb"/>
              <w:spacing w:before="0" w:beforeAutospacing="0" w:after="0" w:afterAutospacing="0"/>
              <w:rPr>
                <w:sz w:val="20"/>
                <w:szCs w:val="20"/>
              </w:rPr>
            </w:pPr>
            <w:r>
              <w:rPr>
                <w:sz w:val="20"/>
                <w:szCs w:val="20"/>
              </w:rPr>
              <w:t>General and administrative (note 30.2)</w:t>
            </w:r>
          </w:p>
        </w:tc>
        <w:tc>
          <w:tcPr>
            <w:tcW w:w="50" w:type="pct"/>
            <w:shd w:val="clear" w:color="auto" w:fill="FFFFFF"/>
            <w:noWrap/>
            <w:vAlign w:val="center"/>
            <w:hideMark/>
          </w:tcPr>
          <w:p w14:paraId="3B73593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33383C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A53447A" w14:textId="77777777" w:rsidR="00000000" w:rsidRDefault="00EB4933">
            <w:pPr>
              <w:jc w:val="right"/>
              <w:rPr>
                <w:rFonts w:eastAsia="Times New Roman"/>
                <w:sz w:val="20"/>
                <w:szCs w:val="20"/>
              </w:rPr>
            </w:pPr>
            <w:r>
              <w:rPr>
                <w:rFonts w:eastAsia="Times New Roman"/>
                <w:sz w:val="20"/>
                <w:szCs w:val="20"/>
              </w:rPr>
              <w:t>(26,720</w:t>
            </w:r>
          </w:p>
        </w:tc>
        <w:tc>
          <w:tcPr>
            <w:tcW w:w="50" w:type="pct"/>
            <w:shd w:val="clear" w:color="auto" w:fill="FFFFFF"/>
            <w:noWrap/>
            <w:tcMar>
              <w:top w:w="0" w:type="dxa"/>
              <w:left w:w="0" w:type="dxa"/>
              <w:bottom w:w="15" w:type="dxa"/>
              <w:right w:w="0" w:type="dxa"/>
            </w:tcMar>
            <w:vAlign w:val="bottom"/>
            <w:hideMark/>
          </w:tcPr>
          <w:p w14:paraId="6776FEB2"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B15CE9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EA3BEE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ADFF01A" w14:textId="77777777" w:rsidR="00000000" w:rsidRDefault="00EB4933">
            <w:pPr>
              <w:jc w:val="right"/>
              <w:rPr>
                <w:rFonts w:eastAsia="Times New Roman"/>
                <w:sz w:val="20"/>
                <w:szCs w:val="20"/>
              </w:rPr>
            </w:pPr>
            <w:r>
              <w:rPr>
                <w:rFonts w:eastAsia="Times New Roman"/>
                <w:sz w:val="20"/>
                <w:szCs w:val="20"/>
              </w:rPr>
              <w:t>(8,175</w:t>
            </w:r>
          </w:p>
        </w:tc>
        <w:tc>
          <w:tcPr>
            <w:tcW w:w="50" w:type="pct"/>
            <w:shd w:val="clear" w:color="auto" w:fill="FFFFFF"/>
            <w:noWrap/>
            <w:tcMar>
              <w:top w:w="0" w:type="dxa"/>
              <w:left w:w="0" w:type="dxa"/>
              <w:bottom w:w="15" w:type="dxa"/>
              <w:right w:w="0" w:type="dxa"/>
            </w:tcMar>
            <w:vAlign w:val="bottom"/>
            <w:hideMark/>
          </w:tcPr>
          <w:p w14:paraId="1C0AC7E0"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4A2993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CDCBFB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BB3255F" w14:textId="77777777" w:rsidR="00000000" w:rsidRDefault="00EB4933">
            <w:pPr>
              <w:jc w:val="right"/>
              <w:rPr>
                <w:rFonts w:eastAsia="Times New Roman"/>
                <w:sz w:val="20"/>
                <w:szCs w:val="20"/>
              </w:rPr>
            </w:pPr>
            <w:r>
              <w:rPr>
                <w:rFonts w:eastAsia="Times New Roman"/>
                <w:sz w:val="20"/>
                <w:szCs w:val="20"/>
              </w:rPr>
              <w:t>(34,895</w:t>
            </w:r>
          </w:p>
        </w:tc>
        <w:tc>
          <w:tcPr>
            <w:tcW w:w="50" w:type="pct"/>
            <w:shd w:val="clear" w:color="auto" w:fill="FFFFFF"/>
            <w:noWrap/>
            <w:tcMar>
              <w:top w:w="0" w:type="dxa"/>
              <w:left w:w="0" w:type="dxa"/>
              <w:bottom w:w="15" w:type="dxa"/>
              <w:right w:w="0" w:type="dxa"/>
            </w:tcMar>
            <w:vAlign w:val="bottom"/>
            <w:hideMark/>
          </w:tcPr>
          <w:p w14:paraId="32AD8434" w14:textId="77777777" w:rsidR="00000000" w:rsidRDefault="00EB4933">
            <w:pPr>
              <w:rPr>
                <w:rFonts w:eastAsia="Times New Roman"/>
                <w:sz w:val="20"/>
                <w:szCs w:val="20"/>
              </w:rPr>
            </w:pPr>
            <w:r>
              <w:rPr>
                <w:rFonts w:eastAsia="Times New Roman"/>
                <w:sz w:val="20"/>
                <w:szCs w:val="20"/>
              </w:rPr>
              <w:t>)</w:t>
            </w:r>
          </w:p>
        </w:tc>
      </w:tr>
      <w:tr w:rsidR="00000000" w14:paraId="0BCDC311" w14:textId="77777777">
        <w:trPr>
          <w:divId w:val="98525094"/>
          <w:trHeight w:val="225"/>
          <w:tblCellSpacing w:w="15" w:type="dxa"/>
        </w:trPr>
        <w:tc>
          <w:tcPr>
            <w:tcW w:w="0" w:type="auto"/>
            <w:shd w:val="clear" w:color="auto" w:fill="CCEEFF"/>
            <w:hideMark/>
          </w:tcPr>
          <w:p w14:paraId="6399E521" w14:textId="77777777" w:rsidR="00000000" w:rsidRDefault="00EB4933">
            <w:pPr>
              <w:pStyle w:val="NormalWeb"/>
              <w:spacing w:before="0" w:beforeAutospacing="0" w:after="0" w:afterAutospacing="0"/>
              <w:rPr>
                <w:sz w:val="20"/>
                <w:szCs w:val="20"/>
              </w:rPr>
            </w:pPr>
            <w:r>
              <w:rPr>
                <w:rStyle w:val="Strong"/>
                <w:sz w:val="20"/>
                <w:szCs w:val="20"/>
              </w:rPr>
              <w:t>Total operating costs and expenses</w:t>
            </w:r>
          </w:p>
        </w:tc>
        <w:tc>
          <w:tcPr>
            <w:tcW w:w="50" w:type="pct"/>
            <w:shd w:val="clear" w:color="auto" w:fill="CCEEFF"/>
            <w:noWrap/>
            <w:vAlign w:val="center"/>
            <w:hideMark/>
          </w:tcPr>
          <w:p w14:paraId="21F807D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51AFA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FCD6141" w14:textId="77777777" w:rsidR="00000000" w:rsidRDefault="00EB4933">
            <w:pPr>
              <w:jc w:val="right"/>
              <w:rPr>
                <w:rFonts w:eastAsia="Times New Roman"/>
                <w:sz w:val="20"/>
                <w:szCs w:val="20"/>
              </w:rPr>
            </w:pPr>
            <w:r>
              <w:rPr>
                <w:rFonts w:eastAsia="Times New Roman"/>
                <w:sz w:val="20"/>
                <w:szCs w:val="20"/>
              </w:rPr>
              <w:t>(29,858</w:t>
            </w:r>
          </w:p>
        </w:tc>
        <w:tc>
          <w:tcPr>
            <w:tcW w:w="50" w:type="pct"/>
            <w:shd w:val="clear" w:color="auto" w:fill="CCEEFF"/>
            <w:noWrap/>
            <w:vAlign w:val="bottom"/>
            <w:hideMark/>
          </w:tcPr>
          <w:p w14:paraId="7518D98B"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55EAF0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6D20A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18B0F64" w14:textId="77777777" w:rsidR="00000000" w:rsidRDefault="00EB4933">
            <w:pPr>
              <w:jc w:val="right"/>
              <w:rPr>
                <w:rFonts w:eastAsia="Times New Roman"/>
                <w:sz w:val="20"/>
                <w:szCs w:val="20"/>
              </w:rPr>
            </w:pPr>
            <w:r>
              <w:rPr>
                <w:rFonts w:eastAsia="Times New Roman"/>
                <w:sz w:val="20"/>
                <w:szCs w:val="20"/>
              </w:rPr>
              <w:t>(8,175</w:t>
            </w:r>
          </w:p>
        </w:tc>
        <w:tc>
          <w:tcPr>
            <w:tcW w:w="50" w:type="pct"/>
            <w:shd w:val="clear" w:color="auto" w:fill="CCEEFF"/>
            <w:noWrap/>
            <w:vAlign w:val="bottom"/>
            <w:hideMark/>
          </w:tcPr>
          <w:p w14:paraId="7EDA7645"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DF83A8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E9A0C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BC92544" w14:textId="77777777" w:rsidR="00000000" w:rsidRDefault="00EB4933">
            <w:pPr>
              <w:jc w:val="right"/>
              <w:rPr>
                <w:rFonts w:eastAsia="Times New Roman"/>
                <w:sz w:val="20"/>
                <w:szCs w:val="20"/>
              </w:rPr>
            </w:pPr>
            <w:r>
              <w:rPr>
                <w:rFonts w:eastAsia="Times New Roman"/>
                <w:sz w:val="20"/>
                <w:szCs w:val="20"/>
              </w:rPr>
              <w:t>(38,033</w:t>
            </w:r>
          </w:p>
        </w:tc>
        <w:tc>
          <w:tcPr>
            <w:tcW w:w="50" w:type="pct"/>
            <w:shd w:val="clear" w:color="auto" w:fill="CCEEFF"/>
            <w:noWrap/>
            <w:vAlign w:val="bottom"/>
            <w:hideMark/>
          </w:tcPr>
          <w:p w14:paraId="4EA78608" w14:textId="77777777" w:rsidR="00000000" w:rsidRDefault="00EB4933">
            <w:pPr>
              <w:rPr>
                <w:rFonts w:eastAsia="Times New Roman"/>
                <w:sz w:val="20"/>
                <w:szCs w:val="20"/>
              </w:rPr>
            </w:pPr>
            <w:r>
              <w:rPr>
                <w:rFonts w:eastAsia="Times New Roman"/>
                <w:sz w:val="20"/>
                <w:szCs w:val="20"/>
              </w:rPr>
              <w:t>)</w:t>
            </w:r>
          </w:p>
        </w:tc>
      </w:tr>
      <w:tr w:rsidR="00000000" w14:paraId="38AD8158" w14:textId="77777777">
        <w:trPr>
          <w:divId w:val="98525094"/>
          <w:trHeight w:val="225"/>
          <w:tblCellSpacing w:w="15" w:type="dxa"/>
        </w:trPr>
        <w:tc>
          <w:tcPr>
            <w:tcW w:w="0" w:type="auto"/>
            <w:shd w:val="clear" w:color="auto" w:fill="FFFFFF"/>
            <w:vAlign w:val="center"/>
            <w:hideMark/>
          </w:tcPr>
          <w:p w14:paraId="6FC114B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4419B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9ADFD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889FF9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1F1E7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DFC60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BD6A8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DAD021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3694B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F3C7D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47102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5444C3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2D9B59" w14:textId="77777777" w:rsidR="00000000" w:rsidRDefault="00EB4933">
            <w:pPr>
              <w:pStyle w:val="NormalWeb"/>
              <w:spacing w:before="0" w:beforeAutospacing="0" w:after="0" w:afterAutospacing="0"/>
              <w:rPr>
                <w:sz w:val="20"/>
                <w:szCs w:val="20"/>
              </w:rPr>
            </w:pPr>
            <w:r>
              <w:rPr>
                <w:sz w:val="20"/>
                <w:szCs w:val="20"/>
              </w:rPr>
              <w:t> </w:t>
            </w:r>
          </w:p>
        </w:tc>
      </w:tr>
      <w:tr w:rsidR="00000000" w14:paraId="3AC13723" w14:textId="77777777">
        <w:trPr>
          <w:divId w:val="98525094"/>
          <w:trHeight w:val="225"/>
          <w:tblCellSpacing w:w="15" w:type="dxa"/>
        </w:trPr>
        <w:tc>
          <w:tcPr>
            <w:tcW w:w="0" w:type="auto"/>
            <w:shd w:val="clear" w:color="auto" w:fill="CCEEFF"/>
            <w:hideMark/>
          </w:tcPr>
          <w:p w14:paraId="7347E8E7" w14:textId="77777777" w:rsidR="00000000" w:rsidRDefault="00EB4933">
            <w:pPr>
              <w:pStyle w:val="NormalWeb"/>
              <w:spacing w:before="0" w:beforeAutospacing="0" w:after="0" w:afterAutospacing="0"/>
              <w:rPr>
                <w:sz w:val="20"/>
                <w:szCs w:val="20"/>
              </w:rPr>
            </w:pPr>
            <w:r>
              <w:rPr>
                <w:sz w:val="20"/>
                <w:szCs w:val="20"/>
              </w:rPr>
              <w:t>Profit before income taxes (notes 30.1 and 30.2)</w:t>
            </w:r>
          </w:p>
        </w:tc>
        <w:tc>
          <w:tcPr>
            <w:tcW w:w="50" w:type="pct"/>
            <w:shd w:val="clear" w:color="auto" w:fill="CCEEFF"/>
            <w:noWrap/>
            <w:vAlign w:val="center"/>
            <w:hideMark/>
          </w:tcPr>
          <w:p w14:paraId="28BEE14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D42D7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FE1FB11" w14:textId="77777777" w:rsidR="00000000" w:rsidRDefault="00EB4933">
            <w:pPr>
              <w:jc w:val="right"/>
              <w:rPr>
                <w:rFonts w:eastAsia="Times New Roman"/>
                <w:sz w:val="20"/>
                <w:szCs w:val="20"/>
              </w:rPr>
            </w:pPr>
            <w:r>
              <w:rPr>
                <w:rFonts w:eastAsia="Times New Roman"/>
                <w:sz w:val="20"/>
                <w:szCs w:val="20"/>
              </w:rPr>
              <w:t>48,202</w:t>
            </w:r>
          </w:p>
        </w:tc>
        <w:tc>
          <w:tcPr>
            <w:tcW w:w="50" w:type="pct"/>
            <w:shd w:val="clear" w:color="auto" w:fill="CCEEFF"/>
            <w:noWrap/>
            <w:vAlign w:val="center"/>
            <w:hideMark/>
          </w:tcPr>
          <w:p w14:paraId="6B6968C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E6986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72758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4136D0C" w14:textId="77777777" w:rsidR="00000000" w:rsidRDefault="00EB4933">
            <w:pPr>
              <w:jc w:val="right"/>
              <w:rPr>
                <w:rFonts w:eastAsia="Times New Roman"/>
                <w:sz w:val="20"/>
                <w:szCs w:val="20"/>
              </w:rPr>
            </w:pPr>
            <w:r>
              <w:rPr>
                <w:rFonts w:eastAsia="Times New Roman"/>
                <w:sz w:val="20"/>
                <w:szCs w:val="20"/>
              </w:rPr>
              <w:t>(3,826</w:t>
            </w:r>
          </w:p>
        </w:tc>
        <w:tc>
          <w:tcPr>
            <w:tcW w:w="50" w:type="pct"/>
            <w:shd w:val="clear" w:color="auto" w:fill="CCEEFF"/>
            <w:noWrap/>
            <w:vAlign w:val="bottom"/>
            <w:hideMark/>
          </w:tcPr>
          <w:p w14:paraId="084B3742"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893A6E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76FA8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6751A1A" w14:textId="77777777" w:rsidR="00000000" w:rsidRDefault="00EB4933">
            <w:pPr>
              <w:jc w:val="right"/>
              <w:rPr>
                <w:rFonts w:eastAsia="Times New Roman"/>
                <w:sz w:val="20"/>
                <w:szCs w:val="20"/>
              </w:rPr>
            </w:pPr>
            <w:r>
              <w:rPr>
                <w:rFonts w:eastAsia="Times New Roman"/>
                <w:sz w:val="20"/>
                <w:szCs w:val="20"/>
              </w:rPr>
              <w:t>44,376</w:t>
            </w:r>
          </w:p>
        </w:tc>
        <w:tc>
          <w:tcPr>
            <w:tcW w:w="50" w:type="pct"/>
            <w:shd w:val="clear" w:color="auto" w:fill="CCEEFF"/>
            <w:noWrap/>
            <w:vAlign w:val="center"/>
            <w:hideMark/>
          </w:tcPr>
          <w:p w14:paraId="35773F39" w14:textId="77777777" w:rsidR="00000000" w:rsidRDefault="00EB4933">
            <w:pPr>
              <w:pStyle w:val="NormalWeb"/>
              <w:spacing w:before="0" w:beforeAutospacing="0" w:after="0" w:afterAutospacing="0"/>
              <w:rPr>
                <w:sz w:val="20"/>
                <w:szCs w:val="20"/>
              </w:rPr>
            </w:pPr>
            <w:r>
              <w:rPr>
                <w:sz w:val="20"/>
                <w:szCs w:val="20"/>
              </w:rPr>
              <w:t> </w:t>
            </w:r>
          </w:p>
        </w:tc>
      </w:tr>
      <w:tr w:rsidR="00000000" w14:paraId="142506E4" w14:textId="77777777">
        <w:trPr>
          <w:divId w:val="98525094"/>
          <w:trHeight w:val="225"/>
          <w:tblCellSpacing w:w="15" w:type="dxa"/>
        </w:trPr>
        <w:tc>
          <w:tcPr>
            <w:tcW w:w="0" w:type="auto"/>
            <w:shd w:val="clear" w:color="auto" w:fill="FFFFFF"/>
            <w:hideMark/>
          </w:tcPr>
          <w:p w14:paraId="216D13DB" w14:textId="77777777" w:rsidR="00000000" w:rsidRDefault="00EB4933">
            <w:pPr>
              <w:pStyle w:val="NormalWeb"/>
              <w:spacing w:before="0" w:beforeAutospacing="0" w:after="0" w:afterAutospacing="0"/>
              <w:rPr>
                <w:sz w:val="20"/>
                <w:szCs w:val="20"/>
              </w:rPr>
            </w:pPr>
            <w:r>
              <w:rPr>
                <w:sz w:val="20"/>
                <w:szCs w:val="20"/>
              </w:rPr>
              <w:t>Income tax expense (notes 30.3 and 30.4)</w:t>
            </w:r>
          </w:p>
        </w:tc>
        <w:tc>
          <w:tcPr>
            <w:tcW w:w="50" w:type="pct"/>
            <w:shd w:val="clear" w:color="auto" w:fill="FFFFFF"/>
            <w:noWrap/>
            <w:vAlign w:val="center"/>
            <w:hideMark/>
          </w:tcPr>
          <w:p w14:paraId="709F7FB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1F464E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7D0CE43" w14:textId="77777777" w:rsidR="00000000" w:rsidRDefault="00EB4933">
            <w:pPr>
              <w:jc w:val="right"/>
              <w:rPr>
                <w:rFonts w:eastAsia="Times New Roman"/>
                <w:sz w:val="20"/>
                <w:szCs w:val="20"/>
              </w:rPr>
            </w:pPr>
            <w:r>
              <w:rPr>
                <w:rFonts w:eastAsia="Times New Roman"/>
                <w:sz w:val="20"/>
                <w:szCs w:val="20"/>
              </w:rPr>
              <w:t>(14,636</w:t>
            </w:r>
          </w:p>
        </w:tc>
        <w:tc>
          <w:tcPr>
            <w:tcW w:w="50" w:type="pct"/>
            <w:shd w:val="clear" w:color="auto" w:fill="FFFFFF"/>
            <w:noWrap/>
            <w:tcMar>
              <w:top w:w="0" w:type="dxa"/>
              <w:left w:w="0" w:type="dxa"/>
              <w:bottom w:w="15" w:type="dxa"/>
              <w:right w:w="0" w:type="dxa"/>
            </w:tcMar>
            <w:vAlign w:val="bottom"/>
            <w:hideMark/>
          </w:tcPr>
          <w:p w14:paraId="7085A4F9"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216CCF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FC2A20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8CE04FC" w14:textId="77777777" w:rsidR="00000000" w:rsidRDefault="00EB4933">
            <w:pPr>
              <w:jc w:val="right"/>
              <w:rPr>
                <w:rFonts w:eastAsia="Times New Roman"/>
                <w:sz w:val="20"/>
                <w:szCs w:val="20"/>
              </w:rPr>
            </w:pPr>
            <w:r>
              <w:rPr>
                <w:rFonts w:eastAsia="Times New Roman"/>
                <w:sz w:val="20"/>
                <w:szCs w:val="20"/>
              </w:rPr>
              <w:t>(914</w:t>
            </w:r>
          </w:p>
        </w:tc>
        <w:tc>
          <w:tcPr>
            <w:tcW w:w="50" w:type="pct"/>
            <w:shd w:val="clear" w:color="auto" w:fill="FFFFFF"/>
            <w:noWrap/>
            <w:tcMar>
              <w:top w:w="0" w:type="dxa"/>
              <w:left w:w="0" w:type="dxa"/>
              <w:bottom w:w="15" w:type="dxa"/>
              <w:right w:w="0" w:type="dxa"/>
            </w:tcMar>
            <w:vAlign w:val="bottom"/>
            <w:hideMark/>
          </w:tcPr>
          <w:p w14:paraId="12A224B8"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167735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8C0E24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AB528BE" w14:textId="77777777" w:rsidR="00000000" w:rsidRDefault="00EB4933">
            <w:pPr>
              <w:jc w:val="right"/>
              <w:rPr>
                <w:rFonts w:eastAsia="Times New Roman"/>
                <w:sz w:val="20"/>
                <w:szCs w:val="20"/>
              </w:rPr>
            </w:pPr>
            <w:r>
              <w:rPr>
                <w:rFonts w:eastAsia="Times New Roman"/>
                <w:sz w:val="20"/>
                <w:szCs w:val="20"/>
              </w:rPr>
              <w:t>(15,550</w:t>
            </w:r>
          </w:p>
        </w:tc>
        <w:tc>
          <w:tcPr>
            <w:tcW w:w="50" w:type="pct"/>
            <w:shd w:val="clear" w:color="auto" w:fill="FFFFFF"/>
            <w:noWrap/>
            <w:tcMar>
              <w:top w:w="0" w:type="dxa"/>
              <w:left w:w="0" w:type="dxa"/>
              <w:bottom w:w="15" w:type="dxa"/>
              <w:right w:w="0" w:type="dxa"/>
            </w:tcMar>
            <w:vAlign w:val="bottom"/>
            <w:hideMark/>
          </w:tcPr>
          <w:p w14:paraId="62E8B2ED" w14:textId="77777777" w:rsidR="00000000" w:rsidRDefault="00EB4933">
            <w:pPr>
              <w:rPr>
                <w:rFonts w:eastAsia="Times New Roman"/>
                <w:sz w:val="20"/>
                <w:szCs w:val="20"/>
              </w:rPr>
            </w:pPr>
            <w:r>
              <w:rPr>
                <w:rFonts w:eastAsia="Times New Roman"/>
                <w:sz w:val="20"/>
                <w:szCs w:val="20"/>
              </w:rPr>
              <w:t>)</w:t>
            </w:r>
          </w:p>
        </w:tc>
      </w:tr>
      <w:tr w:rsidR="00000000" w14:paraId="0415BCC6" w14:textId="77777777">
        <w:trPr>
          <w:divId w:val="98525094"/>
          <w:trHeight w:val="225"/>
          <w:tblCellSpacing w:w="15" w:type="dxa"/>
        </w:trPr>
        <w:tc>
          <w:tcPr>
            <w:tcW w:w="0" w:type="auto"/>
            <w:shd w:val="clear" w:color="auto" w:fill="CCEEFF"/>
            <w:hideMark/>
          </w:tcPr>
          <w:p w14:paraId="6B8615AB" w14:textId="77777777" w:rsidR="00000000" w:rsidRDefault="00EB4933">
            <w:pPr>
              <w:pStyle w:val="NormalWeb"/>
              <w:spacing w:before="0" w:beforeAutospacing="0" w:after="0" w:afterAutospacing="0"/>
              <w:rPr>
                <w:sz w:val="20"/>
                <w:szCs w:val="20"/>
              </w:rPr>
            </w:pPr>
            <w:r>
              <w:rPr>
                <w:sz w:val="20"/>
                <w:szCs w:val="20"/>
              </w:rPr>
              <w:t>Net profit</w:t>
            </w:r>
          </w:p>
        </w:tc>
        <w:tc>
          <w:tcPr>
            <w:tcW w:w="50" w:type="pct"/>
            <w:shd w:val="clear" w:color="auto" w:fill="CCEEFF"/>
            <w:noWrap/>
            <w:vAlign w:val="center"/>
            <w:hideMark/>
          </w:tcPr>
          <w:p w14:paraId="11FA2DD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5BD808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11F87258" w14:textId="77777777" w:rsidR="00000000" w:rsidRDefault="00EB4933">
            <w:pPr>
              <w:jc w:val="right"/>
              <w:rPr>
                <w:rFonts w:eastAsia="Times New Roman"/>
                <w:sz w:val="20"/>
                <w:szCs w:val="20"/>
              </w:rPr>
            </w:pPr>
            <w:r>
              <w:rPr>
                <w:rFonts w:eastAsia="Times New Roman"/>
                <w:sz w:val="20"/>
                <w:szCs w:val="20"/>
              </w:rPr>
              <w:t>33,566</w:t>
            </w:r>
          </w:p>
        </w:tc>
        <w:tc>
          <w:tcPr>
            <w:tcW w:w="50" w:type="pct"/>
            <w:shd w:val="clear" w:color="auto" w:fill="CCEEFF"/>
            <w:noWrap/>
            <w:tcMar>
              <w:top w:w="0" w:type="dxa"/>
              <w:left w:w="0" w:type="dxa"/>
              <w:bottom w:w="45" w:type="dxa"/>
              <w:right w:w="0" w:type="dxa"/>
            </w:tcMar>
            <w:vAlign w:val="center"/>
            <w:hideMark/>
          </w:tcPr>
          <w:p w14:paraId="03474F6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BD9CB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232468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1DC90B1B" w14:textId="77777777" w:rsidR="00000000" w:rsidRDefault="00EB4933">
            <w:pPr>
              <w:jc w:val="right"/>
              <w:rPr>
                <w:rFonts w:eastAsia="Times New Roman"/>
                <w:sz w:val="20"/>
                <w:szCs w:val="20"/>
              </w:rPr>
            </w:pPr>
            <w:r>
              <w:rPr>
                <w:rFonts w:eastAsia="Times New Roman"/>
                <w:sz w:val="20"/>
                <w:szCs w:val="20"/>
              </w:rPr>
              <w:t>(4,740</w:t>
            </w:r>
          </w:p>
        </w:tc>
        <w:tc>
          <w:tcPr>
            <w:tcW w:w="50" w:type="pct"/>
            <w:shd w:val="clear" w:color="auto" w:fill="CCEEFF"/>
            <w:noWrap/>
            <w:tcMar>
              <w:top w:w="0" w:type="dxa"/>
              <w:left w:w="0" w:type="dxa"/>
              <w:bottom w:w="45" w:type="dxa"/>
              <w:right w:w="0" w:type="dxa"/>
            </w:tcMar>
            <w:vAlign w:val="bottom"/>
            <w:hideMark/>
          </w:tcPr>
          <w:p w14:paraId="44BBBEA9"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18E278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58FEAA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2D298C31" w14:textId="77777777" w:rsidR="00000000" w:rsidRDefault="00EB4933">
            <w:pPr>
              <w:jc w:val="right"/>
              <w:rPr>
                <w:rFonts w:eastAsia="Times New Roman"/>
                <w:sz w:val="20"/>
                <w:szCs w:val="20"/>
              </w:rPr>
            </w:pPr>
            <w:r>
              <w:rPr>
                <w:rFonts w:eastAsia="Times New Roman"/>
                <w:sz w:val="20"/>
                <w:szCs w:val="20"/>
              </w:rPr>
              <w:t>28,826</w:t>
            </w:r>
          </w:p>
        </w:tc>
        <w:tc>
          <w:tcPr>
            <w:tcW w:w="50" w:type="pct"/>
            <w:shd w:val="clear" w:color="auto" w:fill="CCEEFF"/>
            <w:noWrap/>
            <w:tcMar>
              <w:top w:w="0" w:type="dxa"/>
              <w:left w:w="0" w:type="dxa"/>
              <w:bottom w:w="45" w:type="dxa"/>
              <w:right w:w="0" w:type="dxa"/>
            </w:tcMar>
            <w:vAlign w:val="center"/>
            <w:hideMark/>
          </w:tcPr>
          <w:p w14:paraId="2DF3FBF5" w14:textId="77777777" w:rsidR="00000000" w:rsidRDefault="00EB4933">
            <w:pPr>
              <w:pStyle w:val="NormalWeb"/>
              <w:spacing w:before="0" w:beforeAutospacing="0" w:after="0" w:afterAutospacing="0"/>
              <w:rPr>
                <w:sz w:val="20"/>
                <w:szCs w:val="20"/>
              </w:rPr>
            </w:pPr>
            <w:r>
              <w:rPr>
                <w:sz w:val="20"/>
                <w:szCs w:val="20"/>
              </w:rPr>
              <w:t> </w:t>
            </w:r>
          </w:p>
        </w:tc>
      </w:tr>
      <w:tr w:rsidR="00000000" w14:paraId="321C4CA7" w14:textId="77777777">
        <w:trPr>
          <w:divId w:val="98525094"/>
          <w:trHeight w:val="225"/>
          <w:tblCellSpacing w:w="15" w:type="dxa"/>
        </w:trPr>
        <w:tc>
          <w:tcPr>
            <w:tcW w:w="0" w:type="auto"/>
            <w:shd w:val="clear" w:color="auto" w:fill="FFFFFF"/>
            <w:hideMark/>
          </w:tcPr>
          <w:p w14:paraId="50F7B871" w14:textId="77777777" w:rsidR="00000000" w:rsidRDefault="00EB4933">
            <w:pPr>
              <w:pStyle w:val="NormalWeb"/>
              <w:spacing w:before="0" w:beforeAutospacing="0" w:after="0" w:afterAutospacing="0"/>
              <w:rPr>
                <w:sz w:val="20"/>
                <w:szCs w:val="20"/>
              </w:rPr>
            </w:pPr>
            <w:r>
              <w:rPr>
                <w:sz w:val="20"/>
                <w:szCs w:val="20"/>
              </w:rPr>
              <w:t>Basic and diluted earnings per share (note 30.5)</w:t>
            </w:r>
          </w:p>
        </w:tc>
        <w:tc>
          <w:tcPr>
            <w:tcW w:w="50" w:type="pct"/>
            <w:shd w:val="clear" w:color="auto" w:fill="FFFFFF"/>
            <w:noWrap/>
            <w:vAlign w:val="center"/>
            <w:hideMark/>
          </w:tcPr>
          <w:p w14:paraId="4A6BAFF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2049E28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4D8357EA" w14:textId="77777777" w:rsidR="00000000" w:rsidRDefault="00EB4933">
            <w:pPr>
              <w:jc w:val="right"/>
              <w:rPr>
                <w:rFonts w:eastAsia="Times New Roman"/>
                <w:sz w:val="20"/>
                <w:szCs w:val="20"/>
              </w:rPr>
            </w:pPr>
            <w:r>
              <w:rPr>
                <w:rFonts w:eastAsia="Times New Roman"/>
                <w:sz w:val="20"/>
                <w:szCs w:val="20"/>
              </w:rPr>
              <w:t>0.14</w:t>
            </w:r>
          </w:p>
        </w:tc>
        <w:tc>
          <w:tcPr>
            <w:tcW w:w="50" w:type="pct"/>
            <w:shd w:val="clear" w:color="auto" w:fill="FFFFFF"/>
            <w:noWrap/>
            <w:tcMar>
              <w:top w:w="0" w:type="dxa"/>
              <w:left w:w="0" w:type="dxa"/>
              <w:bottom w:w="45" w:type="dxa"/>
              <w:right w:w="0" w:type="dxa"/>
            </w:tcMar>
            <w:vAlign w:val="center"/>
            <w:hideMark/>
          </w:tcPr>
          <w:p w14:paraId="42D078C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B77E0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6469E04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4CCDDD8E" w14:textId="77777777" w:rsidR="00000000" w:rsidRDefault="00EB4933">
            <w:pPr>
              <w:jc w:val="right"/>
              <w:rPr>
                <w:rFonts w:eastAsia="Times New Roman"/>
                <w:sz w:val="20"/>
                <w:szCs w:val="20"/>
              </w:rPr>
            </w:pPr>
            <w:r>
              <w:rPr>
                <w:rFonts w:eastAsia="Times New Roman"/>
                <w:sz w:val="20"/>
                <w:szCs w:val="20"/>
              </w:rPr>
              <w:t>(0.04</w:t>
            </w:r>
          </w:p>
        </w:tc>
        <w:tc>
          <w:tcPr>
            <w:tcW w:w="50" w:type="pct"/>
            <w:shd w:val="clear" w:color="auto" w:fill="FFFFFF"/>
            <w:noWrap/>
            <w:tcMar>
              <w:top w:w="0" w:type="dxa"/>
              <w:left w:w="0" w:type="dxa"/>
              <w:bottom w:w="45" w:type="dxa"/>
              <w:right w:w="0" w:type="dxa"/>
            </w:tcMar>
            <w:vAlign w:val="bottom"/>
            <w:hideMark/>
          </w:tcPr>
          <w:p w14:paraId="10B981A8"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7AFC12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C92CF8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7319696" w14:textId="77777777" w:rsidR="00000000" w:rsidRDefault="00EB4933">
            <w:pPr>
              <w:jc w:val="right"/>
              <w:rPr>
                <w:rFonts w:eastAsia="Times New Roman"/>
                <w:sz w:val="20"/>
                <w:szCs w:val="20"/>
              </w:rPr>
            </w:pPr>
            <w:r>
              <w:rPr>
                <w:rFonts w:eastAsia="Times New Roman"/>
                <w:sz w:val="20"/>
                <w:szCs w:val="20"/>
              </w:rPr>
              <w:t>0.10</w:t>
            </w:r>
          </w:p>
        </w:tc>
        <w:tc>
          <w:tcPr>
            <w:tcW w:w="50" w:type="pct"/>
            <w:shd w:val="clear" w:color="auto" w:fill="FFFFFF"/>
            <w:noWrap/>
            <w:tcMar>
              <w:top w:w="0" w:type="dxa"/>
              <w:left w:w="0" w:type="dxa"/>
              <w:bottom w:w="15" w:type="dxa"/>
              <w:right w:w="0" w:type="dxa"/>
            </w:tcMar>
            <w:vAlign w:val="center"/>
            <w:hideMark/>
          </w:tcPr>
          <w:p w14:paraId="246AD93A" w14:textId="77777777" w:rsidR="00000000" w:rsidRDefault="00EB4933">
            <w:pPr>
              <w:pStyle w:val="NormalWeb"/>
              <w:spacing w:before="0" w:beforeAutospacing="0" w:after="0" w:afterAutospacing="0"/>
              <w:rPr>
                <w:sz w:val="20"/>
                <w:szCs w:val="20"/>
              </w:rPr>
            </w:pPr>
            <w:r>
              <w:rPr>
                <w:sz w:val="20"/>
                <w:szCs w:val="20"/>
              </w:rPr>
              <w:t> </w:t>
            </w:r>
          </w:p>
        </w:tc>
      </w:tr>
    </w:tbl>
    <w:p w14:paraId="02B5808F"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5179F0B" w14:textId="77777777">
        <w:trPr>
          <w:divId w:val="98525094"/>
          <w:trHeight w:val="225"/>
          <w:tblCellSpacing w:w="15" w:type="dxa"/>
        </w:trPr>
        <w:tc>
          <w:tcPr>
            <w:tcW w:w="0" w:type="auto"/>
            <w:vAlign w:val="center"/>
            <w:hideMark/>
          </w:tcPr>
          <w:p w14:paraId="081191EB" w14:textId="77777777" w:rsidR="00000000" w:rsidRDefault="00EB4933">
            <w:pPr>
              <w:rPr>
                <w:rFonts w:eastAsia="Times New Roman"/>
                <w:sz w:val="20"/>
                <w:szCs w:val="20"/>
              </w:rPr>
            </w:pPr>
            <w:r>
              <w:rPr>
                <w:rFonts w:eastAsia="Times New Roman"/>
                <w:sz w:val="20"/>
                <w:szCs w:val="20"/>
              </w:rPr>
              <w:t> </w:t>
            </w:r>
          </w:p>
        </w:tc>
      </w:tr>
      <w:tr w:rsidR="00000000" w14:paraId="4636CD14" w14:textId="77777777">
        <w:trPr>
          <w:divId w:val="98525094"/>
          <w:trHeight w:val="225"/>
          <w:tblCellSpacing w:w="15" w:type="dxa"/>
        </w:trPr>
        <w:tc>
          <w:tcPr>
            <w:tcW w:w="0" w:type="auto"/>
            <w:tcBorders>
              <w:bottom w:val="single" w:sz="6" w:space="0" w:color="000000"/>
            </w:tcBorders>
            <w:vAlign w:val="center"/>
            <w:hideMark/>
          </w:tcPr>
          <w:p w14:paraId="163D3C16" w14:textId="77777777" w:rsidR="00000000" w:rsidRDefault="00EB4933">
            <w:pPr>
              <w:jc w:val="center"/>
              <w:rPr>
                <w:rFonts w:eastAsia="Times New Roman"/>
                <w:sz w:val="20"/>
                <w:szCs w:val="20"/>
              </w:rPr>
            </w:pPr>
            <w:r>
              <w:rPr>
                <w:rFonts w:eastAsia="Times New Roman"/>
                <w:sz w:val="20"/>
                <w:szCs w:val="20"/>
              </w:rPr>
              <w:t>F-72</w:t>
            </w:r>
          </w:p>
        </w:tc>
      </w:tr>
      <w:tr w:rsidR="00000000" w14:paraId="5483CAB4" w14:textId="77777777">
        <w:trPr>
          <w:divId w:val="98525094"/>
          <w:trHeight w:val="225"/>
          <w:tblCellSpacing w:w="15" w:type="dxa"/>
        </w:trPr>
        <w:tc>
          <w:tcPr>
            <w:tcW w:w="0" w:type="auto"/>
            <w:vAlign w:val="center"/>
            <w:hideMark/>
          </w:tcPr>
          <w:p w14:paraId="3F66597C" w14:textId="77777777" w:rsidR="00000000" w:rsidRDefault="00EB4933">
            <w:pPr>
              <w:rPr>
                <w:rFonts w:eastAsia="Times New Roman"/>
                <w:sz w:val="20"/>
                <w:szCs w:val="20"/>
              </w:rPr>
            </w:pPr>
          </w:p>
        </w:tc>
      </w:tr>
      <w:tr w:rsidR="00000000" w14:paraId="414C9528" w14:textId="77777777">
        <w:trPr>
          <w:divId w:val="98525094"/>
          <w:trHeight w:val="225"/>
          <w:tblCellSpacing w:w="15" w:type="dxa"/>
        </w:trPr>
        <w:tc>
          <w:tcPr>
            <w:tcW w:w="0" w:type="auto"/>
            <w:vAlign w:val="center"/>
            <w:hideMark/>
          </w:tcPr>
          <w:p w14:paraId="5F04415E" w14:textId="77777777" w:rsidR="00000000" w:rsidRDefault="00EB4933">
            <w:pPr>
              <w:rPr>
                <w:rFonts w:eastAsia="Times New Roman"/>
                <w:sz w:val="20"/>
                <w:szCs w:val="20"/>
              </w:rPr>
            </w:pPr>
            <w:hyperlink r:id="rId289" w:anchor="finindex" w:history="1">
              <w:r>
                <w:rPr>
                  <w:rStyle w:val="Hyperlink"/>
                  <w:rFonts w:eastAsia="Times New Roman"/>
                  <w:i/>
                  <w:iCs/>
                  <w:sz w:val="20"/>
                  <w:szCs w:val="20"/>
                </w:rPr>
                <w:t>Table of Contents</w:t>
              </w:r>
            </w:hyperlink>
          </w:p>
        </w:tc>
      </w:tr>
    </w:tbl>
    <w:p w14:paraId="3202E97D"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34C41E9A"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62D6CAA4"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6528E778"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FOR THE FINANCIAL YEAR ENDED 2017, 2018 AND 2019 </w:t>
      </w:r>
    </w:p>
    <w:p w14:paraId="6D44C407"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02212DCB" w14:textId="77777777" w:rsidR="00000000" w:rsidRDefault="00EB4933">
      <w:pPr>
        <w:pStyle w:val="NormalWeb"/>
        <w:spacing w:before="0" w:beforeAutospacing="0" w:after="0" w:afterAutospacing="0"/>
        <w:jc w:val="both"/>
        <w:divId w:val="98525094"/>
        <w:rPr>
          <w:sz w:val="20"/>
          <w:szCs w:val="20"/>
        </w:rPr>
      </w:pPr>
      <w:r>
        <w:rPr>
          <w:rStyle w:val="Strong"/>
          <w:sz w:val="20"/>
          <w:szCs w:val="20"/>
        </w:rPr>
        <w:t>30. Correction of errors - continued</w:t>
      </w:r>
    </w:p>
    <w:p w14:paraId="4DE671ED"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  </w:t>
      </w:r>
    </w:p>
    <w:tbl>
      <w:tblPr>
        <w:tblW w:w="4600" w:type="pct"/>
        <w:tblCellSpacing w:w="15" w:type="dxa"/>
        <w:tblCellMar>
          <w:left w:w="0" w:type="dxa"/>
          <w:right w:w="0" w:type="dxa"/>
        </w:tblCellMar>
        <w:tblLook w:val="04A0" w:firstRow="1" w:lastRow="0" w:firstColumn="1" w:lastColumn="0" w:noHBand="0" w:noVBand="1"/>
      </w:tblPr>
      <w:tblGrid>
        <w:gridCol w:w="4173"/>
        <w:gridCol w:w="87"/>
        <w:gridCol w:w="116"/>
        <w:gridCol w:w="803"/>
        <w:gridCol w:w="88"/>
        <w:gridCol w:w="88"/>
        <w:gridCol w:w="136"/>
        <w:gridCol w:w="983"/>
        <w:gridCol w:w="97"/>
        <w:gridCol w:w="82"/>
        <w:gridCol w:w="109"/>
        <w:gridCol w:w="734"/>
        <w:gridCol w:w="97"/>
        <w:gridCol w:w="80"/>
        <w:gridCol w:w="109"/>
        <w:gridCol w:w="734"/>
        <w:gridCol w:w="95"/>
      </w:tblGrid>
      <w:tr w:rsidR="00000000" w14:paraId="1EB757E3" w14:textId="77777777">
        <w:trPr>
          <w:divId w:val="98525094"/>
          <w:trHeight w:val="225"/>
          <w:tblCellSpacing w:w="15" w:type="dxa"/>
        </w:trPr>
        <w:tc>
          <w:tcPr>
            <w:tcW w:w="0" w:type="auto"/>
            <w:vAlign w:val="bottom"/>
            <w:hideMark/>
          </w:tcPr>
          <w:p w14:paraId="1CAD7F3F" w14:textId="77777777" w:rsidR="00000000" w:rsidRDefault="00EB4933">
            <w:pPr>
              <w:pStyle w:val="NormalWeb"/>
              <w:spacing w:before="0" w:beforeAutospacing="0" w:after="0" w:afterAutospacing="0"/>
              <w:rPr>
                <w:sz w:val="20"/>
                <w:szCs w:val="20"/>
              </w:rPr>
            </w:pPr>
            <w:r>
              <w:rPr>
                <w:rStyle w:val="Strong"/>
                <w:sz w:val="20"/>
                <w:szCs w:val="20"/>
              </w:rPr>
              <w:t>Balance sheet (extract)</w:t>
            </w:r>
          </w:p>
        </w:tc>
        <w:tc>
          <w:tcPr>
            <w:tcW w:w="0" w:type="auto"/>
            <w:noWrap/>
            <w:vAlign w:val="center"/>
            <w:hideMark/>
          </w:tcPr>
          <w:p w14:paraId="46F75ED1"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14"/>
            <w:tcBorders>
              <w:bottom w:val="single" w:sz="6" w:space="0" w:color="auto"/>
            </w:tcBorders>
            <w:vAlign w:val="bottom"/>
            <w:hideMark/>
          </w:tcPr>
          <w:p w14:paraId="1AFD43FB" w14:textId="77777777" w:rsidR="00000000" w:rsidRDefault="00EB4933">
            <w:pPr>
              <w:pStyle w:val="NormalWeb"/>
              <w:spacing w:before="0" w:beforeAutospacing="0" w:after="0" w:afterAutospacing="0"/>
              <w:jc w:val="center"/>
              <w:rPr>
                <w:sz w:val="20"/>
                <w:szCs w:val="20"/>
              </w:rPr>
            </w:pPr>
            <w:r>
              <w:rPr>
                <w:rStyle w:val="Strong"/>
                <w:sz w:val="20"/>
                <w:szCs w:val="20"/>
              </w:rPr>
              <w:t>As of December 31, 2017</w:t>
            </w:r>
          </w:p>
        </w:tc>
        <w:tc>
          <w:tcPr>
            <w:tcW w:w="0" w:type="auto"/>
            <w:noWrap/>
            <w:vAlign w:val="center"/>
            <w:hideMark/>
          </w:tcPr>
          <w:p w14:paraId="0125B5AD" w14:textId="77777777" w:rsidR="00000000" w:rsidRDefault="00EB4933">
            <w:pPr>
              <w:pStyle w:val="NormalWeb"/>
              <w:spacing w:before="0" w:beforeAutospacing="0" w:after="0" w:afterAutospacing="0"/>
              <w:rPr>
                <w:sz w:val="20"/>
                <w:szCs w:val="20"/>
              </w:rPr>
            </w:pPr>
            <w:r>
              <w:rPr>
                <w:sz w:val="20"/>
                <w:szCs w:val="20"/>
              </w:rPr>
              <w:t> </w:t>
            </w:r>
          </w:p>
        </w:tc>
      </w:tr>
      <w:tr w:rsidR="00000000" w14:paraId="52A5E578" w14:textId="77777777">
        <w:trPr>
          <w:divId w:val="98525094"/>
          <w:trHeight w:val="225"/>
          <w:tblCellSpacing w:w="15" w:type="dxa"/>
        </w:trPr>
        <w:tc>
          <w:tcPr>
            <w:tcW w:w="0" w:type="auto"/>
            <w:vAlign w:val="center"/>
            <w:hideMark/>
          </w:tcPr>
          <w:p w14:paraId="7AB34F1E"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BEF2B5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15DBCEF" w14:textId="77777777" w:rsidR="00000000" w:rsidRDefault="00EB4933">
            <w:pPr>
              <w:rPr>
                <w:sz w:val="20"/>
                <w:szCs w:val="20"/>
              </w:rPr>
            </w:pPr>
          </w:p>
        </w:tc>
        <w:tc>
          <w:tcPr>
            <w:tcW w:w="0" w:type="auto"/>
            <w:noWrap/>
            <w:vAlign w:val="center"/>
            <w:hideMark/>
          </w:tcPr>
          <w:p w14:paraId="7425F5FC"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F5ACA9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000000"/>
            </w:tcBorders>
            <w:vAlign w:val="bottom"/>
            <w:hideMark/>
          </w:tcPr>
          <w:p w14:paraId="091B016A" w14:textId="77777777" w:rsidR="00000000" w:rsidRDefault="00EB4933">
            <w:pPr>
              <w:pStyle w:val="NormalWeb"/>
              <w:spacing w:before="0" w:beforeAutospacing="0" w:after="0" w:afterAutospacing="0"/>
              <w:jc w:val="center"/>
              <w:rPr>
                <w:sz w:val="20"/>
                <w:szCs w:val="20"/>
              </w:rPr>
            </w:pPr>
            <w:r>
              <w:rPr>
                <w:rStyle w:val="Strong"/>
                <w:sz w:val="20"/>
                <w:szCs w:val="20"/>
              </w:rPr>
              <w:t>Restatement Adjustments</w:t>
            </w:r>
          </w:p>
        </w:tc>
        <w:tc>
          <w:tcPr>
            <w:tcW w:w="0" w:type="auto"/>
            <w:noWrap/>
            <w:vAlign w:val="center"/>
            <w:hideMark/>
          </w:tcPr>
          <w:p w14:paraId="6C11EB0A"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672CCEE"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7D2C8852" w14:textId="77777777" w:rsidR="00000000" w:rsidRDefault="00EB4933">
            <w:pPr>
              <w:rPr>
                <w:sz w:val="20"/>
                <w:szCs w:val="20"/>
              </w:rPr>
            </w:pPr>
          </w:p>
        </w:tc>
        <w:tc>
          <w:tcPr>
            <w:tcW w:w="0" w:type="auto"/>
            <w:noWrap/>
            <w:vAlign w:val="center"/>
            <w:hideMark/>
          </w:tcPr>
          <w:p w14:paraId="3076A508" w14:textId="77777777" w:rsidR="00000000" w:rsidRDefault="00EB4933">
            <w:pPr>
              <w:pStyle w:val="NormalWeb"/>
              <w:spacing w:before="0" w:beforeAutospacing="0" w:after="0" w:afterAutospacing="0"/>
              <w:rPr>
                <w:sz w:val="20"/>
                <w:szCs w:val="20"/>
              </w:rPr>
            </w:pPr>
            <w:r>
              <w:rPr>
                <w:sz w:val="20"/>
                <w:szCs w:val="20"/>
              </w:rPr>
              <w:t> </w:t>
            </w:r>
          </w:p>
        </w:tc>
      </w:tr>
      <w:tr w:rsidR="00000000" w14:paraId="14FE1B2D" w14:textId="77777777">
        <w:trPr>
          <w:divId w:val="98525094"/>
          <w:trHeight w:val="225"/>
          <w:tblCellSpacing w:w="15" w:type="dxa"/>
        </w:trPr>
        <w:tc>
          <w:tcPr>
            <w:tcW w:w="0" w:type="auto"/>
            <w:vAlign w:val="center"/>
            <w:hideMark/>
          </w:tcPr>
          <w:p w14:paraId="416103F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1E1C644"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D7FE6A3" w14:textId="77777777" w:rsidR="00000000" w:rsidRDefault="00EB4933">
            <w:pPr>
              <w:pStyle w:val="NormalWeb"/>
              <w:spacing w:before="0" w:beforeAutospacing="0" w:after="0" w:afterAutospacing="0"/>
              <w:jc w:val="center"/>
              <w:rPr>
                <w:sz w:val="20"/>
                <w:szCs w:val="20"/>
              </w:rPr>
            </w:pPr>
            <w:r>
              <w:rPr>
                <w:rStyle w:val="Strong"/>
                <w:sz w:val="20"/>
                <w:szCs w:val="20"/>
              </w:rPr>
              <w:t>As previously reported</w:t>
            </w:r>
          </w:p>
        </w:tc>
        <w:tc>
          <w:tcPr>
            <w:tcW w:w="0" w:type="auto"/>
            <w:noWrap/>
            <w:tcMar>
              <w:top w:w="0" w:type="dxa"/>
              <w:left w:w="0" w:type="dxa"/>
              <w:bottom w:w="15" w:type="dxa"/>
              <w:right w:w="0" w:type="dxa"/>
            </w:tcMar>
            <w:vAlign w:val="center"/>
            <w:hideMark/>
          </w:tcPr>
          <w:p w14:paraId="7EBFBD13"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CC57525"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E2BCE01" w14:textId="77777777" w:rsidR="00000000" w:rsidRDefault="00EB4933">
            <w:pPr>
              <w:pStyle w:val="NormalWeb"/>
              <w:spacing w:before="0" w:beforeAutospacing="0" w:after="0" w:afterAutospacing="0"/>
              <w:jc w:val="center"/>
              <w:rPr>
                <w:sz w:val="20"/>
                <w:szCs w:val="20"/>
              </w:rPr>
            </w:pPr>
            <w:r>
              <w:rPr>
                <w:rStyle w:val="Strong"/>
                <w:sz w:val="20"/>
                <w:szCs w:val="20"/>
              </w:rPr>
              <w:t>Adjustments</w:t>
            </w:r>
          </w:p>
        </w:tc>
        <w:tc>
          <w:tcPr>
            <w:tcW w:w="0" w:type="auto"/>
            <w:noWrap/>
            <w:tcMar>
              <w:top w:w="0" w:type="dxa"/>
              <w:left w:w="0" w:type="dxa"/>
              <w:bottom w:w="15" w:type="dxa"/>
              <w:right w:w="0" w:type="dxa"/>
            </w:tcMar>
            <w:vAlign w:val="center"/>
            <w:hideMark/>
          </w:tcPr>
          <w:p w14:paraId="518AD3BB"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5E97ED4"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9B3794F" w14:textId="77777777" w:rsidR="00000000" w:rsidRDefault="00EB4933">
            <w:pPr>
              <w:pStyle w:val="NormalWeb"/>
              <w:spacing w:before="0" w:beforeAutospacing="0" w:after="0" w:afterAutospacing="0"/>
              <w:jc w:val="center"/>
              <w:rPr>
                <w:sz w:val="20"/>
                <w:szCs w:val="20"/>
              </w:rPr>
            </w:pPr>
            <w:r>
              <w:rPr>
                <w:rStyle w:val="Strong"/>
                <w:sz w:val="20"/>
                <w:szCs w:val="20"/>
              </w:rPr>
              <w:t>Other impacts</w:t>
            </w:r>
          </w:p>
        </w:tc>
        <w:tc>
          <w:tcPr>
            <w:tcW w:w="0" w:type="auto"/>
            <w:noWrap/>
            <w:tcMar>
              <w:top w:w="0" w:type="dxa"/>
              <w:left w:w="0" w:type="dxa"/>
              <w:bottom w:w="15" w:type="dxa"/>
              <w:right w:w="0" w:type="dxa"/>
            </w:tcMar>
            <w:vAlign w:val="center"/>
            <w:hideMark/>
          </w:tcPr>
          <w:p w14:paraId="7541B3EC"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4A0580C"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65EB32E" w14:textId="77777777" w:rsidR="00000000" w:rsidRDefault="00EB4933">
            <w:pPr>
              <w:pStyle w:val="NormalWeb"/>
              <w:spacing w:before="0" w:beforeAutospacing="0" w:after="0" w:afterAutospacing="0"/>
              <w:jc w:val="center"/>
              <w:rPr>
                <w:sz w:val="20"/>
                <w:szCs w:val="20"/>
              </w:rPr>
            </w:pPr>
            <w:r>
              <w:rPr>
                <w:rStyle w:val="Strong"/>
                <w:sz w:val="20"/>
                <w:szCs w:val="20"/>
              </w:rPr>
              <w:t>As currently reported</w:t>
            </w:r>
          </w:p>
        </w:tc>
        <w:tc>
          <w:tcPr>
            <w:tcW w:w="0" w:type="auto"/>
            <w:noWrap/>
            <w:tcMar>
              <w:top w:w="0" w:type="dxa"/>
              <w:left w:w="0" w:type="dxa"/>
              <w:bottom w:w="15" w:type="dxa"/>
              <w:right w:w="0" w:type="dxa"/>
            </w:tcMar>
            <w:vAlign w:val="center"/>
            <w:hideMark/>
          </w:tcPr>
          <w:p w14:paraId="3A0CB810" w14:textId="77777777" w:rsidR="00000000" w:rsidRDefault="00EB4933">
            <w:pPr>
              <w:pStyle w:val="NormalWeb"/>
              <w:spacing w:before="0" w:beforeAutospacing="0" w:after="0" w:afterAutospacing="0"/>
              <w:rPr>
                <w:sz w:val="20"/>
                <w:szCs w:val="20"/>
              </w:rPr>
            </w:pPr>
            <w:r>
              <w:rPr>
                <w:sz w:val="20"/>
                <w:szCs w:val="20"/>
              </w:rPr>
              <w:t> </w:t>
            </w:r>
          </w:p>
        </w:tc>
      </w:tr>
      <w:tr w:rsidR="00000000" w14:paraId="46F645D8" w14:textId="77777777">
        <w:trPr>
          <w:divId w:val="98525094"/>
          <w:trHeight w:val="225"/>
          <w:tblCellSpacing w:w="15" w:type="dxa"/>
        </w:trPr>
        <w:tc>
          <w:tcPr>
            <w:tcW w:w="0" w:type="auto"/>
            <w:vAlign w:val="center"/>
            <w:hideMark/>
          </w:tcPr>
          <w:p w14:paraId="73654D42"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051DADC"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2F45E365" w14:textId="77777777" w:rsidR="00000000" w:rsidRDefault="00EB4933">
            <w:pPr>
              <w:pStyle w:val="NormalWeb"/>
              <w:spacing w:before="0" w:beforeAutospacing="0" w:after="0" w:afterAutospacing="0"/>
              <w:jc w:val="center"/>
              <w:rPr>
                <w:sz w:val="20"/>
                <w:szCs w:val="20"/>
              </w:rPr>
            </w:pPr>
            <w:r>
              <w:rPr>
                <w:sz w:val="20"/>
                <w:szCs w:val="20"/>
              </w:rPr>
              <w:t xml:space="preserve">RMB’000 </w:t>
            </w:r>
          </w:p>
        </w:tc>
        <w:tc>
          <w:tcPr>
            <w:tcW w:w="0" w:type="auto"/>
            <w:noWrap/>
            <w:vAlign w:val="center"/>
            <w:hideMark/>
          </w:tcPr>
          <w:p w14:paraId="27315962"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B3EC73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226D4ED1" w14:textId="77777777" w:rsidR="00000000" w:rsidRDefault="00EB4933">
            <w:pPr>
              <w:pStyle w:val="NormalWeb"/>
              <w:spacing w:before="0" w:beforeAutospacing="0" w:after="0" w:afterAutospacing="0"/>
              <w:jc w:val="center"/>
              <w:rPr>
                <w:sz w:val="20"/>
                <w:szCs w:val="20"/>
              </w:rPr>
            </w:pPr>
            <w:r>
              <w:rPr>
                <w:sz w:val="20"/>
                <w:szCs w:val="20"/>
              </w:rPr>
              <w:t>RMB’000</w:t>
            </w:r>
          </w:p>
        </w:tc>
        <w:tc>
          <w:tcPr>
            <w:tcW w:w="0" w:type="auto"/>
            <w:noWrap/>
            <w:vAlign w:val="center"/>
            <w:hideMark/>
          </w:tcPr>
          <w:p w14:paraId="5675667D"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0E9BCF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52029390" w14:textId="77777777" w:rsidR="00000000" w:rsidRDefault="00EB4933">
            <w:pPr>
              <w:pStyle w:val="NormalWeb"/>
              <w:spacing w:before="0" w:beforeAutospacing="0" w:after="0" w:afterAutospacing="0"/>
              <w:jc w:val="center"/>
              <w:rPr>
                <w:sz w:val="20"/>
                <w:szCs w:val="20"/>
              </w:rPr>
            </w:pPr>
            <w:r>
              <w:rPr>
                <w:sz w:val="20"/>
                <w:szCs w:val="20"/>
              </w:rPr>
              <w:t>RMB’000</w:t>
            </w:r>
          </w:p>
        </w:tc>
        <w:tc>
          <w:tcPr>
            <w:tcW w:w="0" w:type="auto"/>
            <w:noWrap/>
            <w:vAlign w:val="center"/>
            <w:hideMark/>
          </w:tcPr>
          <w:p w14:paraId="47E3DAB2"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B49C14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27884F68" w14:textId="77777777" w:rsidR="00000000" w:rsidRDefault="00EB4933">
            <w:pPr>
              <w:pStyle w:val="NormalWeb"/>
              <w:spacing w:before="0" w:beforeAutospacing="0" w:after="0" w:afterAutospacing="0"/>
              <w:jc w:val="center"/>
              <w:rPr>
                <w:sz w:val="20"/>
                <w:szCs w:val="20"/>
              </w:rPr>
            </w:pPr>
            <w:r>
              <w:rPr>
                <w:sz w:val="20"/>
                <w:szCs w:val="20"/>
              </w:rPr>
              <w:t>RMB’000</w:t>
            </w:r>
          </w:p>
        </w:tc>
        <w:tc>
          <w:tcPr>
            <w:tcW w:w="0" w:type="auto"/>
            <w:noWrap/>
            <w:vAlign w:val="center"/>
            <w:hideMark/>
          </w:tcPr>
          <w:p w14:paraId="335B0C5E" w14:textId="77777777" w:rsidR="00000000" w:rsidRDefault="00EB4933">
            <w:pPr>
              <w:pStyle w:val="NormalWeb"/>
              <w:spacing w:before="0" w:beforeAutospacing="0" w:after="0" w:afterAutospacing="0"/>
              <w:rPr>
                <w:sz w:val="20"/>
                <w:szCs w:val="20"/>
              </w:rPr>
            </w:pPr>
            <w:r>
              <w:rPr>
                <w:sz w:val="20"/>
                <w:szCs w:val="20"/>
              </w:rPr>
              <w:t> </w:t>
            </w:r>
          </w:p>
        </w:tc>
      </w:tr>
      <w:tr w:rsidR="00000000" w14:paraId="02D33C8E" w14:textId="77777777">
        <w:trPr>
          <w:divId w:val="98525094"/>
          <w:trHeight w:val="225"/>
          <w:tblCellSpacing w:w="15" w:type="dxa"/>
        </w:trPr>
        <w:tc>
          <w:tcPr>
            <w:tcW w:w="0" w:type="auto"/>
            <w:hideMark/>
          </w:tcPr>
          <w:p w14:paraId="70E2452F" w14:textId="77777777" w:rsidR="00000000" w:rsidRDefault="00EB4933">
            <w:pPr>
              <w:pStyle w:val="NormalWeb"/>
              <w:spacing w:before="0" w:beforeAutospacing="0" w:after="0" w:afterAutospacing="0"/>
              <w:rPr>
                <w:sz w:val="20"/>
                <w:szCs w:val="20"/>
              </w:rPr>
            </w:pPr>
            <w:r>
              <w:rPr>
                <w:rStyle w:val="Strong"/>
                <w:sz w:val="20"/>
                <w:szCs w:val="20"/>
              </w:rPr>
              <w:t>Current assets</w:t>
            </w:r>
          </w:p>
        </w:tc>
        <w:tc>
          <w:tcPr>
            <w:tcW w:w="50" w:type="pct"/>
            <w:noWrap/>
            <w:vAlign w:val="center"/>
            <w:hideMark/>
          </w:tcPr>
          <w:p w14:paraId="3385147C"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36FAEFE"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E9906DD"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FA915C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4B5C77D"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CB2EFD6"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7A7AE05"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26CBE862"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79EC706"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1461FB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A3AECDF"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19DEE7E" w14:textId="77777777" w:rsidR="00000000" w:rsidRDefault="00EB4933">
            <w:pPr>
              <w:pStyle w:val="NormalWeb"/>
              <w:spacing w:before="0" w:beforeAutospacing="0" w:after="0" w:afterAutospacing="0"/>
              <w:rPr>
                <w:sz w:val="20"/>
                <w:szCs w:val="20"/>
              </w:rPr>
            </w:pPr>
            <w:r>
              <w:rPr>
                <w:sz w:val="20"/>
                <w:szCs w:val="20"/>
              </w:rPr>
              <w:t> </w:t>
            </w:r>
          </w:p>
        </w:tc>
      </w:tr>
      <w:tr w:rsidR="00000000" w14:paraId="6BA6588E" w14:textId="77777777">
        <w:trPr>
          <w:divId w:val="98525094"/>
          <w:trHeight w:val="225"/>
          <w:tblCellSpacing w:w="15" w:type="dxa"/>
        </w:trPr>
        <w:tc>
          <w:tcPr>
            <w:tcW w:w="0" w:type="auto"/>
            <w:shd w:val="clear" w:color="auto" w:fill="CCEEFF"/>
            <w:hideMark/>
          </w:tcPr>
          <w:p w14:paraId="7CC6D2D2" w14:textId="77777777" w:rsidR="00000000" w:rsidRDefault="00EB4933">
            <w:pPr>
              <w:pStyle w:val="NormalWeb"/>
              <w:spacing w:before="0" w:beforeAutospacing="0" w:after="0" w:afterAutospacing="0"/>
              <w:rPr>
                <w:sz w:val="20"/>
                <w:szCs w:val="20"/>
              </w:rPr>
            </w:pPr>
            <w:r>
              <w:rPr>
                <w:sz w:val="20"/>
                <w:szCs w:val="20"/>
              </w:rPr>
              <w:t>Prepaid expenses and others (note 30.6)</w:t>
            </w:r>
          </w:p>
        </w:tc>
        <w:tc>
          <w:tcPr>
            <w:tcW w:w="50" w:type="pct"/>
            <w:shd w:val="clear" w:color="auto" w:fill="CCEEFF"/>
            <w:noWrap/>
            <w:vAlign w:val="center"/>
            <w:hideMark/>
          </w:tcPr>
          <w:p w14:paraId="7292CE2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4FCB04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D03471E" w14:textId="77777777" w:rsidR="00000000" w:rsidRDefault="00EB4933">
            <w:pPr>
              <w:jc w:val="right"/>
              <w:rPr>
                <w:rFonts w:eastAsia="Times New Roman"/>
                <w:sz w:val="20"/>
                <w:szCs w:val="20"/>
              </w:rPr>
            </w:pPr>
            <w:r>
              <w:rPr>
                <w:rFonts w:eastAsia="Times New Roman"/>
                <w:sz w:val="20"/>
                <w:szCs w:val="20"/>
              </w:rPr>
              <w:t>15,411</w:t>
            </w:r>
          </w:p>
        </w:tc>
        <w:tc>
          <w:tcPr>
            <w:tcW w:w="50" w:type="pct"/>
            <w:shd w:val="clear" w:color="auto" w:fill="CCEEFF"/>
            <w:noWrap/>
            <w:tcMar>
              <w:top w:w="0" w:type="dxa"/>
              <w:left w:w="0" w:type="dxa"/>
              <w:bottom w:w="15" w:type="dxa"/>
              <w:right w:w="0" w:type="dxa"/>
            </w:tcMar>
            <w:vAlign w:val="center"/>
            <w:hideMark/>
          </w:tcPr>
          <w:p w14:paraId="31CC340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F39F4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A31E78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78C924B"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16D52D1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2F05F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604F3A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7043179" w14:textId="77777777" w:rsidR="00000000" w:rsidRDefault="00EB4933">
            <w:pPr>
              <w:jc w:val="right"/>
              <w:rPr>
                <w:rFonts w:eastAsia="Times New Roman"/>
                <w:sz w:val="20"/>
                <w:szCs w:val="20"/>
              </w:rPr>
            </w:pPr>
            <w:r>
              <w:rPr>
                <w:rFonts w:eastAsia="Times New Roman"/>
                <w:sz w:val="20"/>
                <w:szCs w:val="20"/>
              </w:rPr>
              <w:t>(14,928</w:t>
            </w:r>
          </w:p>
        </w:tc>
        <w:tc>
          <w:tcPr>
            <w:tcW w:w="50" w:type="pct"/>
            <w:shd w:val="clear" w:color="auto" w:fill="CCEEFF"/>
            <w:noWrap/>
            <w:tcMar>
              <w:top w:w="0" w:type="dxa"/>
              <w:left w:w="0" w:type="dxa"/>
              <w:bottom w:w="15" w:type="dxa"/>
              <w:right w:w="0" w:type="dxa"/>
            </w:tcMar>
            <w:vAlign w:val="bottom"/>
            <w:hideMark/>
          </w:tcPr>
          <w:p w14:paraId="66EAC6B2"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7D58F6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6EB3C1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96DC1E7" w14:textId="77777777" w:rsidR="00000000" w:rsidRDefault="00EB4933">
            <w:pPr>
              <w:jc w:val="right"/>
              <w:rPr>
                <w:rFonts w:eastAsia="Times New Roman"/>
                <w:sz w:val="20"/>
                <w:szCs w:val="20"/>
              </w:rPr>
            </w:pPr>
            <w:r>
              <w:rPr>
                <w:rFonts w:eastAsia="Times New Roman"/>
                <w:sz w:val="20"/>
                <w:szCs w:val="20"/>
              </w:rPr>
              <w:t>483</w:t>
            </w:r>
          </w:p>
        </w:tc>
        <w:tc>
          <w:tcPr>
            <w:tcW w:w="50" w:type="pct"/>
            <w:shd w:val="clear" w:color="auto" w:fill="CCEEFF"/>
            <w:noWrap/>
            <w:tcMar>
              <w:top w:w="0" w:type="dxa"/>
              <w:left w:w="0" w:type="dxa"/>
              <w:bottom w:w="15" w:type="dxa"/>
              <w:right w:w="0" w:type="dxa"/>
            </w:tcMar>
            <w:vAlign w:val="center"/>
            <w:hideMark/>
          </w:tcPr>
          <w:p w14:paraId="02B4C2EB" w14:textId="77777777" w:rsidR="00000000" w:rsidRDefault="00EB4933">
            <w:pPr>
              <w:pStyle w:val="NormalWeb"/>
              <w:spacing w:before="0" w:beforeAutospacing="0" w:after="0" w:afterAutospacing="0"/>
              <w:rPr>
                <w:sz w:val="20"/>
                <w:szCs w:val="20"/>
              </w:rPr>
            </w:pPr>
            <w:r>
              <w:rPr>
                <w:sz w:val="20"/>
                <w:szCs w:val="20"/>
              </w:rPr>
              <w:t> </w:t>
            </w:r>
          </w:p>
        </w:tc>
      </w:tr>
      <w:tr w:rsidR="00000000" w14:paraId="60E73BED" w14:textId="77777777">
        <w:trPr>
          <w:divId w:val="98525094"/>
          <w:trHeight w:val="225"/>
          <w:tblCellSpacing w:w="15" w:type="dxa"/>
        </w:trPr>
        <w:tc>
          <w:tcPr>
            <w:tcW w:w="0" w:type="auto"/>
            <w:shd w:val="clear" w:color="auto" w:fill="FFFFFF"/>
            <w:hideMark/>
          </w:tcPr>
          <w:p w14:paraId="67A03FB7" w14:textId="77777777" w:rsidR="00000000" w:rsidRDefault="00EB4933">
            <w:pPr>
              <w:pStyle w:val="NormalWeb"/>
              <w:spacing w:before="0" w:beforeAutospacing="0" w:after="0" w:afterAutospacing="0"/>
              <w:rPr>
                <w:sz w:val="20"/>
                <w:szCs w:val="20"/>
              </w:rPr>
            </w:pPr>
            <w:r>
              <w:rPr>
                <w:rStyle w:val="Strong"/>
                <w:sz w:val="20"/>
                <w:szCs w:val="20"/>
              </w:rPr>
              <w:t>Total current assets</w:t>
            </w:r>
          </w:p>
        </w:tc>
        <w:tc>
          <w:tcPr>
            <w:tcW w:w="50" w:type="pct"/>
            <w:shd w:val="clear" w:color="auto" w:fill="FFFFFF"/>
            <w:noWrap/>
            <w:vAlign w:val="center"/>
            <w:hideMark/>
          </w:tcPr>
          <w:p w14:paraId="09B9314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0A3B2C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30D60AB" w14:textId="77777777" w:rsidR="00000000" w:rsidRDefault="00EB4933">
            <w:pPr>
              <w:jc w:val="right"/>
              <w:rPr>
                <w:rFonts w:eastAsia="Times New Roman"/>
                <w:sz w:val="20"/>
                <w:szCs w:val="20"/>
              </w:rPr>
            </w:pPr>
            <w:r>
              <w:rPr>
                <w:rFonts w:eastAsia="Times New Roman"/>
                <w:sz w:val="20"/>
                <w:szCs w:val="20"/>
              </w:rPr>
              <w:t>868,146</w:t>
            </w:r>
          </w:p>
        </w:tc>
        <w:tc>
          <w:tcPr>
            <w:tcW w:w="50" w:type="pct"/>
            <w:shd w:val="clear" w:color="auto" w:fill="FFFFFF"/>
            <w:noWrap/>
            <w:tcMar>
              <w:top w:w="0" w:type="dxa"/>
              <w:left w:w="0" w:type="dxa"/>
              <w:bottom w:w="15" w:type="dxa"/>
              <w:right w:w="0" w:type="dxa"/>
            </w:tcMar>
            <w:vAlign w:val="center"/>
            <w:hideMark/>
          </w:tcPr>
          <w:p w14:paraId="73424FB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F835C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A33221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6AF217F"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17A4E2E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A067C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3B9B37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6273107" w14:textId="77777777" w:rsidR="00000000" w:rsidRDefault="00EB4933">
            <w:pPr>
              <w:jc w:val="right"/>
              <w:rPr>
                <w:rFonts w:eastAsia="Times New Roman"/>
                <w:sz w:val="20"/>
                <w:szCs w:val="20"/>
              </w:rPr>
            </w:pPr>
            <w:r>
              <w:rPr>
                <w:rFonts w:eastAsia="Times New Roman"/>
                <w:sz w:val="20"/>
                <w:szCs w:val="20"/>
              </w:rPr>
              <w:t>(14,928</w:t>
            </w:r>
          </w:p>
        </w:tc>
        <w:tc>
          <w:tcPr>
            <w:tcW w:w="50" w:type="pct"/>
            <w:shd w:val="clear" w:color="auto" w:fill="FFFFFF"/>
            <w:noWrap/>
            <w:tcMar>
              <w:top w:w="0" w:type="dxa"/>
              <w:left w:w="0" w:type="dxa"/>
              <w:bottom w:w="15" w:type="dxa"/>
              <w:right w:w="0" w:type="dxa"/>
            </w:tcMar>
            <w:vAlign w:val="bottom"/>
            <w:hideMark/>
          </w:tcPr>
          <w:p w14:paraId="6890ADFC"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16F919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030F6B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174BDEA" w14:textId="77777777" w:rsidR="00000000" w:rsidRDefault="00EB4933">
            <w:pPr>
              <w:jc w:val="right"/>
              <w:rPr>
                <w:rFonts w:eastAsia="Times New Roman"/>
                <w:sz w:val="20"/>
                <w:szCs w:val="20"/>
              </w:rPr>
            </w:pPr>
            <w:r>
              <w:rPr>
                <w:rFonts w:eastAsia="Times New Roman"/>
                <w:sz w:val="20"/>
                <w:szCs w:val="20"/>
              </w:rPr>
              <w:t>853,218</w:t>
            </w:r>
          </w:p>
        </w:tc>
        <w:tc>
          <w:tcPr>
            <w:tcW w:w="50" w:type="pct"/>
            <w:shd w:val="clear" w:color="auto" w:fill="FFFFFF"/>
            <w:noWrap/>
            <w:tcMar>
              <w:top w:w="0" w:type="dxa"/>
              <w:left w:w="0" w:type="dxa"/>
              <w:bottom w:w="15" w:type="dxa"/>
              <w:right w:w="0" w:type="dxa"/>
            </w:tcMar>
            <w:vAlign w:val="center"/>
            <w:hideMark/>
          </w:tcPr>
          <w:p w14:paraId="26A69D24" w14:textId="77777777" w:rsidR="00000000" w:rsidRDefault="00EB4933">
            <w:pPr>
              <w:pStyle w:val="NormalWeb"/>
              <w:spacing w:before="0" w:beforeAutospacing="0" w:after="0" w:afterAutospacing="0"/>
              <w:rPr>
                <w:sz w:val="20"/>
                <w:szCs w:val="20"/>
              </w:rPr>
            </w:pPr>
            <w:r>
              <w:rPr>
                <w:sz w:val="20"/>
                <w:szCs w:val="20"/>
              </w:rPr>
              <w:t> </w:t>
            </w:r>
          </w:p>
        </w:tc>
      </w:tr>
      <w:tr w:rsidR="00000000" w14:paraId="7B987DFF" w14:textId="77777777">
        <w:trPr>
          <w:divId w:val="98525094"/>
          <w:trHeight w:val="225"/>
          <w:tblCellSpacing w:w="15" w:type="dxa"/>
        </w:trPr>
        <w:tc>
          <w:tcPr>
            <w:tcW w:w="0" w:type="auto"/>
            <w:shd w:val="clear" w:color="auto" w:fill="CCEEFF"/>
            <w:vAlign w:val="center"/>
            <w:hideMark/>
          </w:tcPr>
          <w:p w14:paraId="21F2E8B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D754E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E01AC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16EF78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1A4C8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F6E57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CE84F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FD0A79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B92E5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343A3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AB268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3F2DAB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BE9DF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BED8C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8F588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B4343A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862724" w14:textId="77777777" w:rsidR="00000000" w:rsidRDefault="00EB4933">
            <w:pPr>
              <w:pStyle w:val="NormalWeb"/>
              <w:spacing w:before="0" w:beforeAutospacing="0" w:after="0" w:afterAutospacing="0"/>
              <w:rPr>
                <w:sz w:val="20"/>
                <w:szCs w:val="20"/>
              </w:rPr>
            </w:pPr>
            <w:r>
              <w:rPr>
                <w:sz w:val="20"/>
                <w:szCs w:val="20"/>
              </w:rPr>
              <w:t> </w:t>
            </w:r>
          </w:p>
        </w:tc>
      </w:tr>
      <w:tr w:rsidR="00000000" w14:paraId="1D345006" w14:textId="77777777">
        <w:trPr>
          <w:divId w:val="98525094"/>
          <w:trHeight w:val="225"/>
          <w:tblCellSpacing w:w="15" w:type="dxa"/>
        </w:trPr>
        <w:tc>
          <w:tcPr>
            <w:tcW w:w="0" w:type="auto"/>
            <w:shd w:val="clear" w:color="auto" w:fill="FFFFFF"/>
            <w:hideMark/>
          </w:tcPr>
          <w:p w14:paraId="24268B76" w14:textId="77777777" w:rsidR="00000000" w:rsidRDefault="00EB4933">
            <w:pPr>
              <w:pStyle w:val="NormalWeb"/>
              <w:spacing w:before="0" w:beforeAutospacing="0" w:after="0" w:afterAutospacing="0"/>
              <w:rPr>
                <w:sz w:val="20"/>
                <w:szCs w:val="20"/>
              </w:rPr>
            </w:pPr>
            <w:r>
              <w:rPr>
                <w:rStyle w:val="Strong"/>
                <w:sz w:val="20"/>
                <w:szCs w:val="20"/>
              </w:rPr>
              <w:t>Non-current assets</w:t>
            </w:r>
          </w:p>
        </w:tc>
        <w:tc>
          <w:tcPr>
            <w:tcW w:w="50" w:type="pct"/>
            <w:shd w:val="clear" w:color="auto" w:fill="FFFFFF"/>
            <w:noWrap/>
            <w:vAlign w:val="center"/>
            <w:hideMark/>
          </w:tcPr>
          <w:p w14:paraId="75C0F00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C5254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73485A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F989C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2867C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22CD4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B2A2AA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B25CD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A0BC0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5B736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066013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4A796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20EC2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10EF7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EC034E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BB2982" w14:textId="77777777" w:rsidR="00000000" w:rsidRDefault="00EB4933">
            <w:pPr>
              <w:pStyle w:val="NormalWeb"/>
              <w:spacing w:before="0" w:beforeAutospacing="0" w:after="0" w:afterAutospacing="0"/>
              <w:rPr>
                <w:sz w:val="20"/>
                <w:szCs w:val="20"/>
              </w:rPr>
            </w:pPr>
            <w:r>
              <w:rPr>
                <w:sz w:val="20"/>
                <w:szCs w:val="20"/>
              </w:rPr>
              <w:t> </w:t>
            </w:r>
          </w:p>
        </w:tc>
      </w:tr>
      <w:tr w:rsidR="00000000" w14:paraId="43E7BFA5" w14:textId="77777777">
        <w:trPr>
          <w:divId w:val="98525094"/>
          <w:trHeight w:val="225"/>
          <w:tblCellSpacing w:w="15" w:type="dxa"/>
        </w:trPr>
        <w:tc>
          <w:tcPr>
            <w:tcW w:w="0" w:type="auto"/>
            <w:shd w:val="clear" w:color="auto" w:fill="CCEEFF"/>
            <w:hideMark/>
          </w:tcPr>
          <w:p w14:paraId="7AEEA9F4" w14:textId="77777777" w:rsidR="00000000" w:rsidRDefault="00EB4933">
            <w:pPr>
              <w:pStyle w:val="NormalWeb"/>
              <w:spacing w:before="0" w:beforeAutospacing="0" w:after="0" w:afterAutospacing="0"/>
              <w:rPr>
                <w:sz w:val="20"/>
                <w:szCs w:val="20"/>
              </w:rPr>
            </w:pPr>
            <w:r>
              <w:rPr>
                <w:sz w:val="20"/>
                <w:szCs w:val="20"/>
              </w:rPr>
              <w:t>Prepayment for a property (note 30.6)</w:t>
            </w:r>
          </w:p>
        </w:tc>
        <w:tc>
          <w:tcPr>
            <w:tcW w:w="50" w:type="pct"/>
            <w:shd w:val="clear" w:color="auto" w:fill="CCEEFF"/>
            <w:noWrap/>
            <w:vAlign w:val="center"/>
            <w:hideMark/>
          </w:tcPr>
          <w:p w14:paraId="30FAE33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EA717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410CC6E"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37F9A1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4811A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D9A8E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D309394"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B9A9EC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CA4EF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448B0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995C2CB" w14:textId="77777777" w:rsidR="00000000" w:rsidRDefault="00EB4933">
            <w:pPr>
              <w:jc w:val="right"/>
              <w:rPr>
                <w:rFonts w:eastAsia="Times New Roman"/>
                <w:sz w:val="20"/>
                <w:szCs w:val="20"/>
              </w:rPr>
            </w:pPr>
            <w:r>
              <w:rPr>
                <w:rFonts w:eastAsia="Times New Roman"/>
                <w:sz w:val="20"/>
                <w:szCs w:val="20"/>
              </w:rPr>
              <w:t>14,928</w:t>
            </w:r>
          </w:p>
        </w:tc>
        <w:tc>
          <w:tcPr>
            <w:tcW w:w="50" w:type="pct"/>
            <w:shd w:val="clear" w:color="auto" w:fill="CCEEFF"/>
            <w:noWrap/>
            <w:vAlign w:val="center"/>
            <w:hideMark/>
          </w:tcPr>
          <w:p w14:paraId="515E8AE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03EA1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37EE8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4C5EAFC" w14:textId="77777777" w:rsidR="00000000" w:rsidRDefault="00EB4933">
            <w:pPr>
              <w:jc w:val="right"/>
              <w:rPr>
                <w:rFonts w:eastAsia="Times New Roman"/>
                <w:sz w:val="20"/>
                <w:szCs w:val="20"/>
              </w:rPr>
            </w:pPr>
            <w:r>
              <w:rPr>
                <w:rFonts w:eastAsia="Times New Roman"/>
                <w:sz w:val="20"/>
                <w:szCs w:val="20"/>
              </w:rPr>
              <w:t>14,928</w:t>
            </w:r>
          </w:p>
        </w:tc>
        <w:tc>
          <w:tcPr>
            <w:tcW w:w="50" w:type="pct"/>
            <w:shd w:val="clear" w:color="auto" w:fill="CCEEFF"/>
            <w:noWrap/>
            <w:vAlign w:val="center"/>
            <w:hideMark/>
          </w:tcPr>
          <w:p w14:paraId="47D4A5C1" w14:textId="77777777" w:rsidR="00000000" w:rsidRDefault="00EB4933">
            <w:pPr>
              <w:pStyle w:val="NormalWeb"/>
              <w:spacing w:before="0" w:beforeAutospacing="0" w:after="0" w:afterAutospacing="0"/>
              <w:rPr>
                <w:sz w:val="20"/>
                <w:szCs w:val="20"/>
              </w:rPr>
            </w:pPr>
            <w:r>
              <w:rPr>
                <w:sz w:val="20"/>
                <w:szCs w:val="20"/>
              </w:rPr>
              <w:t> </w:t>
            </w:r>
          </w:p>
        </w:tc>
      </w:tr>
      <w:tr w:rsidR="00000000" w14:paraId="4DE70EE5" w14:textId="77777777">
        <w:trPr>
          <w:divId w:val="98525094"/>
          <w:trHeight w:val="225"/>
          <w:tblCellSpacing w:w="15" w:type="dxa"/>
        </w:trPr>
        <w:tc>
          <w:tcPr>
            <w:tcW w:w="0" w:type="auto"/>
            <w:shd w:val="clear" w:color="auto" w:fill="FFFFFF"/>
            <w:hideMark/>
          </w:tcPr>
          <w:p w14:paraId="2CAFF150" w14:textId="77777777" w:rsidR="00000000" w:rsidRDefault="00EB4933">
            <w:pPr>
              <w:pStyle w:val="NormalWeb"/>
              <w:spacing w:before="0" w:beforeAutospacing="0" w:after="0" w:afterAutospacing="0"/>
              <w:rPr>
                <w:sz w:val="20"/>
                <w:szCs w:val="20"/>
              </w:rPr>
            </w:pPr>
            <w:r>
              <w:rPr>
                <w:sz w:val="20"/>
                <w:szCs w:val="20"/>
              </w:rPr>
              <w:t>Deferred tax asset (note 30.5)</w:t>
            </w:r>
          </w:p>
        </w:tc>
        <w:tc>
          <w:tcPr>
            <w:tcW w:w="50" w:type="pct"/>
            <w:shd w:val="clear" w:color="auto" w:fill="FFFFFF"/>
            <w:noWrap/>
            <w:vAlign w:val="center"/>
            <w:hideMark/>
          </w:tcPr>
          <w:p w14:paraId="74C951C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A52C5E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47E6EB5" w14:textId="77777777" w:rsidR="00000000" w:rsidRDefault="00EB4933">
            <w:pPr>
              <w:jc w:val="right"/>
              <w:rPr>
                <w:rFonts w:eastAsia="Times New Roman"/>
                <w:sz w:val="20"/>
                <w:szCs w:val="20"/>
              </w:rPr>
            </w:pPr>
            <w:r>
              <w:rPr>
                <w:rFonts w:eastAsia="Times New Roman"/>
                <w:sz w:val="20"/>
                <w:szCs w:val="20"/>
              </w:rPr>
              <w:t>645</w:t>
            </w:r>
          </w:p>
        </w:tc>
        <w:tc>
          <w:tcPr>
            <w:tcW w:w="50" w:type="pct"/>
            <w:shd w:val="clear" w:color="auto" w:fill="FFFFFF"/>
            <w:noWrap/>
            <w:tcMar>
              <w:top w:w="0" w:type="dxa"/>
              <w:left w:w="0" w:type="dxa"/>
              <w:bottom w:w="15" w:type="dxa"/>
              <w:right w:w="0" w:type="dxa"/>
            </w:tcMar>
            <w:vAlign w:val="center"/>
            <w:hideMark/>
          </w:tcPr>
          <w:p w14:paraId="0169D60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4537F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E81D68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60EDFE3" w14:textId="77777777" w:rsidR="00000000" w:rsidRDefault="00EB4933">
            <w:pPr>
              <w:jc w:val="right"/>
              <w:rPr>
                <w:rFonts w:eastAsia="Times New Roman"/>
                <w:sz w:val="20"/>
                <w:szCs w:val="20"/>
              </w:rPr>
            </w:pPr>
            <w:r>
              <w:rPr>
                <w:rFonts w:eastAsia="Times New Roman"/>
                <w:sz w:val="20"/>
                <w:szCs w:val="20"/>
              </w:rPr>
              <w:t>(645</w:t>
            </w:r>
          </w:p>
        </w:tc>
        <w:tc>
          <w:tcPr>
            <w:tcW w:w="50" w:type="pct"/>
            <w:shd w:val="clear" w:color="auto" w:fill="FFFFFF"/>
            <w:noWrap/>
            <w:tcMar>
              <w:top w:w="0" w:type="dxa"/>
              <w:left w:w="0" w:type="dxa"/>
              <w:bottom w:w="15" w:type="dxa"/>
              <w:right w:w="0" w:type="dxa"/>
            </w:tcMar>
            <w:vAlign w:val="bottom"/>
            <w:hideMark/>
          </w:tcPr>
          <w:p w14:paraId="13AFFD2E"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1908EE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1C6E87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6D01D8D"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390A96A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42226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22F1A9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41CFEA2"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57616185" w14:textId="77777777" w:rsidR="00000000" w:rsidRDefault="00EB4933">
            <w:pPr>
              <w:pStyle w:val="NormalWeb"/>
              <w:spacing w:before="0" w:beforeAutospacing="0" w:after="0" w:afterAutospacing="0"/>
              <w:rPr>
                <w:sz w:val="20"/>
                <w:szCs w:val="20"/>
              </w:rPr>
            </w:pPr>
            <w:r>
              <w:rPr>
                <w:sz w:val="20"/>
                <w:szCs w:val="20"/>
              </w:rPr>
              <w:t> </w:t>
            </w:r>
          </w:p>
        </w:tc>
      </w:tr>
      <w:tr w:rsidR="00000000" w14:paraId="1E4FC3E1" w14:textId="77777777">
        <w:trPr>
          <w:divId w:val="98525094"/>
          <w:trHeight w:val="225"/>
          <w:tblCellSpacing w:w="15" w:type="dxa"/>
        </w:trPr>
        <w:tc>
          <w:tcPr>
            <w:tcW w:w="0" w:type="auto"/>
            <w:shd w:val="clear" w:color="auto" w:fill="CCEEFF"/>
            <w:hideMark/>
          </w:tcPr>
          <w:p w14:paraId="34335064" w14:textId="77777777" w:rsidR="00000000" w:rsidRDefault="00EB4933">
            <w:pPr>
              <w:pStyle w:val="NormalWeb"/>
              <w:spacing w:before="0" w:beforeAutospacing="0" w:after="0" w:afterAutospacing="0"/>
              <w:rPr>
                <w:sz w:val="20"/>
                <w:szCs w:val="20"/>
              </w:rPr>
            </w:pPr>
            <w:r>
              <w:rPr>
                <w:rStyle w:val="Strong"/>
                <w:sz w:val="20"/>
                <w:szCs w:val="20"/>
              </w:rPr>
              <w:lastRenderedPageBreak/>
              <w:t>Total non-current assets</w:t>
            </w:r>
          </w:p>
        </w:tc>
        <w:tc>
          <w:tcPr>
            <w:tcW w:w="50" w:type="pct"/>
            <w:shd w:val="clear" w:color="auto" w:fill="CCEEFF"/>
            <w:noWrap/>
            <w:vAlign w:val="center"/>
            <w:hideMark/>
          </w:tcPr>
          <w:p w14:paraId="2F9FE71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4704FB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3AFFA54" w14:textId="77777777" w:rsidR="00000000" w:rsidRDefault="00EB4933">
            <w:pPr>
              <w:jc w:val="right"/>
              <w:rPr>
                <w:rFonts w:eastAsia="Times New Roman"/>
                <w:sz w:val="20"/>
                <w:szCs w:val="20"/>
              </w:rPr>
            </w:pPr>
            <w:r>
              <w:rPr>
                <w:rFonts w:eastAsia="Times New Roman"/>
                <w:sz w:val="20"/>
                <w:szCs w:val="20"/>
              </w:rPr>
              <w:t>983</w:t>
            </w:r>
          </w:p>
        </w:tc>
        <w:tc>
          <w:tcPr>
            <w:tcW w:w="50" w:type="pct"/>
            <w:shd w:val="clear" w:color="auto" w:fill="CCEEFF"/>
            <w:noWrap/>
            <w:tcMar>
              <w:top w:w="0" w:type="dxa"/>
              <w:left w:w="0" w:type="dxa"/>
              <w:bottom w:w="15" w:type="dxa"/>
              <w:right w:w="0" w:type="dxa"/>
            </w:tcMar>
            <w:vAlign w:val="center"/>
            <w:hideMark/>
          </w:tcPr>
          <w:p w14:paraId="112314E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E49D3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270C1B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AC3744C" w14:textId="77777777" w:rsidR="00000000" w:rsidRDefault="00EB4933">
            <w:pPr>
              <w:jc w:val="right"/>
              <w:rPr>
                <w:rFonts w:eastAsia="Times New Roman"/>
                <w:sz w:val="20"/>
                <w:szCs w:val="20"/>
              </w:rPr>
            </w:pPr>
            <w:r>
              <w:rPr>
                <w:rFonts w:eastAsia="Times New Roman"/>
                <w:sz w:val="20"/>
                <w:szCs w:val="20"/>
              </w:rPr>
              <w:t>(645</w:t>
            </w:r>
          </w:p>
        </w:tc>
        <w:tc>
          <w:tcPr>
            <w:tcW w:w="50" w:type="pct"/>
            <w:shd w:val="clear" w:color="auto" w:fill="CCEEFF"/>
            <w:noWrap/>
            <w:tcMar>
              <w:top w:w="0" w:type="dxa"/>
              <w:left w:w="0" w:type="dxa"/>
              <w:bottom w:w="15" w:type="dxa"/>
              <w:right w:w="0" w:type="dxa"/>
            </w:tcMar>
            <w:vAlign w:val="bottom"/>
            <w:hideMark/>
          </w:tcPr>
          <w:p w14:paraId="17516F03"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A1C930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541D56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9A3AF8B" w14:textId="77777777" w:rsidR="00000000" w:rsidRDefault="00EB4933">
            <w:pPr>
              <w:jc w:val="right"/>
              <w:rPr>
                <w:rFonts w:eastAsia="Times New Roman"/>
                <w:sz w:val="20"/>
                <w:szCs w:val="20"/>
              </w:rPr>
            </w:pPr>
            <w:r>
              <w:rPr>
                <w:rFonts w:eastAsia="Times New Roman"/>
                <w:sz w:val="20"/>
                <w:szCs w:val="20"/>
              </w:rPr>
              <w:t>14,928</w:t>
            </w:r>
          </w:p>
        </w:tc>
        <w:tc>
          <w:tcPr>
            <w:tcW w:w="50" w:type="pct"/>
            <w:shd w:val="clear" w:color="auto" w:fill="CCEEFF"/>
            <w:noWrap/>
            <w:tcMar>
              <w:top w:w="0" w:type="dxa"/>
              <w:left w:w="0" w:type="dxa"/>
              <w:bottom w:w="15" w:type="dxa"/>
              <w:right w:w="0" w:type="dxa"/>
            </w:tcMar>
            <w:vAlign w:val="center"/>
            <w:hideMark/>
          </w:tcPr>
          <w:p w14:paraId="4792685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BAEE8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C5DD86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744EBED" w14:textId="77777777" w:rsidR="00000000" w:rsidRDefault="00EB4933">
            <w:pPr>
              <w:jc w:val="right"/>
              <w:rPr>
                <w:rFonts w:eastAsia="Times New Roman"/>
                <w:sz w:val="20"/>
                <w:szCs w:val="20"/>
              </w:rPr>
            </w:pPr>
            <w:r>
              <w:rPr>
                <w:rFonts w:eastAsia="Times New Roman"/>
                <w:sz w:val="20"/>
                <w:szCs w:val="20"/>
              </w:rPr>
              <w:t>15,266</w:t>
            </w:r>
          </w:p>
        </w:tc>
        <w:tc>
          <w:tcPr>
            <w:tcW w:w="50" w:type="pct"/>
            <w:shd w:val="clear" w:color="auto" w:fill="CCEEFF"/>
            <w:noWrap/>
            <w:tcMar>
              <w:top w:w="0" w:type="dxa"/>
              <w:left w:w="0" w:type="dxa"/>
              <w:bottom w:w="15" w:type="dxa"/>
              <w:right w:w="0" w:type="dxa"/>
            </w:tcMar>
            <w:vAlign w:val="center"/>
            <w:hideMark/>
          </w:tcPr>
          <w:p w14:paraId="4A1B8F28" w14:textId="77777777" w:rsidR="00000000" w:rsidRDefault="00EB4933">
            <w:pPr>
              <w:pStyle w:val="NormalWeb"/>
              <w:spacing w:before="0" w:beforeAutospacing="0" w:after="0" w:afterAutospacing="0"/>
              <w:rPr>
                <w:sz w:val="20"/>
                <w:szCs w:val="20"/>
              </w:rPr>
            </w:pPr>
            <w:r>
              <w:rPr>
                <w:sz w:val="20"/>
                <w:szCs w:val="20"/>
              </w:rPr>
              <w:t> </w:t>
            </w:r>
          </w:p>
        </w:tc>
      </w:tr>
      <w:tr w:rsidR="00000000" w14:paraId="24638946" w14:textId="77777777">
        <w:trPr>
          <w:divId w:val="98525094"/>
          <w:trHeight w:val="225"/>
          <w:tblCellSpacing w:w="15" w:type="dxa"/>
        </w:trPr>
        <w:tc>
          <w:tcPr>
            <w:tcW w:w="0" w:type="auto"/>
            <w:shd w:val="clear" w:color="auto" w:fill="FFFFFF"/>
            <w:vAlign w:val="center"/>
            <w:hideMark/>
          </w:tcPr>
          <w:p w14:paraId="751A5A1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00006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1C184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6DB4F3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7B473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67554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3F784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AF5524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62EAA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D1CA1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43772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B3EEAF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C99AE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47F26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2AF72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E58E45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3DC961" w14:textId="77777777" w:rsidR="00000000" w:rsidRDefault="00EB4933">
            <w:pPr>
              <w:pStyle w:val="NormalWeb"/>
              <w:spacing w:before="0" w:beforeAutospacing="0" w:after="0" w:afterAutospacing="0"/>
              <w:rPr>
                <w:sz w:val="20"/>
                <w:szCs w:val="20"/>
              </w:rPr>
            </w:pPr>
            <w:r>
              <w:rPr>
                <w:sz w:val="20"/>
                <w:szCs w:val="20"/>
              </w:rPr>
              <w:t> </w:t>
            </w:r>
          </w:p>
        </w:tc>
      </w:tr>
      <w:tr w:rsidR="00000000" w14:paraId="35FF67FD" w14:textId="77777777">
        <w:trPr>
          <w:divId w:val="98525094"/>
          <w:trHeight w:val="225"/>
          <w:tblCellSpacing w:w="15" w:type="dxa"/>
        </w:trPr>
        <w:tc>
          <w:tcPr>
            <w:tcW w:w="0" w:type="auto"/>
            <w:shd w:val="clear" w:color="auto" w:fill="CCEEFF"/>
            <w:hideMark/>
          </w:tcPr>
          <w:p w14:paraId="1995FFCC" w14:textId="77777777" w:rsidR="00000000" w:rsidRDefault="00EB4933">
            <w:pPr>
              <w:pStyle w:val="NormalWeb"/>
              <w:spacing w:before="0" w:beforeAutospacing="0" w:after="0" w:afterAutospacing="0"/>
              <w:rPr>
                <w:sz w:val="20"/>
                <w:szCs w:val="20"/>
              </w:rPr>
            </w:pPr>
            <w:r>
              <w:rPr>
                <w:rStyle w:val="Strong"/>
                <w:sz w:val="20"/>
                <w:szCs w:val="20"/>
              </w:rPr>
              <w:t>Total assets</w:t>
            </w:r>
          </w:p>
        </w:tc>
        <w:tc>
          <w:tcPr>
            <w:tcW w:w="50" w:type="pct"/>
            <w:shd w:val="clear" w:color="auto" w:fill="CCEEFF"/>
            <w:noWrap/>
            <w:vAlign w:val="center"/>
            <w:hideMark/>
          </w:tcPr>
          <w:p w14:paraId="2A8305E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F85819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3FC9A3E6" w14:textId="77777777" w:rsidR="00000000" w:rsidRDefault="00EB4933">
            <w:pPr>
              <w:jc w:val="right"/>
              <w:rPr>
                <w:rFonts w:eastAsia="Times New Roman"/>
                <w:sz w:val="20"/>
                <w:szCs w:val="20"/>
              </w:rPr>
            </w:pPr>
            <w:r>
              <w:rPr>
                <w:rFonts w:eastAsia="Times New Roman"/>
                <w:sz w:val="20"/>
                <w:szCs w:val="20"/>
              </w:rPr>
              <w:t>869,129</w:t>
            </w:r>
          </w:p>
        </w:tc>
        <w:tc>
          <w:tcPr>
            <w:tcW w:w="50" w:type="pct"/>
            <w:shd w:val="clear" w:color="auto" w:fill="CCEEFF"/>
            <w:noWrap/>
            <w:tcMar>
              <w:top w:w="0" w:type="dxa"/>
              <w:left w:w="0" w:type="dxa"/>
              <w:bottom w:w="45" w:type="dxa"/>
              <w:right w:w="0" w:type="dxa"/>
            </w:tcMar>
            <w:vAlign w:val="center"/>
            <w:hideMark/>
          </w:tcPr>
          <w:p w14:paraId="35A175D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317C7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B7FA04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0A351B4A" w14:textId="77777777" w:rsidR="00000000" w:rsidRDefault="00EB4933">
            <w:pPr>
              <w:jc w:val="right"/>
              <w:rPr>
                <w:rFonts w:eastAsia="Times New Roman"/>
                <w:sz w:val="20"/>
                <w:szCs w:val="20"/>
              </w:rPr>
            </w:pPr>
            <w:r>
              <w:rPr>
                <w:rFonts w:eastAsia="Times New Roman"/>
                <w:sz w:val="20"/>
                <w:szCs w:val="20"/>
              </w:rPr>
              <w:t>(645</w:t>
            </w:r>
          </w:p>
        </w:tc>
        <w:tc>
          <w:tcPr>
            <w:tcW w:w="50" w:type="pct"/>
            <w:shd w:val="clear" w:color="auto" w:fill="CCEEFF"/>
            <w:noWrap/>
            <w:tcMar>
              <w:top w:w="0" w:type="dxa"/>
              <w:left w:w="0" w:type="dxa"/>
              <w:bottom w:w="45" w:type="dxa"/>
              <w:right w:w="0" w:type="dxa"/>
            </w:tcMar>
            <w:vAlign w:val="bottom"/>
            <w:hideMark/>
          </w:tcPr>
          <w:p w14:paraId="3264A8A5"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AA695B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3CA43C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419803C3"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45" w:type="dxa"/>
              <w:right w:w="0" w:type="dxa"/>
            </w:tcMar>
            <w:vAlign w:val="center"/>
            <w:hideMark/>
          </w:tcPr>
          <w:p w14:paraId="7FD5261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22D01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595E1E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4207B202" w14:textId="77777777" w:rsidR="00000000" w:rsidRDefault="00EB4933">
            <w:pPr>
              <w:jc w:val="right"/>
              <w:rPr>
                <w:rFonts w:eastAsia="Times New Roman"/>
                <w:sz w:val="20"/>
                <w:szCs w:val="20"/>
              </w:rPr>
            </w:pPr>
            <w:r>
              <w:rPr>
                <w:rFonts w:eastAsia="Times New Roman"/>
                <w:sz w:val="20"/>
                <w:szCs w:val="20"/>
              </w:rPr>
              <w:t>868,484</w:t>
            </w:r>
          </w:p>
        </w:tc>
        <w:tc>
          <w:tcPr>
            <w:tcW w:w="50" w:type="pct"/>
            <w:shd w:val="clear" w:color="auto" w:fill="CCEEFF"/>
            <w:noWrap/>
            <w:tcMar>
              <w:top w:w="0" w:type="dxa"/>
              <w:left w:w="0" w:type="dxa"/>
              <w:bottom w:w="45" w:type="dxa"/>
              <w:right w:w="0" w:type="dxa"/>
            </w:tcMar>
            <w:vAlign w:val="center"/>
            <w:hideMark/>
          </w:tcPr>
          <w:p w14:paraId="3C44C9D3" w14:textId="77777777" w:rsidR="00000000" w:rsidRDefault="00EB4933">
            <w:pPr>
              <w:pStyle w:val="NormalWeb"/>
              <w:spacing w:before="0" w:beforeAutospacing="0" w:after="0" w:afterAutospacing="0"/>
              <w:rPr>
                <w:sz w:val="20"/>
                <w:szCs w:val="20"/>
              </w:rPr>
            </w:pPr>
            <w:r>
              <w:rPr>
                <w:sz w:val="20"/>
                <w:szCs w:val="20"/>
              </w:rPr>
              <w:t> </w:t>
            </w:r>
          </w:p>
        </w:tc>
      </w:tr>
      <w:tr w:rsidR="00000000" w14:paraId="7477DF87" w14:textId="77777777">
        <w:trPr>
          <w:divId w:val="98525094"/>
          <w:trHeight w:val="225"/>
          <w:tblCellSpacing w:w="15" w:type="dxa"/>
        </w:trPr>
        <w:tc>
          <w:tcPr>
            <w:tcW w:w="0" w:type="auto"/>
            <w:shd w:val="clear" w:color="auto" w:fill="FFFFFF"/>
            <w:vAlign w:val="center"/>
            <w:hideMark/>
          </w:tcPr>
          <w:p w14:paraId="2245219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25642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8134D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1D601A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0AA88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EF3D3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0C7DC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84360B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E12EC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CB94C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16868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C32ED4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C4FA7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CA241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D847D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44A1FF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B8F411" w14:textId="77777777" w:rsidR="00000000" w:rsidRDefault="00EB4933">
            <w:pPr>
              <w:pStyle w:val="NormalWeb"/>
              <w:spacing w:before="0" w:beforeAutospacing="0" w:after="0" w:afterAutospacing="0"/>
              <w:rPr>
                <w:sz w:val="20"/>
                <w:szCs w:val="20"/>
              </w:rPr>
            </w:pPr>
            <w:r>
              <w:rPr>
                <w:sz w:val="20"/>
                <w:szCs w:val="20"/>
              </w:rPr>
              <w:t> </w:t>
            </w:r>
          </w:p>
        </w:tc>
      </w:tr>
      <w:tr w:rsidR="00000000" w14:paraId="04088FDE" w14:textId="77777777">
        <w:trPr>
          <w:divId w:val="98525094"/>
          <w:trHeight w:val="225"/>
          <w:tblCellSpacing w:w="15" w:type="dxa"/>
        </w:trPr>
        <w:tc>
          <w:tcPr>
            <w:tcW w:w="0" w:type="auto"/>
            <w:shd w:val="clear" w:color="auto" w:fill="CCEEFF"/>
            <w:hideMark/>
          </w:tcPr>
          <w:p w14:paraId="35C73674" w14:textId="77777777" w:rsidR="00000000" w:rsidRDefault="00EB4933">
            <w:pPr>
              <w:pStyle w:val="NormalWeb"/>
              <w:spacing w:before="0" w:beforeAutospacing="0" w:after="0" w:afterAutospacing="0"/>
              <w:rPr>
                <w:sz w:val="20"/>
                <w:szCs w:val="20"/>
              </w:rPr>
            </w:pPr>
            <w:r>
              <w:rPr>
                <w:rStyle w:val="Strong"/>
                <w:sz w:val="20"/>
                <w:szCs w:val="20"/>
              </w:rPr>
              <w:t>Current liabilities</w:t>
            </w:r>
          </w:p>
        </w:tc>
        <w:tc>
          <w:tcPr>
            <w:tcW w:w="50" w:type="pct"/>
            <w:shd w:val="clear" w:color="auto" w:fill="CCEEFF"/>
            <w:noWrap/>
            <w:vAlign w:val="center"/>
            <w:hideMark/>
          </w:tcPr>
          <w:p w14:paraId="3680D61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A1CA9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4E57FA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5E4AF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6E826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8E7F3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2B439B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17640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63F5C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D9438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9FFDF7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2CC12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F9F43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1ACB0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DEBBEB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000691" w14:textId="77777777" w:rsidR="00000000" w:rsidRDefault="00EB4933">
            <w:pPr>
              <w:pStyle w:val="NormalWeb"/>
              <w:spacing w:before="0" w:beforeAutospacing="0" w:after="0" w:afterAutospacing="0"/>
              <w:rPr>
                <w:sz w:val="20"/>
                <w:szCs w:val="20"/>
              </w:rPr>
            </w:pPr>
            <w:r>
              <w:rPr>
                <w:sz w:val="20"/>
                <w:szCs w:val="20"/>
              </w:rPr>
              <w:t> </w:t>
            </w:r>
          </w:p>
        </w:tc>
      </w:tr>
      <w:tr w:rsidR="00000000" w14:paraId="21F060FB" w14:textId="77777777">
        <w:trPr>
          <w:divId w:val="98525094"/>
          <w:trHeight w:val="225"/>
          <w:tblCellSpacing w:w="15" w:type="dxa"/>
        </w:trPr>
        <w:tc>
          <w:tcPr>
            <w:tcW w:w="0" w:type="auto"/>
            <w:shd w:val="clear" w:color="auto" w:fill="FFFFFF"/>
            <w:hideMark/>
          </w:tcPr>
          <w:p w14:paraId="5783EB0C" w14:textId="77777777" w:rsidR="00000000" w:rsidRDefault="00EB4933">
            <w:pPr>
              <w:pStyle w:val="NormalWeb"/>
              <w:spacing w:before="0" w:beforeAutospacing="0" w:after="0" w:afterAutospacing="0"/>
              <w:rPr>
                <w:sz w:val="20"/>
                <w:szCs w:val="20"/>
              </w:rPr>
            </w:pPr>
            <w:r>
              <w:rPr>
                <w:sz w:val="20"/>
                <w:szCs w:val="20"/>
              </w:rPr>
              <w:t>Income taxes payable (note 30.3)</w:t>
            </w:r>
          </w:p>
        </w:tc>
        <w:tc>
          <w:tcPr>
            <w:tcW w:w="50" w:type="pct"/>
            <w:shd w:val="clear" w:color="auto" w:fill="FFFFFF"/>
            <w:noWrap/>
            <w:vAlign w:val="center"/>
            <w:hideMark/>
          </w:tcPr>
          <w:p w14:paraId="7ADD1C6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985F1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3858305" w14:textId="77777777" w:rsidR="00000000" w:rsidRDefault="00EB4933">
            <w:pPr>
              <w:jc w:val="right"/>
              <w:rPr>
                <w:rFonts w:eastAsia="Times New Roman"/>
                <w:sz w:val="20"/>
                <w:szCs w:val="20"/>
              </w:rPr>
            </w:pPr>
            <w:r>
              <w:rPr>
                <w:rFonts w:eastAsia="Times New Roman"/>
                <w:sz w:val="20"/>
                <w:szCs w:val="20"/>
              </w:rPr>
              <w:t>14,851</w:t>
            </w:r>
          </w:p>
        </w:tc>
        <w:tc>
          <w:tcPr>
            <w:tcW w:w="50" w:type="pct"/>
            <w:shd w:val="clear" w:color="auto" w:fill="FFFFFF"/>
            <w:noWrap/>
            <w:vAlign w:val="center"/>
            <w:hideMark/>
          </w:tcPr>
          <w:p w14:paraId="14004C7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81DEB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4A3E3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241AA1C" w14:textId="77777777" w:rsidR="00000000" w:rsidRDefault="00EB4933">
            <w:pPr>
              <w:jc w:val="right"/>
              <w:rPr>
                <w:rFonts w:eastAsia="Times New Roman"/>
                <w:sz w:val="20"/>
                <w:szCs w:val="20"/>
              </w:rPr>
            </w:pPr>
            <w:r>
              <w:rPr>
                <w:rFonts w:eastAsia="Times New Roman"/>
                <w:sz w:val="20"/>
                <w:szCs w:val="20"/>
              </w:rPr>
              <w:t>269</w:t>
            </w:r>
          </w:p>
        </w:tc>
        <w:tc>
          <w:tcPr>
            <w:tcW w:w="50" w:type="pct"/>
            <w:shd w:val="clear" w:color="auto" w:fill="FFFFFF"/>
            <w:noWrap/>
            <w:vAlign w:val="center"/>
            <w:hideMark/>
          </w:tcPr>
          <w:p w14:paraId="4C27BDC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A756D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BAC1F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0AF9DA9"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C40251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DB2B1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10B50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DFD6C57" w14:textId="77777777" w:rsidR="00000000" w:rsidRDefault="00EB4933">
            <w:pPr>
              <w:jc w:val="right"/>
              <w:rPr>
                <w:rFonts w:eastAsia="Times New Roman"/>
                <w:sz w:val="20"/>
                <w:szCs w:val="20"/>
              </w:rPr>
            </w:pPr>
            <w:r>
              <w:rPr>
                <w:rFonts w:eastAsia="Times New Roman"/>
                <w:sz w:val="20"/>
                <w:szCs w:val="20"/>
              </w:rPr>
              <w:t>15,120</w:t>
            </w:r>
          </w:p>
        </w:tc>
        <w:tc>
          <w:tcPr>
            <w:tcW w:w="50" w:type="pct"/>
            <w:shd w:val="clear" w:color="auto" w:fill="FFFFFF"/>
            <w:noWrap/>
            <w:vAlign w:val="center"/>
            <w:hideMark/>
          </w:tcPr>
          <w:p w14:paraId="3E32122F" w14:textId="77777777" w:rsidR="00000000" w:rsidRDefault="00EB4933">
            <w:pPr>
              <w:pStyle w:val="NormalWeb"/>
              <w:spacing w:before="0" w:beforeAutospacing="0" w:after="0" w:afterAutospacing="0"/>
              <w:rPr>
                <w:sz w:val="20"/>
                <w:szCs w:val="20"/>
              </w:rPr>
            </w:pPr>
            <w:r>
              <w:rPr>
                <w:sz w:val="20"/>
                <w:szCs w:val="20"/>
              </w:rPr>
              <w:t> </w:t>
            </w:r>
          </w:p>
        </w:tc>
      </w:tr>
      <w:tr w:rsidR="00000000" w14:paraId="08E0C969" w14:textId="77777777">
        <w:trPr>
          <w:divId w:val="98525094"/>
          <w:trHeight w:val="225"/>
          <w:tblCellSpacing w:w="15" w:type="dxa"/>
        </w:trPr>
        <w:tc>
          <w:tcPr>
            <w:tcW w:w="0" w:type="auto"/>
            <w:shd w:val="clear" w:color="auto" w:fill="CCEEFF"/>
            <w:hideMark/>
          </w:tcPr>
          <w:p w14:paraId="1DC530BD" w14:textId="77777777" w:rsidR="00000000" w:rsidRDefault="00EB4933">
            <w:pPr>
              <w:pStyle w:val="NormalWeb"/>
              <w:spacing w:before="0" w:beforeAutospacing="0" w:after="0" w:afterAutospacing="0"/>
              <w:rPr>
                <w:sz w:val="20"/>
                <w:szCs w:val="20"/>
              </w:rPr>
            </w:pPr>
            <w:r>
              <w:rPr>
                <w:sz w:val="20"/>
                <w:szCs w:val="20"/>
              </w:rPr>
              <w:t>Interest payable (note 30.1)</w:t>
            </w:r>
          </w:p>
        </w:tc>
        <w:tc>
          <w:tcPr>
            <w:tcW w:w="50" w:type="pct"/>
            <w:shd w:val="clear" w:color="auto" w:fill="CCEEFF"/>
            <w:noWrap/>
            <w:vAlign w:val="center"/>
            <w:hideMark/>
          </w:tcPr>
          <w:p w14:paraId="30EB74F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F1F07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3A2871C" w14:textId="77777777" w:rsidR="00000000" w:rsidRDefault="00EB4933">
            <w:pPr>
              <w:jc w:val="right"/>
              <w:rPr>
                <w:rFonts w:eastAsia="Times New Roman"/>
                <w:sz w:val="20"/>
                <w:szCs w:val="20"/>
              </w:rPr>
            </w:pPr>
            <w:r>
              <w:rPr>
                <w:rFonts w:eastAsia="Times New Roman"/>
                <w:sz w:val="20"/>
                <w:szCs w:val="20"/>
              </w:rPr>
              <w:t>4,560</w:t>
            </w:r>
          </w:p>
        </w:tc>
        <w:tc>
          <w:tcPr>
            <w:tcW w:w="50" w:type="pct"/>
            <w:shd w:val="clear" w:color="auto" w:fill="CCEEFF"/>
            <w:noWrap/>
            <w:vAlign w:val="center"/>
            <w:hideMark/>
          </w:tcPr>
          <w:p w14:paraId="0D25DF0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EA605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7FD8E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5B0FF31" w14:textId="77777777" w:rsidR="00000000" w:rsidRDefault="00EB4933">
            <w:pPr>
              <w:jc w:val="right"/>
              <w:rPr>
                <w:rFonts w:eastAsia="Times New Roman"/>
                <w:sz w:val="20"/>
                <w:szCs w:val="20"/>
              </w:rPr>
            </w:pPr>
            <w:r>
              <w:rPr>
                <w:rFonts w:eastAsia="Times New Roman"/>
                <w:sz w:val="20"/>
                <w:szCs w:val="20"/>
              </w:rPr>
              <w:t>(731</w:t>
            </w:r>
          </w:p>
        </w:tc>
        <w:tc>
          <w:tcPr>
            <w:tcW w:w="50" w:type="pct"/>
            <w:shd w:val="clear" w:color="auto" w:fill="CCEEFF"/>
            <w:noWrap/>
            <w:vAlign w:val="bottom"/>
            <w:hideMark/>
          </w:tcPr>
          <w:p w14:paraId="023AE7FA"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8E207E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554D7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D886E1F"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5F56A1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F3C22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6B5AA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D81C3BD" w14:textId="77777777" w:rsidR="00000000" w:rsidRDefault="00EB4933">
            <w:pPr>
              <w:jc w:val="right"/>
              <w:rPr>
                <w:rFonts w:eastAsia="Times New Roman"/>
                <w:sz w:val="20"/>
                <w:szCs w:val="20"/>
              </w:rPr>
            </w:pPr>
            <w:r>
              <w:rPr>
                <w:rFonts w:eastAsia="Times New Roman"/>
                <w:sz w:val="20"/>
                <w:szCs w:val="20"/>
              </w:rPr>
              <w:t>3,829</w:t>
            </w:r>
          </w:p>
        </w:tc>
        <w:tc>
          <w:tcPr>
            <w:tcW w:w="50" w:type="pct"/>
            <w:shd w:val="clear" w:color="auto" w:fill="CCEEFF"/>
            <w:noWrap/>
            <w:vAlign w:val="center"/>
            <w:hideMark/>
          </w:tcPr>
          <w:p w14:paraId="163EF8F0" w14:textId="77777777" w:rsidR="00000000" w:rsidRDefault="00EB4933">
            <w:pPr>
              <w:pStyle w:val="NormalWeb"/>
              <w:spacing w:before="0" w:beforeAutospacing="0" w:after="0" w:afterAutospacing="0"/>
              <w:rPr>
                <w:sz w:val="20"/>
                <w:szCs w:val="20"/>
              </w:rPr>
            </w:pPr>
            <w:r>
              <w:rPr>
                <w:sz w:val="20"/>
                <w:szCs w:val="20"/>
              </w:rPr>
              <w:t> </w:t>
            </w:r>
          </w:p>
        </w:tc>
      </w:tr>
      <w:tr w:rsidR="00000000" w14:paraId="6C26E385" w14:textId="77777777">
        <w:trPr>
          <w:divId w:val="98525094"/>
          <w:trHeight w:val="225"/>
          <w:tblCellSpacing w:w="15" w:type="dxa"/>
        </w:trPr>
        <w:tc>
          <w:tcPr>
            <w:tcW w:w="0" w:type="auto"/>
            <w:shd w:val="clear" w:color="auto" w:fill="FFFFFF"/>
            <w:hideMark/>
          </w:tcPr>
          <w:p w14:paraId="329B79CB" w14:textId="77777777" w:rsidR="00000000" w:rsidRDefault="00EB4933">
            <w:pPr>
              <w:pStyle w:val="NormalWeb"/>
              <w:spacing w:before="0" w:beforeAutospacing="0" w:after="0" w:afterAutospacing="0"/>
              <w:rPr>
                <w:sz w:val="20"/>
                <w:szCs w:val="20"/>
              </w:rPr>
            </w:pPr>
            <w:r>
              <w:rPr>
                <w:sz w:val="20"/>
                <w:szCs w:val="20"/>
              </w:rPr>
              <w:t>Other payable (notes 30.1 and 30.2)</w:t>
            </w:r>
          </w:p>
        </w:tc>
        <w:tc>
          <w:tcPr>
            <w:tcW w:w="50" w:type="pct"/>
            <w:shd w:val="clear" w:color="auto" w:fill="FFFFFF"/>
            <w:noWrap/>
            <w:vAlign w:val="center"/>
            <w:hideMark/>
          </w:tcPr>
          <w:p w14:paraId="119C208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D980B2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CF158B2" w14:textId="77777777" w:rsidR="00000000" w:rsidRDefault="00EB4933">
            <w:pPr>
              <w:jc w:val="right"/>
              <w:rPr>
                <w:rFonts w:eastAsia="Times New Roman"/>
                <w:sz w:val="20"/>
                <w:szCs w:val="20"/>
              </w:rPr>
            </w:pPr>
            <w:r>
              <w:rPr>
                <w:rFonts w:eastAsia="Times New Roman"/>
                <w:sz w:val="20"/>
                <w:szCs w:val="20"/>
              </w:rPr>
              <w:t>15,730</w:t>
            </w:r>
          </w:p>
        </w:tc>
        <w:tc>
          <w:tcPr>
            <w:tcW w:w="50" w:type="pct"/>
            <w:shd w:val="clear" w:color="auto" w:fill="FFFFFF"/>
            <w:noWrap/>
            <w:tcMar>
              <w:top w:w="0" w:type="dxa"/>
              <w:left w:w="0" w:type="dxa"/>
              <w:bottom w:w="15" w:type="dxa"/>
              <w:right w:w="0" w:type="dxa"/>
            </w:tcMar>
            <w:vAlign w:val="center"/>
            <w:hideMark/>
          </w:tcPr>
          <w:p w14:paraId="11E489F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8DB8C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2F5666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B676B24" w14:textId="77777777" w:rsidR="00000000" w:rsidRDefault="00EB4933">
            <w:pPr>
              <w:jc w:val="right"/>
              <w:rPr>
                <w:rFonts w:eastAsia="Times New Roman"/>
                <w:sz w:val="20"/>
                <w:szCs w:val="20"/>
              </w:rPr>
            </w:pPr>
            <w:r>
              <w:rPr>
                <w:rFonts w:eastAsia="Times New Roman"/>
                <w:sz w:val="20"/>
                <w:szCs w:val="20"/>
              </w:rPr>
              <w:t>10,986</w:t>
            </w:r>
          </w:p>
        </w:tc>
        <w:tc>
          <w:tcPr>
            <w:tcW w:w="50" w:type="pct"/>
            <w:shd w:val="clear" w:color="auto" w:fill="FFFFFF"/>
            <w:noWrap/>
            <w:tcMar>
              <w:top w:w="0" w:type="dxa"/>
              <w:left w:w="0" w:type="dxa"/>
              <w:bottom w:w="15" w:type="dxa"/>
              <w:right w:w="0" w:type="dxa"/>
            </w:tcMar>
            <w:vAlign w:val="center"/>
            <w:hideMark/>
          </w:tcPr>
          <w:p w14:paraId="4986347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97CB1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6580A7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A96B63A"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22D982A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74E66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8B7D2A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F1A788A" w14:textId="77777777" w:rsidR="00000000" w:rsidRDefault="00EB4933">
            <w:pPr>
              <w:jc w:val="right"/>
              <w:rPr>
                <w:rFonts w:eastAsia="Times New Roman"/>
                <w:sz w:val="20"/>
                <w:szCs w:val="20"/>
              </w:rPr>
            </w:pPr>
            <w:r>
              <w:rPr>
                <w:rFonts w:eastAsia="Times New Roman"/>
                <w:sz w:val="20"/>
                <w:szCs w:val="20"/>
              </w:rPr>
              <w:t>26,716</w:t>
            </w:r>
          </w:p>
        </w:tc>
        <w:tc>
          <w:tcPr>
            <w:tcW w:w="50" w:type="pct"/>
            <w:shd w:val="clear" w:color="auto" w:fill="FFFFFF"/>
            <w:noWrap/>
            <w:tcMar>
              <w:top w:w="0" w:type="dxa"/>
              <w:left w:w="0" w:type="dxa"/>
              <w:bottom w:w="15" w:type="dxa"/>
              <w:right w:w="0" w:type="dxa"/>
            </w:tcMar>
            <w:vAlign w:val="center"/>
            <w:hideMark/>
          </w:tcPr>
          <w:p w14:paraId="558F0E5D" w14:textId="77777777" w:rsidR="00000000" w:rsidRDefault="00EB4933">
            <w:pPr>
              <w:pStyle w:val="NormalWeb"/>
              <w:spacing w:before="0" w:beforeAutospacing="0" w:after="0" w:afterAutospacing="0"/>
              <w:rPr>
                <w:sz w:val="20"/>
                <w:szCs w:val="20"/>
              </w:rPr>
            </w:pPr>
            <w:r>
              <w:rPr>
                <w:sz w:val="20"/>
                <w:szCs w:val="20"/>
              </w:rPr>
              <w:t> </w:t>
            </w:r>
          </w:p>
        </w:tc>
      </w:tr>
      <w:tr w:rsidR="00000000" w14:paraId="1F6AF071" w14:textId="77777777">
        <w:trPr>
          <w:divId w:val="98525094"/>
          <w:trHeight w:val="225"/>
          <w:tblCellSpacing w:w="15" w:type="dxa"/>
        </w:trPr>
        <w:tc>
          <w:tcPr>
            <w:tcW w:w="0" w:type="auto"/>
            <w:shd w:val="clear" w:color="auto" w:fill="CCEEFF"/>
            <w:hideMark/>
          </w:tcPr>
          <w:p w14:paraId="2AF34813" w14:textId="77777777" w:rsidR="00000000" w:rsidRDefault="00EB4933">
            <w:pPr>
              <w:pStyle w:val="NormalWeb"/>
              <w:spacing w:before="0" w:beforeAutospacing="0" w:after="0" w:afterAutospacing="0"/>
              <w:rPr>
                <w:sz w:val="20"/>
                <w:szCs w:val="20"/>
              </w:rPr>
            </w:pPr>
            <w:r>
              <w:rPr>
                <w:rStyle w:val="Strong"/>
                <w:sz w:val="20"/>
                <w:szCs w:val="20"/>
              </w:rPr>
              <w:t>Total current liabilities</w:t>
            </w:r>
          </w:p>
        </w:tc>
        <w:tc>
          <w:tcPr>
            <w:tcW w:w="50" w:type="pct"/>
            <w:shd w:val="clear" w:color="auto" w:fill="CCEEFF"/>
            <w:noWrap/>
            <w:vAlign w:val="center"/>
            <w:hideMark/>
          </w:tcPr>
          <w:p w14:paraId="5220C3F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E0AA40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942D34C" w14:textId="77777777" w:rsidR="00000000" w:rsidRDefault="00EB4933">
            <w:pPr>
              <w:jc w:val="right"/>
              <w:rPr>
                <w:rFonts w:eastAsia="Times New Roman"/>
                <w:sz w:val="20"/>
                <w:szCs w:val="20"/>
              </w:rPr>
            </w:pPr>
            <w:r>
              <w:rPr>
                <w:rFonts w:eastAsia="Times New Roman"/>
                <w:sz w:val="20"/>
                <w:szCs w:val="20"/>
              </w:rPr>
              <w:t>265,076</w:t>
            </w:r>
          </w:p>
        </w:tc>
        <w:tc>
          <w:tcPr>
            <w:tcW w:w="50" w:type="pct"/>
            <w:shd w:val="clear" w:color="auto" w:fill="CCEEFF"/>
            <w:noWrap/>
            <w:tcMar>
              <w:top w:w="0" w:type="dxa"/>
              <w:left w:w="0" w:type="dxa"/>
              <w:bottom w:w="15" w:type="dxa"/>
              <w:right w:w="0" w:type="dxa"/>
            </w:tcMar>
            <w:vAlign w:val="center"/>
            <w:hideMark/>
          </w:tcPr>
          <w:p w14:paraId="63B0B3A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E995A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81E8B5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6D495D8" w14:textId="77777777" w:rsidR="00000000" w:rsidRDefault="00EB4933">
            <w:pPr>
              <w:jc w:val="right"/>
              <w:rPr>
                <w:rFonts w:eastAsia="Times New Roman"/>
                <w:sz w:val="20"/>
                <w:szCs w:val="20"/>
              </w:rPr>
            </w:pPr>
            <w:r>
              <w:rPr>
                <w:rFonts w:eastAsia="Times New Roman"/>
                <w:sz w:val="20"/>
                <w:szCs w:val="20"/>
              </w:rPr>
              <w:t>10,524</w:t>
            </w:r>
          </w:p>
        </w:tc>
        <w:tc>
          <w:tcPr>
            <w:tcW w:w="50" w:type="pct"/>
            <w:shd w:val="clear" w:color="auto" w:fill="CCEEFF"/>
            <w:noWrap/>
            <w:tcMar>
              <w:top w:w="0" w:type="dxa"/>
              <w:left w:w="0" w:type="dxa"/>
              <w:bottom w:w="15" w:type="dxa"/>
              <w:right w:w="0" w:type="dxa"/>
            </w:tcMar>
            <w:vAlign w:val="center"/>
            <w:hideMark/>
          </w:tcPr>
          <w:p w14:paraId="6485687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04A33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5F78CD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4E1FB2D"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4C6DD19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0EDC2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11FE05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EEF2BB9" w14:textId="77777777" w:rsidR="00000000" w:rsidRDefault="00EB4933">
            <w:pPr>
              <w:jc w:val="right"/>
              <w:rPr>
                <w:rFonts w:eastAsia="Times New Roman"/>
                <w:sz w:val="20"/>
                <w:szCs w:val="20"/>
              </w:rPr>
            </w:pPr>
            <w:r>
              <w:rPr>
                <w:rFonts w:eastAsia="Times New Roman"/>
                <w:sz w:val="20"/>
                <w:szCs w:val="20"/>
              </w:rPr>
              <w:t>275,600</w:t>
            </w:r>
          </w:p>
        </w:tc>
        <w:tc>
          <w:tcPr>
            <w:tcW w:w="50" w:type="pct"/>
            <w:shd w:val="clear" w:color="auto" w:fill="CCEEFF"/>
            <w:noWrap/>
            <w:tcMar>
              <w:top w:w="0" w:type="dxa"/>
              <w:left w:w="0" w:type="dxa"/>
              <w:bottom w:w="15" w:type="dxa"/>
              <w:right w:w="0" w:type="dxa"/>
            </w:tcMar>
            <w:vAlign w:val="center"/>
            <w:hideMark/>
          </w:tcPr>
          <w:p w14:paraId="486D2D2D" w14:textId="77777777" w:rsidR="00000000" w:rsidRDefault="00EB4933">
            <w:pPr>
              <w:pStyle w:val="NormalWeb"/>
              <w:spacing w:before="0" w:beforeAutospacing="0" w:after="0" w:afterAutospacing="0"/>
              <w:rPr>
                <w:sz w:val="20"/>
                <w:szCs w:val="20"/>
              </w:rPr>
            </w:pPr>
            <w:r>
              <w:rPr>
                <w:sz w:val="20"/>
                <w:szCs w:val="20"/>
              </w:rPr>
              <w:t> </w:t>
            </w:r>
          </w:p>
        </w:tc>
      </w:tr>
      <w:tr w:rsidR="00000000" w14:paraId="06AE4737" w14:textId="77777777">
        <w:trPr>
          <w:divId w:val="98525094"/>
          <w:trHeight w:val="225"/>
          <w:tblCellSpacing w:w="15" w:type="dxa"/>
        </w:trPr>
        <w:tc>
          <w:tcPr>
            <w:tcW w:w="0" w:type="auto"/>
            <w:shd w:val="clear" w:color="auto" w:fill="FFFFFF"/>
            <w:hideMark/>
          </w:tcPr>
          <w:p w14:paraId="6496D167" w14:textId="77777777" w:rsidR="00000000" w:rsidRDefault="00EB4933">
            <w:pPr>
              <w:pStyle w:val="NormalWeb"/>
              <w:spacing w:before="0" w:beforeAutospacing="0" w:after="0" w:afterAutospacing="0"/>
              <w:rPr>
                <w:sz w:val="20"/>
                <w:szCs w:val="20"/>
              </w:rPr>
            </w:pPr>
            <w:r>
              <w:rPr>
                <w:rStyle w:val="Strong"/>
                <w:sz w:val="20"/>
                <w:szCs w:val="20"/>
              </w:rPr>
              <w:t>Shareholders’ equity</w:t>
            </w:r>
          </w:p>
        </w:tc>
        <w:tc>
          <w:tcPr>
            <w:tcW w:w="50" w:type="pct"/>
            <w:shd w:val="clear" w:color="auto" w:fill="FFFFFF"/>
            <w:noWrap/>
            <w:vAlign w:val="center"/>
            <w:hideMark/>
          </w:tcPr>
          <w:p w14:paraId="08EC38A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464F8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9651D3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1DE16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5C146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87051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1DBF9A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049C5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EF4D7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7B921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8A1521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D79B1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66A86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57AE2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CC1825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B2DBFD" w14:textId="77777777" w:rsidR="00000000" w:rsidRDefault="00EB4933">
            <w:pPr>
              <w:pStyle w:val="NormalWeb"/>
              <w:spacing w:before="0" w:beforeAutospacing="0" w:after="0" w:afterAutospacing="0"/>
              <w:rPr>
                <w:sz w:val="20"/>
                <w:szCs w:val="20"/>
              </w:rPr>
            </w:pPr>
            <w:r>
              <w:rPr>
                <w:sz w:val="20"/>
                <w:szCs w:val="20"/>
              </w:rPr>
              <w:t> </w:t>
            </w:r>
          </w:p>
        </w:tc>
      </w:tr>
      <w:tr w:rsidR="00000000" w14:paraId="247CA735" w14:textId="77777777">
        <w:trPr>
          <w:divId w:val="98525094"/>
          <w:trHeight w:val="225"/>
          <w:tblCellSpacing w:w="15" w:type="dxa"/>
        </w:trPr>
        <w:tc>
          <w:tcPr>
            <w:tcW w:w="0" w:type="auto"/>
            <w:shd w:val="clear" w:color="auto" w:fill="CCEEFF"/>
            <w:hideMark/>
          </w:tcPr>
          <w:p w14:paraId="66EEB556" w14:textId="77777777" w:rsidR="00000000" w:rsidRDefault="00EB4933">
            <w:pPr>
              <w:pStyle w:val="NormalWeb"/>
              <w:spacing w:before="0" w:beforeAutospacing="0" w:after="0" w:afterAutospacing="0"/>
              <w:rPr>
                <w:sz w:val="20"/>
                <w:szCs w:val="20"/>
              </w:rPr>
            </w:pPr>
            <w:r>
              <w:rPr>
                <w:sz w:val="20"/>
                <w:szCs w:val="20"/>
              </w:rPr>
              <w:t>Additional paid-in capital (note 30.2)</w:t>
            </w:r>
          </w:p>
        </w:tc>
        <w:tc>
          <w:tcPr>
            <w:tcW w:w="50" w:type="pct"/>
            <w:shd w:val="clear" w:color="auto" w:fill="CCEEFF"/>
            <w:noWrap/>
            <w:vAlign w:val="center"/>
            <w:hideMark/>
          </w:tcPr>
          <w:p w14:paraId="6EAF927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929A1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32F8EC5" w14:textId="77777777" w:rsidR="00000000" w:rsidRDefault="00EB4933">
            <w:pPr>
              <w:jc w:val="right"/>
              <w:rPr>
                <w:rFonts w:eastAsia="Times New Roman"/>
                <w:sz w:val="20"/>
                <w:szCs w:val="20"/>
              </w:rPr>
            </w:pPr>
            <w:r>
              <w:rPr>
                <w:rFonts w:eastAsia="Times New Roman"/>
                <w:sz w:val="20"/>
                <w:szCs w:val="20"/>
              </w:rPr>
              <w:t>388,317</w:t>
            </w:r>
          </w:p>
        </w:tc>
        <w:tc>
          <w:tcPr>
            <w:tcW w:w="50" w:type="pct"/>
            <w:shd w:val="clear" w:color="auto" w:fill="CCEEFF"/>
            <w:noWrap/>
            <w:vAlign w:val="center"/>
            <w:hideMark/>
          </w:tcPr>
          <w:p w14:paraId="028510E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E6592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F6912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E2B2BD4" w14:textId="77777777" w:rsidR="00000000" w:rsidRDefault="00EB4933">
            <w:pPr>
              <w:jc w:val="right"/>
              <w:rPr>
                <w:rFonts w:eastAsia="Times New Roman"/>
                <w:sz w:val="20"/>
                <w:szCs w:val="20"/>
              </w:rPr>
            </w:pPr>
            <w:r>
              <w:rPr>
                <w:rFonts w:eastAsia="Times New Roman"/>
                <w:sz w:val="20"/>
                <w:szCs w:val="20"/>
              </w:rPr>
              <w:t>(5,143</w:t>
            </w:r>
          </w:p>
        </w:tc>
        <w:tc>
          <w:tcPr>
            <w:tcW w:w="50" w:type="pct"/>
            <w:shd w:val="clear" w:color="auto" w:fill="CCEEFF"/>
            <w:noWrap/>
            <w:vAlign w:val="bottom"/>
            <w:hideMark/>
          </w:tcPr>
          <w:p w14:paraId="593D59BA"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1A81C3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4E8C0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55E7E32"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51C30F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8F1D5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647F1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06BBCCB" w14:textId="77777777" w:rsidR="00000000" w:rsidRDefault="00EB4933">
            <w:pPr>
              <w:jc w:val="right"/>
              <w:rPr>
                <w:rFonts w:eastAsia="Times New Roman"/>
                <w:sz w:val="20"/>
                <w:szCs w:val="20"/>
              </w:rPr>
            </w:pPr>
            <w:r>
              <w:rPr>
                <w:rFonts w:eastAsia="Times New Roman"/>
                <w:sz w:val="20"/>
                <w:szCs w:val="20"/>
              </w:rPr>
              <w:t>383,174</w:t>
            </w:r>
          </w:p>
        </w:tc>
        <w:tc>
          <w:tcPr>
            <w:tcW w:w="50" w:type="pct"/>
            <w:shd w:val="clear" w:color="auto" w:fill="CCEEFF"/>
            <w:noWrap/>
            <w:vAlign w:val="center"/>
            <w:hideMark/>
          </w:tcPr>
          <w:p w14:paraId="603676E9" w14:textId="77777777" w:rsidR="00000000" w:rsidRDefault="00EB4933">
            <w:pPr>
              <w:pStyle w:val="NormalWeb"/>
              <w:spacing w:before="0" w:beforeAutospacing="0" w:after="0" w:afterAutospacing="0"/>
              <w:rPr>
                <w:sz w:val="20"/>
                <w:szCs w:val="20"/>
              </w:rPr>
            </w:pPr>
            <w:r>
              <w:rPr>
                <w:sz w:val="20"/>
                <w:szCs w:val="20"/>
              </w:rPr>
              <w:t> </w:t>
            </w:r>
          </w:p>
        </w:tc>
      </w:tr>
      <w:tr w:rsidR="00000000" w14:paraId="2DB6465B" w14:textId="77777777">
        <w:trPr>
          <w:divId w:val="98525094"/>
          <w:trHeight w:val="225"/>
          <w:tblCellSpacing w:w="15" w:type="dxa"/>
        </w:trPr>
        <w:tc>
          <w:tcPr>
            <w:tcW w:w="0" w:type="auto"/>
            <w:shd w:val="clear" w:color="auto" w:fill="FFFFFF"/>
            <w:hideMark/>
          </w:tcPr>
          <w:p w14:paraId="5D275892" w14:textId="77777777" w:rsidR="00000000" w:rsidRDefault="00EB4933">
            <w:pPr>
              <w:pStyle w:val="NormalWeb"/>
              <w:spacing w:before="0" w:beforeAutospacing="0" w:after="0" w:afterAutospacing="0"/>
              <w:rPr>
                <w:sz w:val="20"/>
                <w:szCs w:val="20"/>
              </w:rPr>
            </w:pPr>
            <w:r>
              <w:rPr>
                <w:sz w:val="20"/>
                <w:szCs w:val="20"/>
              </w:rPr>
              <w:t>Statutory reserve (note 30.7)</w:t>
            </w:r>
          </w:p>
        </w:tc>
        <w:tc>
          <w:tcPr>
            <w:tcW w:w="50" w:type="pct"/>
            <w:shd w:val="clear" w:color="auto" w:fill="FFFFFF"/>
            <w:noWrap/>
            <w:vAlign w:val="center"/>
            <w:hideMark/>
          </w:tcPr>
          <w:p w14:paraId="497DBB5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8904C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E89DA2D" w14:textId="77777777" w:rsidR="00000000" w:rsidRDefault="00EB4933">
            <w:pPr>
              <w:jc w:val="right"/>
              <w:rPr>
                <w:rFonts w:eastAsia="Times New Roman"/>
                <w:sz w:val="20"/>
                <w:szCs w:val="20"/>
              </w:rPr>
            </w:pPr>
            <w:r>
              <w:rPr>
                <w:rFonts w:eastAsia="Times New Roman"/>
                <w:sz w:val="20"/>
                <w:szCs w:val="20"/>
              </w:rPr>
              <w:t>7,751</w:t>
            </w:r>
          </w:p>
        </w:tc>
        <w:tc>
          <w:tcPr>
            <w:tcW w:w="50" w:type="pct"/>
            <w:shd w:val="clear" w:color="auto" w:fill="FFFFFF"/>
            <w:noWrap/>
            <w:vAlign w:val="center"/>
            <w:hideMark/>
          </w:tcPr>
          <w:p w14:paraId="6983E90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90AFD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B6278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016C215"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4204BE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0D10E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4E069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25EDFBD" w14:textId="77777777" w:rsidR="00000000" w:rsidRDefault="00EB4933">
            <w:pPr>
              <w:jc w:val="right"/>
              <w:rPr>
                <w:rFonts w:eastAsia="Times New Roman"/>
                <w:sz w:val="20"/>
                <w:szCs w:val="20"/>
              </w:rPr>
            </w:pPr>
            <w:r>
              <w:rPr>
                <w:rFonts w:eastAsia="Times New Roman"/>
                <w:sz w:val="20"/>
                <w:szCs w:val="20"/>
              </w:rPr>
              <w:t>5,614</w:t>
            </w:r>
          </w:p>
        </w:tc>
        <w:tc>
          <w:tcPr>
            <w:tcW w:w="50" w:type="pct"/>
            <w:shd w:val="clear" w:color="auto" w:fill="FFFFFF"/>
            <w:noWrap/>
            <w:vAlign w:val="center"/>
            <w:hideMark/>
          </w:tcPr>
          <w:p w14:paraId="4CBA214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9AEBB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52C12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EC8A292" w14:textId="77777777" w:rsidR="00000000" w:rsidRDefault="00EB4933">
            <w:pPr>
              <w:jc w:val="right"/>
              <w:rPr>
                <w:rFonts w:eastAsia="Times New Roman"/>
                <w:sz w:val="20"/>
                <w:szCs w:val="20"/>
              </w:rPr>
            </w:pPr>
            <w:r>
              <w:rPr>
                <w:rFonts w:eastAsia="Times New Roman"/>
                <w:sz w:val="20"/>
                <w:szCs w:val="20"/>
              </w:rPr>
              <w:t>13,365</w:t>
            </w:r>
          </w:p>
        </w:tc>
        <w:tc>
          <w:tcPr>
            <w:tcW w:w="50" w:type="pct"/>
            <w:shd w:val="clear" w:color="auto" w:fill="FFFFFF"/>
            <w:noWrap/>
            <w:vAlign w:val="center"/>
            <w:hideMark/>
          </w:tcPr>
          <w:p w14:paraId="7211BE16" w14:textId="77777777" w:rsidR="00000000" w:rsidRDefault="00EB4933">
            <w:pPr>
              <w:pStyle w:val="NormalWeb"/>
              <w:spacing w:before="0" w:beforeAutospacing="0" w:after="0" w:afterAutospacing="0"/>
              <w:rPr>
                <w:sz w:val="20"/>
                <w:szCs w:val="20"/>
              </w:rPr>
            </w:pPr>
            <w:r>
              <w:rPr>
                <w:sz w:val="20"/>
                <w:szCs w:val="20"/>
              </w:rPr>
              <w:t> </w:t>
            </w:r>
          </w:p>
        </w:tc>
      </w:tr>
      <w:tr w:rsidR="00000000" w14:paraId="00D7284B" w14:textId="77777777">
        <w:trPr>
          <w:divId w:val="98525094"/>
          <w:trHeight w:val="225"/>
          <w:tblCellSpacing w:w="15" w:type="dxa"/>
        </w:trPr>
        <w:tc>
          <w:tcPr>
            <w:tcW w:w="0" w:type="auto"/>
            <w:shd w:val="clear" w:color="auto" w:fill="CCEEFF"/>
            <w:hideMark/>
          </w:tcPr>
          <w:p w14:paraId="44B5EE58" w14:textId="77777777" w:rsidR="00000000" w:rsidRDefault="00EB4933">
            <w:pPr>
              <w:pStyle w:val="NormalWeb"/>
              <w:spacing w:before="0" w:beforeAutospacing="0" w:after="0" w:afterAutospacing="0"/>
              <w:rPr>
                <w:sz w:val="20"/>
                <w:szCs w:val="20"/>
              </w:rPr>
            </w:pPr>
            <w:r>
              <w:rPr>
                <w:sz w:val="20"/>
                <w:szCs w:val="20"/>
              </w:rPr>
              <w:t>General risk reserve (note 30.7)</w:t>
            </w:r>
          </w:p>
        </w:tc>
        <w:tc>
          <w:tcPr>
            <w:tcW w:w="50" w:type="pct"/>
            <w:shd w:val="clear" w:color="auto" w:fill="CCEEFF"/>
            <w:noWrap/>
            <w:vAlign w:val="center"/>
            <w:hideMark/>
          </w:tcPr>
          <w:p w14:paraId="1285854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56D06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886EB6B" w14:textId="77777777" w:rsidR="00000000" w:rsidRDefault="00EB4933">
            <w:pPr>
              <w:jc w:val="right"/>
              <w:rPr>
                <w:rFonts w:eastAsia="Times New Roman"/>
                <w:sz w:val="20"/>
                <w:szCs w:val="20"/>
              </w:rPr>
            </w:pPr>
            <w:r>
              <w:rPr>
                <w:rFonts w:eastAsia="Times New Roman"/>
                <w:sz w:val="20"/>
                <w:szCs w:val="20"/>
              </w:rPr>
              <w:t>5,891</w:t>
            </w:r>
          </w:p>
        </w:tc>
        <w:tc>
          <w:tcPr>
            <w:tcW w:w="50" w:type="pct"/>
            <w:shd w:val="clear" w:color="auto" w:fill="CCEEFF"/>
            <w:noWrap/>
            <w:vAlign w:val="center"/>
            <w:hideMark/>
          </w:tcPr>
          <w:p w14:paraId="7B02517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FB59A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AA5FD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62A7EBC"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74CD9C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4B54D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02F37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7429530" w14:textId="77777777" w:rsidR="00000000" w:rsidRDefault="00EB4933">
            <w:pPr>
              <w:jc w:val="right"/>
              <w:rPr>
                <w:rFonts w:eastAsia="Times New Roman"/>
                <w:sz w:val="20"/>
                <w:szCs w:val="20"/>
              </w:rPr>
            </w:pPr>
            <w:r>
              <w:rPr>
                <w:rFonts w:eastAsia="Times New Roman"/>
                <w:sz w:val="20"/>
                <w:szCs w:val="20"/>
              </w:rPr>
              <w:t>3,926</w:t>
            </w:r>
          </w:p>
        </w:tc>
        <w:tc>
          <w:tcPr>
            <w:tcW w:w="50" w:type="pct"/>
            <w:shd w:val="clear" w:color="auto" w:fill="CCEEFF"/>
            <w:noWrap/>
            <w:vAlign w:val="center"/>
            <w:hideMark/>
          </w:tcPr>
          <w:p w14:paraId="1062296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DC366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B1F03C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FE0A948" w14:textId="77777777" w:rsidR="00000000" w:rsidRDefault="00EB4933">
            <w:pPr>
              <w:jc w:val="right"/>
              <w:rPr>
                <w:rFonts w:eastAsia="Times New Roman"/>
                <w:sz w:val="20"/>
                <w:szCs w:val="20"/>
              </w:rPr>
            </w:pPr>
            <w:r>
              <w:rPr>
                <w:rFonts w:eastAsia="Times New Roman"/>
                <w:sz w:val="20"/>
                <w:szCs w:val="20"/>
              </w:rPr>
              <w:t>9,817</w:t>
            </w:r>
          </w:p>
        </w:tc>
        <w:tc>
          <w:tcPr>
            <w:tcW w:w="50" w:type="pct"/>
            <w:shd w:val="clear" w:color="auto" w:fill="CCEEFF"/>
            <w:noWrap/>
            <w:vAlign w:val="center"/>
            <w:hideMark/>
          </w:tcPr>
          <w:p w14:paraId="58CB0DA4" w14:textId="77777777" w:rsidR="00000000" w:rsidRDefault="00EB4933">
            <w:pPr>
              <w:pStyle w:val="NormalWeb"/>
              <w:spacing w:before="0" w:beforeAutospacing="0" w:after="0" w:afterAutospacing="0"/>
              <w:rPr>
                <w:sz w:val="20"/>
                <w:szCs w:val="20"/>
              </w:rPr>
            </w:pPr>
            <w:r>
              <w:rPr>
                <w:sz w:val="20"/>
                <w:szCs w:val="20"/>
              </w:rPr>
              <w:t> </w:t>
            </w:r>
          </w:p>
        </w:tc>
      </w:tr>
      <w:tr w:rsidR="00000000" w14:paraId="2FF9EC0F" w14:textId="77777777">
        <w:trPr>
          <w:divId w:val="98525094"/>
          <w:trHeight w:val="225"/>
          <w:tblCellSpacing w:w="15" w:type="dxa"/>
        </w:trPr>
        <w:tc>
          <w:tcPr>
            <w:tcW w:w="0" w:type="auto"/>
            <w:shd w:val="clear" w:color="auto" w:fill="FFFFFF"/>
            <w:hideMark/>
          </w:tcPr>
          <w:p w14:paraId="5931854F" w14:textId="77777777" w:rsidR="00000000" w:rsidRDefault="00EB4933">
            <w:pPr>
              <w:pStyle w:val="NormalWeb"/>
              <w:spacing w:before="0" w:beforeAutospacing="0" w:after="0" w:afterAutospacing="0"/>
              <w:rPr>
                <w:sz w:val="20"/>
                <w:szCs w:val="20"/>
              </w:rPr>
            </w:pPr>
            <w:r>
              <w:rPr>
                <w:sz w:val="20"/>
                <w:szCs w:val="20"/>
              </w:rPr>
              <w:t>Retained earnings</w:t>
            </w:r>
          </w:p>
        </w:tc>
        <w:tc>
          <w:tcPr>
            <w:tcW w:w="50" w:type="pct"/>
            <w:shd w:val="clear" w:color="auto" w:fill="FFFFFF"/>
            <w:noWrap/>
            <w:vAlign w:val="center"/>
            <w:hideMark/>
          </w:tcPr>
          <w:p w14:paraId="5BD40D2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09743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2BC8D7F" w14:textId="77777777" w:rsidR="00000000" w:rsidRDefault="00EB4933">
            <w:pPr>
              <w:jc w:val="right"/>
              <w:rPr>
                <w:rFonts w:eastAsia="Times New Roman"/>
                <w:sz w:val="20"/>
                <w:szCs w:val="20"/>
              </w:rPr>
            </w:pPr>
            <w:r>
              <w:rPr>
                <w:rFonts w:eastAsia="Times New Roman"/>
                <w:sz w:val="20"/>
                <w:szCs w:val="20"/>
              </w:rPr>
              <w:t>80,958</w:t>
            </w:r>
          </w:p>
        </w:tc>
        <w:tc>
          <w:tcPr>
            <w:tcW w:w="50" w:type="pct"/>
            <w:shd w:val="clear" w:color="auto" w:fill="FFFFFF"/>
            <w:noWrap/>
            <w:vAlign w:val="center"/>
            <w:hideMark/>
          </w:tcPr>
          <w:p w14:paraId="668CEC1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494B7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E05D9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773F38C" w14:textId="77777777" w:rsidR="00000000" w:rsidRDefault="00EB4933">
            <w:pPr>
              <w:jc w:val="right"/>
              <w:rPr>
                <w:rFonts w:eastAsia="Times New Roman"/>
                <w:sz w:val="20"/>
                <w:szCs w:val="20"/>
              </w:rPr>
            </w:pPr>
            <w:r>
              <w:rPr>
                <w:rFonts w:eastAsia="Times New Roman"/>
                <w:sz w:val="20"/>
                <w:szCs w:val="20"/>
              </w:rPr>
              <w:t>(3,792</w:t>
            </w:r>
          </w:p>
        </w:tc>
        <w:tc>
          <w:tcPr>
            <w:tcW w:w="50" w:type="pct"/>
            <w:shd w:val="clear" w:color="auto" w:fill="FFFFFF"/>
            <w:noWrap/>
            <w:vAlign w:val="bottom"/>
            <w:hideMark/>
          </w:tcPr>
          <w:p w14:paraId="365345CF"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3A9EB1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ACC9D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7C819F1" w14:textId="77777777" w:rsidR="00000000" w:rsidRDefault="00EB4933">
            <w:pPr>
              <w:jc w:val="right"/>
              <w:rPr>
                <w:rFonts w:eastAsia="Times New Roman"/>
                <w:sz w:val="20"/>
                <w:szCs w:val="20"/>
              </w:rPr>
            </w:pPr>
            <w:r>
              <w:rPr>
                <w:rFonts w:eastAsia="Times New Roman"/>
                <w:sz w:val="20"/>
                <w:szCs w:val="20"/>
              </w:rPr>
              <w:t>(9,540</w:t>
            </w:r>
          </w:p>
        </w:tc>
        <w:tc>
          <w:tcPr>
            <w:tcW w:w="50" w:type="pct"/>
            <w:shd w:val="clear" w:color="auto" w:fill="FFFFFF"/>
            <w:noWrap/>
            <w:vAlign w:val="bottom"/>
            <w:hideMark/>
          </w:tcPr>
          <w:p w14:paraId="12980E6A"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E6DC68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65467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C4C0F07" w14:textId="77777777" w:rsidR="00000000" w:rsidRDefault="00EB4933">
            <w:pPr>
              <w:jc w:val="right"/>
              <w:rPr>
                <w:rFonts w:eastAsia="Times New Roman"/>
                <w:sz w:val="20"/>
                <w:szCs w:val="20"/>
              </w:rPr>
            </w:pPr>
            <w:r>
              <w:rPr>
                <w:rFonts w:eastAsia="Times New Roman"/>
                <w:sz w:val="20"/>
                <w:szCs w:val="20"/>
              </w:rPr>
              <w:t>67,626</w:t>
            </w:r>
          </w:p>
        </w:tc>
        <w:tc>
          <w:tcPr>
            <w:tcW w:w="50" w:type="pct"/>
            <w:shd w:val="clear" w:color="auto" w:fill="FFFFFF"/>
            <w:noWrap/>
            <w:vAlign w:val="center"/>
            <w:hideMark/>
          </w:tcPr>
          <w:p w14:paraId="4CE95F4D" w14:textId="77777777" w:rsidR="00000000" w:rsidRDefault="00EB4933">
            <w:pPr>
              <w:pStyle w:val="NormalWeb"/>
              <w:spacing w:before="0" w:beforeAutospacing="0" w:after="0" w:afterAutospacing="0"/>
              <w:rPr>
                <w:sz w:val="20"/>
                <w:szCs w:val="20"/>
              </w:rPr>
            </w:pPr>
            <w:r>
              <w:rPr>
                <w:sz w:val="20"/>
                <w:szCs w:val="20"/>
              </w:rPr>
              <w:t> </w:t>
            </w:r>
          </w:p>
        </w:tc>
      </w:tr>
      <w:tr w:rsidR="00000000" w14:paraId="1DF5DD59" w14:textId="77777777">
        <w:trPr>
          <w:divId w:val="98525094"/>
          <w:trHeight w:val="225"/>
          <w:tblCellSpacing w:w="15" w:type="dxa"/>
        </w:trPr>
        <w:tc>
          <w:tcPr>
            <w:tcW w:w="0" w:type="auto"/>
            <w:shd w:val="clear" w:color="auto" w:fill="CCEEFF"/>
            <w:hideMark/>
          </w:tcPr>
          <w:p w14:paraId="21E1C22F" w14:textId="77777777" w:rsidR="00000000" w:rsidRDefault="00EB4933">
            <w:pPr>
              <w:pStyle w:val="NormalWeb"/>
              <w:spacing w:before="0" w:beforeAutospacing="0" w:after="0" w:afterAutospacing="0"/>
              <w:rPr>
                <w:sz w:val="20"/>
                <w:szCs w:val="20"/>
              </w:rPr>
            </w:pPr>
            <w:r>
              <w:rPr>
                <w:sz w:val="20"/>
                <w:szCs w:val="20"/>
              </w:rPr>
              <w:t>Non-controlling interests in equity</w:t>
            </w:r>
          </w:p>
        </w:tc>
        <w:tc>
          <w:tcPr>
            <w:tcW w:w="50" w:type="pct"/>
            <w:shd w:val="clear" w:color="auto" w:fill="CCEEFF"/>
            <w:noWrap/>
            <w:vAlign w:val="center"/>
            <w:hideMark/>
          </w:tcPr>
          <w:p w14:paraId="6CE34A8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6AF2BD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932527D" w14:textId="77777777" w:rsidR="00000000" w:rsidRDefault="00EB4933">
            <w:pPr>
              <w:jc w:val="right"/>
              <w:rPr>
                <w:rFonts w:eastAsia="Times New Roman"/>
                <w:sz w:val="20"/>
                <w:szCs w:val="20"/>
              </w:rPr>
            </w:pPr>
            <w:r>
              <w:rPr>
                <w:rFonts w:eastAsia="Times New Roman"/>
                <w:sz w:val="20"/>
                <w:szCs w:val="20"/>
              </w:rPr>
              <w:t>120,811</w:t>
            </w:r>
          </w:p>
        </w:tc>
        <w:tc>
          <w:tcPr>
            <w:tcW w:w="50" w:type="pct"/>
            <w:shd w:val="clear" w:color="auto" w:fill="CCEEFF"/>
            <w:noWrap/>
            <w:tcMar>
              <w:top w:w="0" w:type="dxa"/>
              <w:left w:w="0" w:type="dxa"/>
              <w:bottom w:w="15" w:type="dxa"/>
              <w:right w:w="0" w:type="dxa"/>
            </w:tcMar>
            <w:vAlign w:val="center"/>
            <w:hideMark/>
          </w:tcPr>
          <w:p w14:paraId="4A936EC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0CF12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C8C357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9ECF1D3" w14:textId="77777777" w:rsidR="00000000" w:rsidRDefault="00EB4933">
            <w:pPr>
              <w:jc w:val="right"/>
              <w:rPr>
                <w:rFonts w:eastAsia="Times New Roman"/>
                <w:sz w:val="20"/>
                <w:szCs w:val="20"/>
              </w:rPr>
            </w:pPr>
            <w:r>
              <w:rPr>
                <w:rFonts w:eastAsia="Times New Roman"/>
                <w:sz w:val="20"/>
                <w:szCs w:val="20"/>
              </w:rPr>
              <w:t>(2,234</w:t>
            </w:r>
          </w:p>
        </w:tc>
        <w:tc>
          <w:tcPr>
            <w:tcW w:w="50" w:type="pct"/>
            <w:shd w:val="clear" w:color="auto" w:fill="CCEEFF"/>
            <w:noWrap/>
            <w:tcMar>
              <w:top w:w="0" w:type="dxa"/>
              <w:left w:w="0" w:type="dxa"/>
              <w:bottom w:w="15" w:type="dxa"/>
              <w:right w:w="0" w:type="dxa"/>
            </w:tcMar>
            <w:vAlign w:val="bottom"/>
            <w:hideMark/>
          </w:tcPr>
          <w:p w14:paraId="3205F755"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9EE3CE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3A2B57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41890BE"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3D757BD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1C2D5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704145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28DD846" w14:textId="77777777" w:rsidR="00000000" w:rsidRDefault="00EB4933">
            <w:pPr>
              <w:jc w:val="right"/>
              <w:rPr>
                <w:rFonts w:eastAsia="Times New Roman"/>
                <w:sz w:val="20"/>
                <w:szCs w:val="20"/>
              </w:rPr>
            </w:pPr>
            <w:r>
              <w:rPr>
                <w:rFonts w:eastAsia="Times New Roman"/>
                <w:sz w:val="20"/>
                <w:szCs w:val="20"/>
              </w:rPr>
              <w:t>118,577</w:t>
            </w:r>
          </w:p>
        </w:tc>
        <w:tc>
          <w:tcPr>
            <w:tcW w:w="50" w:type="pct"/>
            <w:shd w:val="clear" w:color="auto" w:fill="CCEEFF"/>
            <w:noWrap/>
            <w:tcMar>
              <w:top w:w="0" w:type="dxa"/>
              <w:left w:w="0" w:type="dxa"/>
              <w:bottom w:w="15" w:type="dxa"/>
              <w:right w:w="0" w:type="dxa"/>
            </w:tcMar>
            <w:vAlign w:val="center"/>
            <w:hideMark/>
          </w:tcPr>
          <w:p w14:paraId="26AEE0E1" w14:textId="77777777" w:rsidR="00000000" w:rsidRDefault="00EB4933">
            <w:pPr>
              <w:pStyle w:val="NormalWeb"/>
              <w:spacing w:before="0" w:beforeAutospacing="0" w:after="0" w:afterAutospacing="0"/>
              <w:rPr>
                <w:sz w:val="20"/>
                <w:szCs w:val="20"/>
              </w:rPr>
            </w:pPr>
            <w:r>
              <w:rPr>
                <w:sz w:val="20"/>
                <w:szCs w:val="20"/>
              </w:rPr>
              <w:t> </w:t>
            </w:r>
          </w:p>
        </w:tc>
      </w:tr>
      <w:tr w:rsidR="00000000" w14:paraId="0CAE3EE0" w14:textId="77777777">
        <w:trPr>
          <w:divId w:val="98525094"/>
          <w:trHeight w:val="225"/>
          <w:tblCellSpacing w:w="15" w:type="dxa"/>
        </w:trPr>
        <w:tc>
          <w:tcPr>
            <w:tcW w:w="0" w:type="auto"/>
            <w:shd w:val="clear" w:color="auto" w:fill="FFFFFF"/>
            <w:hideMark/>
          </w:tcPr>
          <w:p w14:paraId="7C396F5A" w14:textId="77777777" w:rsidR="00000000" w:rsidRDefault="00EB4933">
            <w:pPr>
              <w:pStyle w:val="NormalWeb"/>
              <w:spacing w:before="0" w:beforeAutospacing="0" w:after="0" w:afterAutospacing="0"/>
              <w:rPr>
                <w:sz w:val="20"/>
                <w:szCs w:val="20"/>
              </w:rPr>
            </w:pPr>
            <w:r>
              <w:rPr>
                <w:rStyle w:val="Strong"/>
                <w:sz w:val="20"/>
                <w:szCs w:val="20"/>
              </w:rPr>
              <w:t>Total shareholders’ equity</w:t>
            </w:r>
          </w:p>
        </w:tc>
        <w:tc>
          <w:tcPr>
            <w:tcW w:w="50" w:type="pct"/>
            <w:shd w:val="clear" w:color="auto" w:fill="FFFFFF"/>
            <w:noWrap/>
            <w:vAlign w:val="center"/>
            <w:hideMark/>
          </w:tcPr>
          <w:p w14:paraId="4271CF9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335FCD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930CEC4" w14:textId="77777777" w:rsidR="00000000" w:rsidRDefault="00EB4933">
            <w:pPr>
              <w:jc w:val="right"/>
              <w:rPr>
                <w:rFonts w:eastAsia="Times New Roman"/>
                <w:sz w:val="20"/>
                <w:szCs w:val="20"/>
              </w:rPr>
            </w:pPr>
            <w:r>
              <w:rPr>
                <w:rFonts w:eastAsia="Times New Roman"/>
                <w:sz w:val="20"/>
                <w:szCs w:val="20"/>
              </w:rPr>
              <w:t>604,053</w:t>
            </w:r>
          </w:p>
        </w:tc>
        <w:tc>
          <w:tcPr>
            <w:tcW w:w="50" w:type="pct"/>
            <w:shd w:val="clear" w:color="auto" w:fill="FFFFFF"/>
            <w:noWrap/>
            <w:tcMar>
              <w:top w:w="0" w:type="dxa"/>
              <w:left w:w="0" w:type="dxa"/>
              <w:bottom w:w="15" w:type="dxa"/>
              <w:right w:w="0" w:type="dxa"/>
            </w:tcMar>
            <w:vAlign w:val="center"/>
            <w:hideMark/>
          </w:tcPr>
          <w:p w14:paraId="1079242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6D863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EC220A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86C77FF" w14:textId="77777777" w:rsidR="00000000" w:rsidRDefault="00EB4933">
            <w:pPr>
              <w:jc w:val="right"/>
              <w:rPr>
                <w:rFonts w:eastAsia="Times New Roman"/>
                <w:sz w:val="20"/>
                <w:szCs w:val="20"/>
              </w:rPr>
            </w:pPr>
            <w:r>
              <w:rPr>
                <w:rFonts w:eastAsia="Times New Roman"/>
                <w:sz w:val="20"/>
                <w:szCs w:val="20"/>
              </w:rPr>
              <w:t>(11,169</w:t>
            </w:r>
          </w:p>
        </w:tc>
        <w:tc>
          <w:tcPr>
            <w:tcW w:w="50" w:type="pct"/>
            <w:shd w:val="clear" w:color="auto" w:fill="FFFFFF"/>
            <w:noWrap/>
            <w:tcMar>
              <w:top w:w="0" w:type="dxa"/>
              <w:left w:w="0" w:type="dxa"/>
              <w:bottom w:w="15" w:type="dxa"/>
              <w:right w:w="0" w:type="dxa"/>
            </w:tcMar>
            <w:vAlign w:val="bottom"/>
            <w:hideMark/>
          </w:tcPr>
          <w:p w14:paraId="044441BD"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99AA9C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D711BE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7474AA1"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5506A55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B01731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1A9F31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FDF347C" w14:textId="77777777" w:rsidR="00000000" w:rsidRDefault="00EB4933">
            <w:pPr>
              <w:jc w:val="right"/>
              <w:rPr>
                <w:rFonts w:eastAsia="Times New Roman"/>
                <w:sz w:val="20"/>
                <w:szCs w:val="20"/>
              </w:rPr>
            </w:pPr>
            <w:r>
              <w:rPr>
                <w:rFonts w:eastAsia="Times New Roman"/>
                <w:sz w:val="20"/>
                <w:szCs w:val="20"/>
              </w:rPr>
              <w:t>592,884</w:t>
            </w:r>
          </w:p>
        </w:tc>
        <w:tc>
          <w:tcPr>
            <w:tcW w:w="50" w:type="pct"/>
            <w:shd w:val="clear" w:color="auto" w:fill="FFFFFF"/>
            <w:noWrap/>
            <w:tcMar>
              <w:top w:w="0" w:type="dxa"/>
              <w:left w:w="0" w:type="dxa"/>
              <w:bottom w:w="15" w:type="dxa"/>
              <w:right w:w="0" w:type="dxa"/>
            </w:tcMar>
            <w:vAlign w:val="center"/>
            <w:hideMark/>
          </w:tcPr>
          <w:p w14:paraId="60ED5A4E" w14:textId="77777777" w:rsidR="00000000" w:rsidRDefault="00EB4933">
            <w:pPr>
              <w:pStyle w:val="NormalWeb"/>
              <w:spacing w:before="0" w:beforeAutospacing="0" w:after="0" w:afterAutospacing="0"/>
              <w:rPr>
                <w:sz w:val="20"/>
                <w:szCs w:val="20"/>
              </w:rPr>
            </w:pPr>
            <w:r>
              <w:rPr>
                <w:sz w:val="20"/>
                <w:szCs w:val="20"/>
              </w:rPr>
              <w:t> </w:t>
            </w:r>
          </w:p>
        </w:tc>
      </w:tr>
      <w:tr w:rsidR="00000000" w14:paraId="0B4518C5" w14:textId="77777777">
        <w:trPr>
          <w:divId w:val="98525094"/>
          <w:trHeight w:val="225"/>
          <w:tblCellSpacing w:w="15" w:type="dxa"/>
        </w:trPr>
        <w:tc>
          <w:tcPr>
            <w:tcW w:w="0" w:type="auto"/>
            <w:shd w:val="clear" w:color="auto" w:fill="CCEEFF"/>
            <w:vAlign w:val="center"/>
            <w:hideMark/>
          </w:tcPr>
          <w:p w14:paraId="13AED75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88E94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69D7C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787D3B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D21F4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077E3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81515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619E57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842FC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294B8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42F49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EAD7B4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5F1E6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1DED1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1D9AD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1CA32A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04FC04" w14:textId="77777777" w:rsidR="00000000" w:rsidRDefault="00EB4933">
            <w:pPr>
              <w:pStyle w:val="NormalWeb"/>
              <w:spacing w:before="0" w:beforeAutospacing="0" w:after="0" w:afterAutospacing="0"/>
              <w:rPr>
                <w:sz w:val="20"/>
                <w:szCs w:val="20"/>
              </w:rPr>
            </w:pPr>
            <w:r>
              <w:rPr>
                <w:sz w:val="20"/>
                <w:szCs w:val="20"/>
              </w:rPr>
              <w:t> </w:t>
            </w:r>
          </w:p>
        </w:tc>
      </w:tr>
      <w:tr w:rsidR="00000000" w14:paraId="5F044EF2" w14:textId="77777777">
        <w:trPr>
          <w:divId w:val="98525094"/>
          <w:trHeight w:val="225"/>
          <w:tblCellSpacing w:w="15" w:type="dxa"/>
        </w:trPr>
        <w:tc>
          <w:tcPr>
            <w:tcW w:w="0" w:type="auto"/>
            <w:shd w:val="clear" w:color="auto" w:fill="FFFFFF"/>
            <w:hideMark/>
          </w:tcPr>
          <w:p w14:paraId="74D405F2" w14:textId="77777777" w:rsidR="00000000" w:rsidRDefault="00EB4933">
            <w:pPr>
              <w:pStyle w:val="NormalWeb"/>
              <w:spacing w:before="0" w:beforeAutospacing="0" w:after="0" w:afterAutospacing="0"/>
              <w:rPr>
                <w:sz w:val="20"/>
                <w:szCs w:val="20"/>
              </w:rPr>
            </w:pPr>
            <w:r>
              <w:rPr>
                <w:rStyle w:val="Strong"/>
                <w:sz w:val="20"/>
                <w:szCs w:val="20"/>
              </w:rPr>
              <w:t>Total equity and liabilities</w:t>
            </w:r>
          </w:p>
        </w:tc>
        <w:tc>
          <w:tcPr>
            <w:tcW w:w="50" w:type="pct"/>
            <w:shd w:val="clear" w:color="auto" w:fill="FFFFFF"/>
            <w:noWrap/>
            <w:vAlign w:val="center"/>
            <w:hideMark/>
          </w:tcPr>
          <w:p w14:paraId="04F5009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4624551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7AE0D141" w14:textId="77777777" w:rsidR="00000000" w:rsidRDefault="00EB4933">
            <w:pPr>
              <w:jc w:val="right"/>
              <w:rPr>
                <w:rFonts w:eastAsia="Times New Roman"/>
                <w:sz w:val="20"/>
                <w:szCs w:val="20"/>
              </w:rPr>
            </w:pPr>
            <w:r>
              <w:rPr>
                <w:rFonts w:eastAsia="Times New Roman"/>
                <w:sz w:val="20"/>
                <w:szCs w:val="20"/>
              </w:rPr>
              <w:t>869,129</w:t>
            </w:r>
          </w:p>
        </w:tc>
        <w:tc>
          <w:tcPr>
            <w:tcW w:w="50" w:type="pct"/>
            <w:shd w:val="clear" w:color="auto" w:fill="FFFFFF"/>
            <w:noWrap/>
            <w:tcMar>
              <w:top w:w="0" w:type="dxa"/>
              <w:left w:w="0" w:type="dxa"/>
              <w:bottom w:w="45" w:type="dxa"/>
              <w:right w:w="0" w:type="dxa"/>
            </w:tcMar>
            <w:vAlign w:val="center"/>
            <w:hideMark/>
          </w:tcPr>
          <w:p w14:paraId="1DC8A78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CF6B5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7156A4A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23F77AA7" w14:textId="77777777" w:rsidR="00000000" w:rsidRDefault="00EB4933">
            <w:pPr>
              <w:jc w:val="right"/>
              <w:rPr>
                <w:rFonts w:eastAsia="Times New Roman"/>
                <w:sz w:val="20"/>
                <w:szCs w:val="20"/>
              </w:rPr>
            </w:pPr>
            <w:r>
              <w:rPr>
                <w:rFonts w:eastAsia="Times New Roman"/>
                <w:sz w:val="20"/>
                <w:szCs w:val="20"/>
              </w:rPr>
              <w:t>(645</w:t>
            </w:r>
          </w:p>
        </w:tc>
        <w:tc>
          <w:tcPr>
            <w:tcW w:w="50" w:type="pct"/>
            <w:shd w:val="clear" w:color="auto" w:fill="FFFFFF"/>
            <w:noWrap/>
            <w:tcMar>
              <w:top w:w="0" w:type="dxa"/>
              <w:left w:w="0" w:type="dxa"/>
              <w:bottom w:w="45" w:type="dxa"/>
              <w:right w:w="0" w:type="dxa"/>
            </w:tcMar>
            <w:vAlign w:val="bottom"/>
            <w:hideMark/>
          </w:tcPr>
          <w:p w14:paraId="6829265E"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DB1CBD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78E62CA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314C074B"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45" w:type="dxa"/>
              <w:right w:w="0" w:type="dxa"/>
            </w:tcMar>
            <w:vAlign w:val="center"/>
            <w:hideMark/>
          </w:tcPr>
          <w:p w14:paraId="4CC08F3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42984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1FD7D1B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3594A2EF" w14:textId="77777777" w:rsidR="00000000" w:rsidRDefault="00EB4933">
            <w:pPr>
              <w:jc w:val="right"/>
              <w:rPr>
                <w:rFonts w:eastAsia="Times New Roman"/>
                <w:sz w:val="20"/>
                <w:szCs w:val="20"/>
              </w:rPr>
            </w:pPr>
            <w:r>
              <w:rPr>
                <w:rFonts w:eastAsia="Times New Roman"/>
                <w:sz w:val="20"/>
                <w:szCs w:val="20"/>
              </w:rPr>
              <w:t>868,484</w:t>
            </w:r>
          </w:p>
        </w:tc>
        <w:tc>
          <w:tcPr>
            <w:tcW w:w="50" w:type="pct"/>
            <w:shd w:val="clear" w:color="auto" w:fill="FFFFFF"/>
            <w:noWrap/>
            <w:tcMar>
              <w:top w:w="0" w:type="dxa"/>
              <w:left w:w="0" w:type="dxa"/>
              <w:bottom w:w="45" w:type="dxa"/>
              <w:right w:w="0" w:type="dxa"/>
            </w:tcMar>
            <w:vAlign w:val="center"/>
            <w:hideMark/>
          </w:tcPr>
          <w:p w14:paraId="223B7BAD" w14:textId="77777777" w:rsidR="00000000" w:rsidRDefault="00EB4933">
            <w:pPr>
              <w:pStyle w:val="NormalWeb"/>
              <w:spacing w:before="0" w:beforeAutospacing="0" w:after="0" w:afterAutospacing="0"/>
              <w:rPr>
                <w:sz w:val="20"/>
                <w:szCs w:val="20"/>
              </w:rPr>
            </w:pPr>
            <w:r>
              <w:rPr>
                <w:sz w:val="20"/>
                <w:szCs w:val="20"/>
              </w:rPr>
              <w:t> </w:t>
            </w:r>
          </w:p>
        </w:tc>
      </w:tr>
    </w:tbl>
    <w:p w14:paraId="43559579"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4270F35" w14:textId="77777777">
        <w:trPr>
          <w:divId w:val="98525094"/>
          <w:trHeight w:val="225"/>
          <w:tblCellSpacing w:w="15" w:type="dxa"/>
        </w:trPr>
        <w:tc>
          <w:tcPr>
            <w:tcW w:w="0" w:type="auto"/>
            <w:vAlign w:val="center"/>
            <w:hideMark/>
          </w:tcPr>
          <w:p w14:paraId="45540A97" w14:textId="77777777" w:rsidR="00000000" w:rsidRDefault="00EB4933">
            <w:pPr>
              <w:rPr>
                <w:rFonts w:eastAsia="Times New Roman"/>
                <w:sz w:val="20"/>
                <w:szCs w:val="20"/>
              </w:rPr>
            </w:pPr>
            <w:r>
              <w:rPr>
                <w:rFonts w:eastAsia="Times New Roman"/>
                <w:sz w:val="20"/>
                <w:szCs w:val="20"/>
              </w:rPr>
              <w:t> </w:t>
            </w:r>
          </w:p>
        </w:tc>
      </w:tr>
      <w:tr w:rsidR="00000000" w14:paraId="12050A51" w14:textId="77777777">
        <w:trPr>
          <w:divId w:val="98525094"/>
          <w:trHeight w:val="225"/>
          <w:tblCellSpacing w:w="15" w:type="dxa"/>
        </w:trPr>
        <w:tc>
          <w:tcPr>
            <w:tcW w:w="0" w:type="auto"/>
            <w:tcBorders>
              <w:bottom w:val="single" w:sz="6" w:space="0" w:color="000000"/>
            </w:tcBorders>
            <w:vAlign w:val="center"/>
            <w:hideMark/>
          </w:tcPr>
          <w:p w14:paraId="297F419E" w14:textId="77777777" w:rsidR="00000000" w:rsidRDefault="00EB4933">
            <w:pPr>
              <w:jc w:val="center"/>
              <w:rPr>
                <w:rFonts w:eastAsia="Times New Roman"/>
                <w:sz w:val="20"/>
                <w:szCs w:val="20"/>
              </w:rPr>
            </w:pPr>
            <w:r>
              <w:rPr>
                <w:rFonts w:eastAsia="Times New Roman"/>
                <w:sz w:val="20"/>
                <w:szCs w:val="20"/>
              </w:rPr>
              <w:t>F-73</w:t>
            </w:r>
          </w:p>
        </w:tc>
      </w:tr>
      <w:tr w:rsidR="00000000" w14:paraId="76F6EB99" w14:textId="77777777">
        <w:trPr>
          <w:divId w:val="98525094"/>
          <w:trHeight w:val="225"/>
          <w:tblCellSpacing w:w="15" w:type="dxa"/>
        </w:trPr>
        <w:tc>
          <w:tcPr>
            <w:tcW w:w="0" w:type="auto"/>
            <w:vAlign w:val="center"/>
            <w:hideMark/>
          </w:tcPr>
          <w:p w14:paraId="66697694" w14:textId="77777777" w:rsidR="00000000" w:rsidRDefault="00EB4933">
            <w:pPr>
              <w:rPr>
                <w:rFonts w:eastAsia="Times New Roman"/>
                <w:sz w:val="20"/>
                <w:szCs w:val="20"/>
              </w:rPr>
            </w:pPr>
          </w:p>
        </w:tc>
      </w:tr>
      <w:tr w:rsidR="00000000" w14:paraId="50D859FA" w14:textId="77777777">
        <w:trPr>
          <w:divId w:val="98525094"/>
          <w:trHeight w:val="225"/>
          <w:tblCellSpacing w:w="15" w:type="dxa"/>
        </w:trPr>
        <w:tc>
          <w:tcPr>
            <w:tcW w:w="0" w:type="auto"/>
            <w:vAlign w:val="center"/>
            <w:hideMark/>
          </w:tcPr>
          <w:p w14:paraId="79B932A2" w14:textId="77777777" w:rsidR="00000000" w:rsidRDefault="00EB4933">
            <w:pPr>
              <w:rPr>
                <w:rFonts w:eastAsia="Times New Roman"/>
                <w:sz w:val="20"/>
                <w:szCs w:val="20"/>
              </w:rPr>
            </w:pPr>
            <w:hyperlink r:id="rId290" w:anchor="finindex" w:history="1">
              <w:r>
                <w:rPr>
                  <w:rStyle w:val="Hyperlink"/>
                  <w:rFonts w:eastAsia="Times New Roman"/>
                  <w:i/>
                  <w:iCs/>
                  <w:sz w:val="20"/>
                  <w:szCs w:val="20"/>
                </w:rPr>
                <w:t>Table of Contents</w:t>
              </w:r>
            </w:hyperlink>
          </w:p>
        </w:tc>
      </w:tr>
    </w:tbl>
    <w:p w14:paraId="17009FAB"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0DFA206A"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4FBA4C50"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390E6FAE"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FOR THE FINANCIAL YEAR ENDED 2017, 2018 AND 2019 </w:t>
      </w:r>
    </w:p>
    <w:p w14:paraId="79DF3F26"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048685F3" w14:textId="77777777" w:rsidR="00000000" w:rsidRDefault="00EB4933">
      <w:pPr>
        <w:pStyle w:val="NormalWeb"/>
        <w:spacing w:before="0" w:beforeAutospacing="0" w:after="0" w:afterAutospacing="0"/>
        <w:jc w:val="both"/>
        <w:divId w:val="98525094"/>
        <w:rPr>
          <w:sz w:val="20"/>
          <w:szCs w:val="20"/>
        </w:rPr>
      </w:pPr>
      <w:r>
        <w:rPr>
          <w:rStyle w:val="Strong"/>
          <w:sz w:val="20"/>
          <w:szCs w:val="20"/>
        </w:rPr>
        <w:t>30. Correction of errors - continued</w:t>
      </w:r>
    </w:p>
    <w:p w14:paraId="37CD798B"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4600" w:type="pct"/>
        <w:tblCellSpacing w:w="15" w:type="dxa"/>
        <w:tblCellMar>
          <w:left w:w="0" w:type="dxa"/>
          <w:right w:w="0" w:type="dxa"/>
        </w:tblCellMar>
        <w:tblLook w:val="04A0" w:firstRow="1" w:lastRow="0" w:firstColumn="1" w:lastColumn="0" w:noHBand="0" w:noVBand="1"/>
      </w:tblPr>
      <w:tblGrid>
        <w:gridCol w:w="4114"/>
        <w:gridCol w:w="90"/>
        <w:gridCol w:w="116"/>
        <w:gridCol w:w="803"/>
        <w:gridCol w:w="97"/>
        <w:gridCol w:w="85"/>
        <w:gridCol w:w="136"/>
        <w:gridCol w:w="983"/>
        <w:gridCol w:w="97"/>
        <w:gridCol w:w="87"/>
        <w:gridCol w:w="109"/>
        <w:gridCol w:w="747"/>
        <w:gridCol w:w="97"/>
        <w:gridCol w:w="81"/>
        <w:gridCol w:w="109"/>
        <w:gridCol w:w="748"/>
        <w:gridCol w:w="112"/>
      </w:tblGrid>
      <w:tr w:rsidR="00000000" w14:paraId="6594DC35" w14:textId="77777777">
        <w:trPr>
          <w:divId w:val="98525094"/>
          <w:trHeight w:val="225"/>
          <w:tblCellSpacing w:w="15" w:type="dxa"/>
        </w:trPr>
        <w:tc>
          <w:tcPr>
            <w:tcW w:w="0" w:type="auto"/>
            <w:vAlign w:val="center"/>
            <w:hideMark/>
          </w:tcPr>
          <w:p w14:paraId="60BCA12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F7F8FAA"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14"/>
            <w:tcBorders>
              <w:bottom w:val="single" w:sz="6" w:space="0" w:color="auto"/>
            </w:tcBorders>
            <w:vAlign w:val="bottom"/>
            <w:hideMark/>
          </w:tcPr>
          <w:p w14:paraId="1BB74A92" w14:textId="77777777" w:rsidR="00000000" w:rsidRDefault="00EB4933">
            <w:pPr>
              <w:pStyle w:val="NormalWeb"/>
              <w:spacing w:before="0" w:beforeAutospacing="0" w:after="0" w:afterAutospacing="0"/>
              <w:jc w:val="center"/>
              <w:rPr>
                <w:sz w:val="20"/>
                <w:szCs w:val="20"/>
              </w:rPr>
            </w:pPr>
            <w:r>
              <w:rPr>
                <w:rStyle w:val="Strong"/>
                <w:sz w:val="20"/>
                <w:szCs w:val="20"/>
              </w:rPr>
              <w:t>December 31, 2017</w:t>
            </w:r>
          </w:p>
        </w:tc>
        <w:tc>
          <w:tcPr>
            <w:tcW w:w="0" w:type="auto"/>
            <w:noWrap/>
            <w:vAlign w:val="center"/>
            <w:hideMark/>
          </w:tcPr>
          <w:p w14:paraId="61B48666" w14:textId="77777777" w:rsidR="00000000" w:rsidRDefault="00EB4933">
            <w:pPr>
              <w:pStyle w:val="NormalWeb"/>
              <w:spacing w:before="0" w:beforeAutospacing="0" w:after="0" w:afterAutospacing="0"/>
              <w:rPr>
                <w:sz w:val="20"/>
                <w:szCs w:val="20"/>
              </w:rPr>
            </w:pPr>
            <w:r>
              <w:rPr>
                <w:sz w:val="20"/>
                <w:szCs w:val="20"/>
              </w:rPr>
              <w:t> </w:t>
            </w:r>
          </w:p>
        </w:tc>
      </w:tr>
      <w:tr w:rsidR="00000000" w14:paraId="672A412E" w14:textId="77777777">
        <w:trPr>
          <w:divId w:val="98525094"/>
          <w:trHeight w:val="225"/>
          <w:tblCellSpacing w:w="15" w:type="dxa"/>
        </w:trPr>
        <w:tc>
          <w:tcPr>
            <w:tcW w:w="0" w:type="auto"/>
            <w:vAlign w:val="bottom"/>
            <w:hideMark/>
          </w:tcPr>
          <w:p w14:paraId="1AD0BF56" w14:textId="77777777" w:rsidR="00000000" w:rsidRDefault="00EB4933">
            <w:pPr>
              <w:pStyle w:val="NormalWeb"/>
              <w:spacing w:before="0" w:beforeAutospacing="0" w:after="0" w:afterAutospacing="0"/>
              <w:rPr>
                <w:sz w:val="20"/>
                <w:szCs w:val="20"/>
              </w:rPr>
            </w:pPr>
            <w:r>
              <w:rPr>
                <w:rStyle w:val="Strong"/>
                <w:sz w:val="20"/>
                <w:szCs w:val="20"/>
              </w:rPr>
              <w:t>Cash flow Statement (extract)</w:t>
            </w:r>
          </w:p>
        </w:tc>
        <w:tc>
          <w:tcPr>
            <w:tcW w:w="0" w:type="auto"/>
            <w:noWrap/>
            <w:vAlign w:val="center"/>
            <w:hideMark/>
          </w:tcPr>
          <w:p w14:paraId="5549172A"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00A86B0" w14:textId="77777777" w:rsidR="00000000" w:rsidRDefault="00EB4933">
            <w:pPr>
              <w:pStyle w:val="NormalWeb"/>
              <w:spacing w:before="0" w:beforeAutospacing="0" w:after="0" w:afterAutospacing="0"/>
              <w:jc w:val="center"/>
              <w:rPr>
                <w:sz w:val="20"/>
                <w:szCs w:val="20"/>
              </w:rPr>
            </w:pPr>
            <w:r>
              <w:rPr>
                <w:rStyle w:val="Strong"/>
                <w:sz w:val="20"/>
                <w:szCs w:val="20"/>
              </w:rPr>
              <w:t>As previously reported</w:t>
            </w:r>
          </w:p>
        </w:tc>
        <w:tc>
          <w:tcPr>
            <w:tcW w:w="0" w:type="auto"/>
            <w:noWrap/>
            <w:tcMar>
              <w:top w:w="0" w:type="dxa"/>
              <w:left w:w="0" w:type="dxa"/>
              <w:bottom w:w="15" w:type="dxa"/>
              <w:right w:w="0" w:type="dxa"/>
            </w:tcMar>
            <w:vAlign w:val="center"/>
            <w:hideMark/>
          </w:tcPr>
          <w:p w14:paraId="5EDE055F"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680FC0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D5195AD" w14:textId="77777777" w:rsidR="00000000" w:rsidRDefault="00EB4933">
            <w:pPr>
              <w:pStyle w:val="NormalWeb"/>
              <w:spacing w:before="0" w:beforeAutospacing="0" w:after="0" w:afterAutospacing="0"/>
              <w:jc w:val="center"/>
              <w:rPr>
                <w:sz w:val="20"/>
                <w:szCs w:val="20"/>
              </w:rPr>
            </w:pPr>
            <w:r>
              <w:rPr>
                <w:rStyle w:val="Strong"/>
                <w:sz w:val="20"/>
                <w:szCs w:val="20"/>
              </w:rPr>
              <w:t>Adjustments</w:t>
            </w:r>
          </w:p>
        </w:tc>
        <w:tc>
          <w:tcPr>
            <w:tcW w:w="0" w:type="auto"/>
            <w:noWrap/>
            <w:tcMar>
              <w:top w:w="0" w:type="dxa"/>
              <w:left w:w="0" w:type="dxa"/>
              <w:bottom w:w="15" w:type="dxa"/>
              <w:right w:w="0" w:type="dxa"/>
            </w:tcMar>
            <w:vAlign w:val="center"/>
            <w:hideMark/>
          </w:tcPr>
          <w:p w14:paraId="5DE7CE5C"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0E4885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A4E9704" w14:textId="77777777" w:rsidR="00000000" w:rsidRDefault="00EB4933">
            <w:pPr>
              <w:pStyle w:val="NormalWeb"/>
              <w:spacing w:before="0" w:beforeAutospacing="0" w:after="0" w:afterAutospacing="0"/>
              <w:jc w:val="center"/>
              <w:rPr>
                <w:sz w:val="20"/>
                <w:szCs w:val="20"/>
              </w:rPr>
            </w:pPr>
            <w:r>
              <w:rPr>
                <w:rStyle w:val="Strong"/>
                <w:sz w:val="20"/>
                <w:szCs w:val="20"/>
              </w:rPr>
              <w:t>Other</w:t>
            </w:r>
          </w:p>
          <w:p w14:paraId="34045D81" w14:textId="77777777" w:rsidR="00000000" w:rsidRDefault="00EB4933">
            <w:pPr>
              <w:pStyle w:val="NormalWeb"/>
              <w:spacing w:before="0" w:beforeAutospacing="0" w:after="0" w:afterAutospacing="0"/>
              <w:jc w:val="center"/>
              <w:rPr>
                <w:sz w:val="20"/>
                <w:szCs w:val="20"/>
              </w:rPr>
            </w:pPr>
            <w:r>
              <w:rPr>
                <w:rStyle w:val="Strong"/>
                <w:sz w:val="20"/>
                <w:szCs w:val="20"/>
              </w:rPr>
              <w:t>impacts</w:t>
            </w:r>
          </w:p>
        </w:tc>
        <w:tc>
          <w:tcPr>
            <w:tcW w:w="0" w:type="auto"/>
            <w:noWrap/>
            <w:tcMar>
              <w:top w:w="0" w:type="dxa"/>
              <w:left w:w="0" w:type="dxa"/>
              <w:bottom w:w="15" w:type="dxa"/>
              <w:right w:w="0" w:type="dxa"/>
            </w:tcMar>
            <w:vAlign w:val="center"/>
            <w:hideMark/>
          </w:tcPr>
          <w:p w14:paraId="2683EAD1"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DD41C4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D4EC802" w14:textId="77777777" w:rsidR="00000000" w:rsidRDefault="00EB4933">
            <w:pPr>
              <w:pStyle w:val="NormalWeb"/>
              <w:spacing w:before="0" w:beforeAutospacing="0" w:after="0" w:afterAutospacing="0"/>
              <w:jc w:val="center"/>
              <w:rPr>
                <w:sz w:val="20"/>
                <w:szCs w:val="20"/>
              </w:rPr>
            </w:pPr>
            <w:r>
              <w:rPr>
                <w:rStyle w:val="Strong"/>
                <w:sz w:val="20"/>
                <w:szCs w:val="20"/>
              </w:rPr>
              <w:t>As currently reported</w:t>
            </w:r>
          </w:p>
        </w:tc>
        <w:tc>
          <w:tcPr>
            <w:tcW w:w="0" w:type="auto"/>
            <w:noWrap/>
            <w:tcMar>
              <w:top w:w="0" w:type="dxa"/>
              <w:left w:w="0" w:type="dxa"/>
              <w:bottom w:w="15" w:type="dxa"/>
              <w:right w:w="0" w:type="dxa"/>
            </w:tcMar>
            <w:vAlign w:val="center"/>
            <w:hideMark/>
          </w:tcPr>
          <w:p w14:paraId="125BCF3E" w14:textId="77777777" w:rsidR="00000000" w:rsidRDefault="00EB4933">
            <w:pPr>
              <w:pStyle w:val="NormalWeb"/>
              <w:spacing w:before="0" w:beforeAutospacing="0" w:after="0" w:afterAutospacing="0"/>
              <w:rPr>
                <w:sz w:val="20"/>
                <w:szCs w:val="20"/>
              </w:rPr>
            </w:pPr>
            <w:r>
              <w:rPr>
                <w:sz w:val="20"/>
                <w:szCs w:val="20"/>
              </w:rPr>
              <w:t> </w:t>
            </w:r>
          </w:p>
        </w:tc>
      </w:tr>
      <w:tr w:rsidR="00000000" w14:paraId="4A7CCDA0" w14:textId="77777777">
        <w:trPr>
          <w:divId w:val="98525094"/>
          <w:trHeight w:val="225"/>
          <w:tblCellSpacing w:w="15" w:type="dxa"/>
        </w:trPr>
        <w:tc>
          <w:tcPr>
            <w:tcW w:w="0" w:type="auto"/>
            <w:vAlign w:val="center"/>
            <w:hideMark/>
          </w:tcPr>
          <w:p w14:paraId="5B1382BC"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68B5E4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7BABDC65" w14:textId="77777777" w:rsidR="00000000" w:rsidRDefault="00EB4933">
            <w:pPr>
              <w:pStyle w:val="NormalWeb"/>
              <w:spacing w:before="0" w:beforeAutospacing="0" w:after="0" w:afterAutospacing="0"/>
              <w:jc w:val="center"/>
              <w:rPr>
                <w:sz w:val="20"/>
                <w:szCs w:val="20"/>
              </w:rPr>
            </w:pPr>
            <w:r>
              <w:rPr>
                <w:sz w:val="20"/>
                <w:szCs w:val="20"/>
              </w:rPr>
              <w:t xml:space="preserve">RMB’000 </w:t>
            </w:r>
          </w:p>
        </w:tc>
        <w:tc>
          <w:tcPr>
            <w:tcW w:w="0" w:type="auto"/>
            <w:noWrap/>
            <w:vAlign w:val="center"/>
            <w:hideMark/>
          </w:tcPr>
          <w:p w14:paraId="0B330768"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FAFC5D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5546D27A" w14:textId="77777777" w:rsidR="00000000" w:rsidRDefault="00EB4933">
            <w:pPr>
              <w:pStyle w:val="NormalWeb"/>
              <w:spacing w:before="0" w:beforeAutospacing="0" w:after="0" w:afterAutospacing="0"/>
              <w:jc w:val="center"/>
              <w:rPr>
                <w:sz w:val="20"/>
                <w:szCs w:val="20"/>
              </w:rPr>
            </w:pPr>
            <w:r>
              <w:rPr>
                <w:sz w:val="20"/>
                <w:szCs w:val="20"/>
              </w:rPr>
              <w:t>RMB’000</w:t>
            </w:r>
          </w:p>
        </w:tc>
        <w:tc>
          <w:tcPr>
            <w:tcW w:w="0" w:type="auto"/>
            <w:noWrap/>
            <w:vAlign w:val="center"/>
            <w:hideMark/>
          </w:tcPr>
          <w:p w14:paraId="190583B1"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399C9F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3DE59FBC" w14:textId="77777777" w:rsidR="00000000" w:rsidRDefault="00EB4933">
            <w:pPr>
              <w:pStyle w:val="NormalWeb"/>
              <w:spacing w:before="0" w:beforeAutospacing="0" w:after="0" w:afterAutospacing="0"/>
              <w:jc w:val="center"/>
              <w:rPr>
                <w:sz w:val="20"/>
                <w:szCs w:val="20"/>
              </w:rPr>
            </w:pPr>
            <w:r>
              <w:rPr>
                <w:sz w:val="20"/>
                <w:szCs w:val="20"/>
              </w:rPr>
              <w:t>RMB’000</w:t>
            </w:r>
          </w:p>
        </w:tc>
        <w:tc>
          <w:tcPr>
            <w:tcW w:w="0" w:type="auto"/>
            <w:noWrap/>
            <w:vAlign w:val="center"/>
            <w:hideMark/>
          </w:tcPr>
          <w:p w14:paraId="2D2DC012"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F2E450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3D1B4396" w14:textId="77777777" w:rsidR="00000000" w:rsidRDefault="00EB4933">
            <w:pPr>
              <w:pStyle w:val="NormalWeb"/>
              <w:spacing w:before="0" w:beforeAutospacing="0" w:after="0" w:afterAutospacing="0"/>
              <w:jc w:val="center"/>
              <w:rPr>
                <w:sz w:val="20"/>
                <w:szCs w:val="20"/>
              </w:rPr>
            </w:pPr>
            <w:r>
              <w:rPr>
                <w:sz w:val="20"/>
                <w:szCs w:val="20"/>
              </w:rPr>
              <w:t>RMB’000</w:t>
            </w:r>
          </w:p>
        </w:tc>
        <w:tc>
          <w:tcPr>
            <w:tcW w:w="0" w:type="auto"/>
            <w:noWrap/>
            <w:vAlign w:val="center"/>
            <w:hideMark/>
          </w:tcPr>
          <w:p w14:paraId="59FC98BF" w14:textId="77777777" w:rsidR="00000000" w:rsidRDefault="00EB4933">
            <w:pPr>
              <w:pStyle w:val="NormalWeb"/>
              <w:spacing w:before="0" w:beforeAutospacing="0" w:after="0" w:afterAutospacing="0"/>
              <w:rPr>
                <w:sz w:val="20"/>
                <w:szCs w:val="20"/>
              </w:rPr>
            </w:pPr>
            <w:r>
              <w:rPr>
                <w:sz w:val="20"/>
                <w:szCs w:val="20"/>
              </w:rPr>
              <w:t> </w:t>
            </w:r>
          </w:p>
        </w:tc>
      </w:tr>
      <w:tr w:rsidR="00000000" w14:paraId="3D6BDFDD" w14:textId="77777777">
        <w:trPr>
          <w:divId w:val="98525094"/>
          <w:trHeight w:val="225"/>
          <w:tblCellSpacing w:w="15" w:type="dxa"/>
        </w:trPr>
        <w:tc>
          <w:tcPr>
            <w:tcW w:w="0" w:type="auto"/>
            <w:vAlign w:val="center"/>
            <w:hideMark/>
          </w:tcPr>
          <w:p w14:paraId="30E93EBB"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F1849F8"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1DABE94"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FCE2DFA"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3C68D1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3205B57"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B5CEF38"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75236A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8074928"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A8E6EFA"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54458C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A0F33D8"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444C5F9" w14:textId="77777777" w:rsidR="00000000" w:rsidRDefault="00EB4933">
            <w:pPr>
              <w:pStyle w:val="NormalWeb"/>
              <w:spacing w:before="0" w:beforeAutospacing="0" w:after="0" w:afterAutospacing="0"/>
              <w:rPr>
                <w:sz w:val="20"/>
                <w:szCs w:val="20"/>
              </w:rPr>
            </w:pPr>
            <w:r>
              <w:rPr>
                <w:sz w:val="20"/>
                <w:szCs w:val="20"/>
              </w:rPr>
              <w:t> </w:t>
            </w:r>
          </w:p>
        </w:tc>
      </w:tr>
      <w:tr w:rsidR="00000000" w14:paraId="655A0B1F" w14:textId="77777777">
        <w:trPr>
          <w:divId w:val="98525094"/>
          <w:trHeight w:val="225"/>
          <w:tblCellSpacing w:w="15" w:type="dxa"/>
        </w:trPr>
        <w:tc>
          <w:tcPr>
            <w:tcW w:w="0" w:type="auto"/>
            <w:hideMark/>
          </w:tcPr>
          <w:p w14:paraId="6E77E52B" w14:textId="77777777" w:rsidR="00000000" w:rsidRDefault="00EB4933">
            <w:pPr>
              <w:pStyle w:val="NormalWeb"/>
              <w:spacing w:before="0" w:beforeAutospacing="0" w:after="0" w:afterAutospacing="0"/>
              <w:rPr>
                <w:sz w:val="20"/>
                <w:szCs w:val="20"/>
              </w:rPr>
            </w:pPr>
            <w:r>
              <w:rPr>
                <w:rStyle w:val="Strong"/>
                <w:sz w:val="20"/>
                <w:szCs w:val="20"/>
              </w:rPr>
              <w:t>Cash flow from operating activities</w:t>
            </w:r>
          </w:p>
        </w:tc>
        <w:tc>
          <w:tcPr>
            <w:tcW w:w="50" w:type="pct"/>
            <w:noWrap/>
            <w:vAlign w:val="center"/>
            <w:hideMark/>
          </w:tcPr>
          <w:p w14:paraId="089F9231"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CB8271B"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FC137AF"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2821E9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4DCAE52"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118585C"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E02695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D90C124"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54E704C"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D36F4F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05F9985"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E91403C" w14:textId="77777777" w:rsidR="00000000" w:rsidRDefault="00EB4933">
            <w:pPr>
              <w:pStyle w:val="NormalWeb"/>
              <w:spacing w:before="0" w:beforeAutospacing="0" w:after="0" w:afterAutospacing="0"/>
              <w:rPr>
                <w:sz w:val="20"/>
                <w:szCs w:val="20"/>
              </w:rPr>
            </w:pPr>
            <w:r>
              <w:rPr>
                <w:sz w:val="20"/>
                <w:szCs w:val="20"/>
              </w:rPr>
              <w:t> </w:t>
            </w:r>
          </w:p>
        </w:tc>
      </w:tr>
      <w:tr w:rsidR="00000000" w14:paraId="4351FE77" w14:textId="77777777">
        <w:trPr>
          <w:divId w:val="98525094"/>
          <w:trHeight w:val="225"/>
          <w:tblCellSpacing w:w="15" w:type="dxa"/>
        </w:trPr>
        <w:tc>
          <w:tcPr>
            <w:tcW w:w="0" w:type="auto"/>
            <w:shd w:val="clear" w:color="auto" w:fill="CCEEFF"/>
            <w:hideMark/>
          </w:tcPr>
          <w:p w14:paraId="4A698F7C" w14:textId="77777777" w:rsidR="00000000" w:rsidRDefault="00EB4933">
            <w:pPr>
              <w:pStyle w:val="NormalWeb"/>
              <w:spacing w:before="0" w:beforeAutospacing="0" w:after="0" w:afterAutospacing="0"/>
              <w:rPr>
                <w:sz w:val="20"/>
                <w:szCs w:val="20"/>
              </w:rPr>
            </w:pPr>
            <w:r>
              <w:rPr>
                <w:sz w:val="20"/>
                <w:szCs w:val="20"/>
              </w:rPr>
              <w:t>Profit before income taxes (notes 30.1 and 30.2)</w:t>
            </w:r>
          </w:p>
        </w:tc>
        <w:tc>
          <w:tcPr>
            <w:tcW w:w="50" w:type="pct"/>
            <w:shd w:val="clear" w:color="auto" w:fill="CCEEFF"/>
            <w:noWrap/>
            <w:vAlign w:val="center"/>
            <w:hideMark/>
          </w:tcPr>
          <w:p w14:paraId="4EB25F1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F7B7E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957B126" w14:textId="77777777" w:rsidR="00000000" w:rsidRDefault="00EB4933">
            <w:pPr>
              <w:jc w:val="right"/>
              <w:rPr>
                <w:rFonts w:eastAsia="Times New Roman"/>
                <w:sz w:val="20"/>
                <w:szCs w:val="20"/>
              </w:rPr>
            </w:pPr>
            <w:r>
              <w:rPr>
                <w:rFonts w:eastAsia="Times New Roman"/>
                <w:sz w:val="20"/>
                <w:szCs w:val="20"/>
              </w:rPr>
              <w:t>48,202</w:t>
            </w:r>
          </w:p>
        </w:tc>
        <w:tc>
          <w:tcPr>
            <w:tcW w:w="50" w:type="pct"/>
            <w:shd w:val="clear" w:color="auto" w:fill="CCEEFF"/>
            <w:noWrap/>
            <w:vAlign w:val="center"/>
            <w:hideMark/>
          </w:tcPr>
          <w:p w14:paraId="1433E58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F96D5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E59C9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FB641B3" w14:textId="77777777" w:rsidR="00000000" w:rsidRDefault="00EB4933">
            <w:pPr>
              <w:jc w:val="right"/>
              <w:rPr>
                <w:rFonts w:eastAsia="Times New Roman"/>
                <w:sz w:val="20"/>
                <w:szCs w:val="20"/>
              </w:rPr>
            </w:pPr>
            <w:r>
              <w:rPr>
                <w:rFonts w:eastAsia="Times New Roman"/>
                <w:sz w:val="20"/>
                <w:szCs w:val="20"/>
              </w:rPr>
              <w:t>(3,826</w:t>
            </w:r>
          </w:p>
        </w:tc>
        <w:tc>
          <w:tcPr>
            <w:tcW w:w="50" w:type="pct"/>
            <w:shd w:val="clear" w:color="auto" w:fill="CCEEFF"/>
            <w:noWrap/>
            <w:vAlign w:val="bottom"/>
            <w:hideMark/>
          </w:tcPr>
          <w:p w14:paraId="4E0343DF"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E4FA5A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935AE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0140CCA"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C3B814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DBEC6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091EE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1F40A50" w14:textId="77777777" w:rsidR="00000000" w:rsidRDefault="00EB4933">
            <w:pPr>
              <w:jc w:val="right"/>
              <w:rPr>
                <w:rFonts w:eastAsia="Times New Roman"/>
                <w:sz w:val="20"/>
                <w:szCs w:val="20"/>
              </w:rPr>
            </w:pPr>
            <w:r>
              <w:rPr>
                <w:rFonts w:eastAsia="Times New Roman"/>
                <w:sz w:val="20"/>
                <w:szCs w:val="20"/>
              </w:rPr>
              <w:t>44,376</w:t>
            </w:r>
          </w:p>
        </w:tc>
        <w:tc>
          <w:tcPr>
            <w:tcW w:w="50" w:type="pct"/>
            <w:shd w:val="clear" w:color="auto" w:fill="CCEEFF"/>
            <w:noWrap/>
            <w:vAlign w:val="center"/>
            <w:hideMark/>
          </w:tcPr>
          <w:p w14:paraId="3A3CA350" w14:textId="77777777" w:rsidR="00000000" w:rsidRDefault="00EB4933">
            <w:pPr>
              <w:pStyle w:val="NormalWeb"/>
              <w:spacing w:before="0" w:beforeAutospacing="0" w:after="0" w:afterAutospacing="0"/>
              <w:rPr>
                <w:sz w:val="20"/>
                <w:szCs w:val="20"/>
              </w:rPr>
            </w:pPr>
            <w:r>
              <w:rPr>
                <w:sz w:val="20"/>
                <w:szCs w:val="20"/>
              </w:rPr>
              <w:t> </w:t>
            </w:r>
          </w:p>
        </w:tc>
      </w:tr>
      <w:tr w:rsidR="00000000" w14:paraId="4D1F13DF" w14:textId="77777777">
        <w:trPr>
          <w:divId w:val="98525094"/>
          <w:trHeight w:val="225"/>
          <w:tblCellSpacing w:w="15" w:type="dxa"/>
        </w:trPr>
        <w:tc>
          <w:tcPr>
            <w:tcW w:w="0" w:type="auto"/>
            <w:shd w:val="clear" w:color="auto" w:fill="FFFFFF"/>
            <w:hideMark/>
          </w:tcPr>
          <w:p w14:paraId="3B9C033B" w14:textId="77777777" w:rsidR="00000000" w:rsidRDefault="00EB4933">
            <w:pPr>
              <w:pStyle w:val="NormalWeb"/>
              <w:spacing w:before="0" w:beforeAutospacing="0" w:after="0" w:afterAutospacing="0"/>
              <w:rPr>
                <w:sz w:val="20"/>
                <w:szCs w:val="20"/>
              </w:rPr>
            </w:pPr>
            <w:r>
              <w:rPr>
                <w:sz w:val="20"/>
                <w:szCs w:val="20"/>
              </w:rPr>
              <w:t>Credit impairment losses</w:t>
            </w:r>
          </w:p>
        </w:tc>
        <w:tc>
          <w:tcPr>
            <w:tcW w:w="50" w:type="pct"/>
            <w:shd w:val="clear" w:color="auto" w:fill="FFFFFF"/>
            <w:noWrap/>
            <w:vAlign w:val="center"/>
            <w:hideMark/>
          </w:tcPr>
          <w:p w14:paraId="6B34CCC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3A06F5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CDC4B6D" w14:textId="77777777" w:rsidR="00000000" w:rsidRDefault="00EB4933">
            <w:pPr>
              <w:jc w:val="right"/>
              <w:rPr>
                <w:rFonts w:eastAsia="Times New Roman"/>
                <w:sz w:val="20"/>
                <w:szCs w:val="20"/>
              </w:rPr>
            </w:pPr>
            <w:r>
              <w:rPr>
                <w:rFonts w:eastAsia="Times New Roman"/>
                <w:sz w:val="20"/>
                <w:szCs w:val="20"/>
              </w:rPr>
              <w:t>6,402</w:t>
            </w:r>
          </w:p>
        </w:tc>
        <w:tc>
          <w:tcPr>
            <w:tcW w:w="50" w:type="pct"/>
            <w:shd w:val="clear" w:color="auto" w:fill="FFFFFF"/>
            <w:noWrap/>
            <w:tcMar>
              <w:top w:w="0" w:type="dxa"/>
              <w:left w:w="0" w:type="dxa"/>
              <w:bottom w:w="15" w:type="dxa"/>
              <w:right w:w="0" w:type="dxa"/>
            </w:tcMar>
            <w:vAlign w:val="center"/>
            <w:hideMark/>
          </w:tcPr>
          <w:p w14:paraId="4A4660E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FF47C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471149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1302F16"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708B425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7D24A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0F2F54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3B96962" w14:textId="77777777" w:rsidR="00000000" w:rsidRDefault="00EB4933">
            <w:pPr>
              <w:jc w:val="right"/>
              <w:rPr>
                <w:rFonts w:eastAsia="Times New Roman"/>
                <w:sz w:val="20"/>
                <w:szCs w:val="20"/>
              </w:rPr>
            </w:pPr>
            <w:r>
              <w:rPr>
                <w:rFonts w:eastAsia="Times New Roman"/>
                <w:sz w:val="20"/>
                <w:szCs w:val="20"/>
              </w:rPr>
              <w:t>(2,822</w:t>
            </w:r>
          </w:p>
        </w:tc>
        <w:tc>
          <w:tcPr>
            <w:tcW w:w="50" w:type="pct"/>
            <w:shd w:val="clear" w:color="auto" w:fill="FFFFFF"/>
            <w:noWrap/>
            <w:tcMar>
              <w:top w:w="0" w:type="dxa"/>
              <w:left w:w="0" w:type="dxa"/>
              <w:bottom w:w="15" w:type="dxa"/>
              <w:right w:w="0" w:type="dxa"/>
            </w:tcMar>
            <w:vAlign w:val="bottom"/>
            <w:hideMark/>
          </w:tcPr>
          <w:p w14:paraId="3B0CA959"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FC97F8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02DD00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8929E19" w14:textId="77777777" w:rsidR="00000000" w:rsidRDefault="00EB4933">
            <w:pPr>
              <w:jc w:val="right"/>
              <w:rPr>
                <w:rFonts w:eastAsia="Times New Roman"/>
                <w:sz w:val="20"/>
                <w:szCs w:val="20"/>
              </w:rPr>
            </w:pPr>
            <w:r>
              <w:rPr>
                <w:rFonts w:eastAsia="Times New Roman"/>
                <w:sz w:val="20"/>
                <w:szCs w:val="20"/>
              </w:rPr>
              <w:t>3,580</w:t>
            </w:r>
          </w:p>
        </w:tc>
        <w:tc>
          <w:tcPr>
            <w:tcW w:w="50" w:type="pct"/>
            <w:shd w:val="clear" w:color="auto" w:fill="FFFFFF"/>
            <w:noWrap/>
            <w:tcMar>
              <w:top w:w="0" w:type="dxa"/>
              <w:left w:w="0" w:type="dxa"/>
              <w:bottom w:w="15" w:type="dxa"/>
              <w:right w:w="0" w:type="dxa"/>
            </w:tcMar>
            <w:vAlign w:val="center"/>
            <w:hideMark/>
          </w:tcPr>
          <w:p w14:paraId="4BC7DABB" w14:textId="77777777" w:rsidR="00000000" w:rsidRDefault="00EB4933">
            <w:pPr>
              <w:pStyle w:val="NormalWeb"/>
              <w:spacing w:before="0" w:beforeAutospacing="0" w:after="0" w:afterAutospacing="0"/>
              <w:rPr>
                <w:sz w:val="20"/>
                <w:szCs w:val="20"/>
              </w:rPr>
            </w:pPr>
            <w:r>
              <w:rPr>
                <w:sz w:val="20"/>
                <w:szCs w:val="20"/>
              </w:rPr>
              <w:t> </w:t>
            </w:r>
          </w:p>
        </w:tc>
      </w:tr>
      <w:tr w:rsidR="00000000" w14:paraId="725924AB" w14:textId="77777777">
        <w:trPr>
          <w:divId w:val="98525094"/>
          <w:trHeight w:val="225"/>
          <w:tblCellSpacing w:w="15" w:type="dxa"/>
        </w:trPr>
        <w:tc>
          <w:tcPr>
            <w:tcW w:w="0" w:type="auto"/>
            <w:shd w:val="clear" w:color="auto" w:fill="CCEEFF"/>
            <w:hideMark/>
          </w:tcPr>
          <w:p w14:paraId="3C4A26FB" w14:textId="77777777" w:rsidR="00000000" w:rsidRDefault="00EB4933">
            <w:pPr>
              <w:pStyle w:val="NormalWeb"/>
              <w:spacing w:before="0" w:beforeAutospacing="0" w:after="0" w:afterAutospacing="0"/>
              <w:rPr>
                <w:sz w:val="20"/>
                <w:szCs w:val="20"/>
              </w:rPr>
            </w:pPr>
            <w:r>
              <w:rPr>
                <w:sz w:val="20"/>
                <w:szCs w:val="20"/>
              </w:rPr>
              <w:t>Operating profit before changes in working capital</w:t>
            </w:r>
          </w:p>
        </w:tc>
        <w:tc>
          <w:tcPr>
            <w:tcW w:w="50" w:type="pct"/>
            <w:shd w:val="clear" w:color="auto" w:fill="CCEEFF"/>
            <w:noWrap/>
            <w:vAlign w:val="center"/>
            <w:hideMark/>
          </w:tcPr>
          <w:p w14:paraId="03C6444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360A2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C3009AD" w14:textId="77777777" w:rsidR="00000000" w:rsidRDefault="00EB4933">
            <w:pPr>
              <w:jc w:val="right"/>
              <w:rPr>
                <w:rFonts w:eastAsia="Times New Roman"/>
                <w:sz w:val="20"/>
                <w:szCs w:val="20"/>
              </w:rPr>
            </w:pPr>
            <w:r>
              <w:rPr>
                <w:rFonts w:eastAsia="Times New Roman"/>
                <w:sz w:val="20"/>
                <w:szCs w:val="20"/>
              </w:rPr>
              <w:t>55,045</w:t>
            </w:r>
          </w:p>
        </w:tc>
        <w:tc>
          <w:tcPr>
            <w:tcW w:w="50" w:type="pct"/>
            <w:shd w:val="clear" w:color="auto" w:fill="CCEEFF"/>
            <w:noWrap/>
            <w:vAlign w:val="center"/>
            <w:hideMark/>
          </w:tcPr>
          <w:p w14:paraId="59F022B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6FA90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B5663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41FF838" w14:textId="77777777" w:rsidR="00000000" w:rsidRDefault="00EB4933">
            <w:pPr>
              <w:jc w:val="right"/>
              <w:rPr>
                <w:rFonts w:eastAsia="Times New Roman"/>
                <w:sz w:val="20"/>
                <w:szCs w:val="20"/>
              </w:rPr>
            </w:pPr>
            <w:r>
              <w:rPr>
                <w:rFonts w:eastAsia="Times New Roman"/>
                <w:sz w:val="20"/>
                <w:szCs w:val="20"/>
              </w:rPr>
              <w:t>(3,826</w:t>
            </w:r>
          </w:p>
        </w:tc>
        <w:tc>
          <w:tcPr>
            <w:tcW w:w="50" w:type="pct"/>
            <w:shd w:val="clear" w:color="auto" w:fill="CCEEFF"/>
            <w:noWrap/>
            <w:vAlign w:val="bottom"/>
            <w:hideMark/>
          </w:tcPr>
          <w:p w14:paraId="69824FD0"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73CC5B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7AC21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D740148" w14:textId="77777777" w:rsidR="00000000" w:rsidRDefault="00EB4933">
            <w:pPr>
              <w:jc w:val="right"/>
              <w:rPr>
                <w:rFonts w:eastAsia="Times New Roman"/>
                <w:sz w:val="20"/>
                <w:szCs w:val="20"/>
              </w:rPr>
            </w:pPr>
            <w:r>
              <w:rPr>
                <w:rFonts w:eastAsia="Times New Roman"/>
                <w:sz w:val="20"/>
                <w:szCs w:val="20"/>
              </w:rPr>
              <w:t>(2,822</w:t>
            </w:r>
          </w:p>
        </w:tc>
        <w:tc>
          <w:tcPr>
            <w:tcW w:w="50" w:type="pct"/>
            <w:shd w:val="clear" w:color="auto" w:fill="CCEEFF"/>
            <w:noWrap/>
            <w:vAlign w:val="bottom"/>
            <w:hideMark/>
          </w:tcPr>
          <w:p w14:paraId="466211B5"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B4E16E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D2A1E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49A9F11" w14:textId="77777777" w:rsidR="00000000" w:rsidRDefault="00EB4933">
            <w:pPr>
              <w:jc w:val="right"/>
              <w:rPr>
                <w:rFonts w:eastAsia="Times New Roman"/>
                <w:sz w:val="20"/>
                <w:szCs w:val="20"/>
              </w:rPr>
            </w:pPr>
            <w:r>
              <w:rPr>
                <w:rFonts w:eastAsia="Times New Roman"/>
                <w:sz w:val="20"/>
                <w:szCs w:val="20"/>
              </w:rPr>
              <w:t>48,397</w:t>
            </w:r>
          </w:p>
        </w:tc>
        <w:tc>
          <w:tcPr>
            <w:tcW w:w="50" w:type="pct"/>
            <w:shd w:val="clear" w:color="auto" w:fill="CCEEFF"/>
            <w:noWrap/>
            <w:vAlign w:val="center"/>
            <w:hideMark/>
          </w:tcPr>
          <w:p w14:paraId="4AD54231" w14:textId="77777777" w:rsidR="00000000" w:rsidRDefault="00EB4933">
            <w:pPr>
              <w:pStyle w:val="NormalWeb"/>
              <w:spacing w:before="0" w:beforeAutospacing="0" w:after="0" w:afterAutospacing="0"/>
              <w:rPr>
                <w:sz w:val="20"/>
                <w:szCs w:val="20"/>
              </w:rPr>
            </w:pPr>
            <w:r>
              <w:rPr>
                <w:sz w:val="20"/>
                <w:szCs w:val="20"/>
              </w:rPr>
              <w:t> </w:t>
            </w:r>
          </w:p>
        </w:tc>
      </w:tr>
      <w:tr w:rsidR="00000000" w14:paraId="019A2508" w14:textId="77777777">
        <w:trPr>
          <w:divId w:val="98525094"/>
          <w:trHeight w:val="225"/>
          <w:tblCellSpacing w:w="15" w:type="dxa"/>
        </w:trPr>
        <w:tc>
          <w:tcPr>
            <w:tcW w:w="0" w:type="auto"/>
            <w:shd w:val="clear" w:color="auto" w:fill="FFFFFF"/>
            <w:hideMark/>
          </w:tcPr>
          <w:p w14:paraId="60E0B047" w14:textId="77777777" w:rsidR="00000000" w:rsidRDefault="00EB4933">
            <w:pPr>
              <w:pStyle w:val="NormalWeb"/>
              <w:spacing w:before="0" w:beforeAutospacing="0" w:after="0" w:afterAutospacing="0"/>
              <w:rPr>
                <w:sz w:val="20"/>
                <w:szCs w:val="20"/>
              </w:rPr>
            </w:pPr>
            <w:r>
              <w:rPr>
                <w:sz w:val="20"/>
                <w:szCs w:val="20"/>
              </w:rPr>
              <w:t>Interest receivables</w:t>
            </w:r>
          </w:p>
        </w:tc>
        <w:tc>
          <w:tcPr>
            <w:tcW w:w="50" w:type="pct"/>
            <w:shd w:val="clear" w:color="auto" w:fill="FFFFFF"/>
            <w:noWrap/>
            <w:vAlign w:val="center"/>
            <w:hideMark/>
          </w:tcPr>
          <w:p w14:paraId="26D76CE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78F2D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808182B" w14:textId="77777777" w:rsidR="00000000" w:rsidRDefault="00EB4933">
            <w:pPr>
              <w:jc w:val="right"/>
              <w:rPr>
                <w:rFonts w:eastAsia="Times New Roman"/>
                <w:sz w:val="20"/>
                <w:szCs w:val="20"/>
              </w:rPr>
            </w:pPr>
            <w:r>
              <w:rPr>
                <w:rFonts w:eastAsia="Times New Roman"/>
                <w:sz w:val="20"/>
                <w:szCs w:val="20"/>
              </w:rPr>
              <w:t>(22,309</w:t>
            </w:r>
          </w:p>
        </w:tc>
        <w:tc>
          <w:tcPr>
            <w:tcW w:w="50" w:type="pct"/>
            <w:shd w:val="clear" w:color="auto" w:fill="FFFFFF"/>
            <w:noWrap/>
            <w:vAlign w:val="bottom"/>
            <w:hideMark/>
          </w:tcPr>
          <w:p w14:paraId="3993CDBD"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648944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6CCEE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E4ADB86"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8D4687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B86D5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47100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63E8E39" w14:textId="77777777" w:rsidR="00000000" w:rsidRDefault="00EB4933">
            <w:pPr>
              <w:jc w:val="right"/>
              <w:rPr>
                <w:rFonts w:eastAsia="Times New Roman"/>
                <w:sz w:val="20"/>
                <w:szCs w:val="20"/>
              </w:rPr>
            </w:pPr>
            <w:r>
              <w:rPr>
                <w:rFonts w:eastAsia="Times New Roman"/>
                <w:sz w:val="20"/>
                <w:szCs w:val="20"/>
              </w:rPr>
              <w:t>2,822</w:t>
            </w:r>
          </w:p>
        </w:tc>
        <w:tc>
          <w:tcPr>
            <w:tcW w:w="50" w:type="pct"/>
            <w:shd w:val="clear" w:color="auto" w:fill="FFFFFF"/>
            <w:noWrap/>
            <w:vAlign w:val="center"/>
            <w:hideMark/>
          </w:tcPr>
          <w:p w14:paraId="48E2E49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68646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E16ED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165B4EC" w14:textId="77777777" w:rsidR="00000000" w:rsidRDefault="00EB4933">
            <w:pPr>
              <w:jc w:val="right"/>
              <w:rPr>
                <w:rFonts w:eastAsia="Times New Roman"/>
                <w:sz w:val="20"/>
                <w:szCs w:val="20"/>
              </w:rPr>
            </w:pPr>
            <w:r>
              <w:rPr>
                <w:rFonts w:eastAsia="Times New Roman"/>
                <w:sz w:val="20"/>
                <w:szCs w:val="20"/>
              </w:rPr>
              <w:t>(19,487</w:t>
            </w:r>
          </w:p>
        </w:tc>
        <w:tc>
          <w:tcPr>
            <w:tcW w:w="50" w:type="pct"/>
            <w:shd w:val="clear" w:color="auto" w:fill="FFFFFF"/>
            <w:noWrap/>
            <w:vAlign w:val="bottom"/>
            <w:hideMark/>
          </w:tcPr>
          <w:p w14:paraId="15DAAFE2" w14:textId="77777777" w:rsidR="00000000" w:rsidRDefault="00EB4933">
            <w:pPr>
              <w:rPr>
                <w:rFonts w:eastAsia="Times New Roman"/>
                <w:sz w:val="20"/>
                <w:szCs w:val="20"/>
              </w:rPr>
            </w:pPr>
            <w:r>
              <w:rPr>
                <w:rFonts w:eastAsia="Times New Roman"/>
                <w:sz w:val="20"/>
                <w:szCs w:val="20"/>
              </w:rPr>
              <w:t>)</w:t>
            </w:r>
          </w:p>
        </w:tc>
      </w:tr>
      <w:tr w:rsidR="00000000" w14:paraId="1CC74DCD" w14:textId="77777777">
        <w:trPr>
          <w:divId w:val="98525094"/>
          <w:trHeight w:val="225"/>
          <w:tblCellSpacing w:w="15" w:type="dxa"/>
        </w:trPr>
        <w:tc>
          <w:tcPr>
            <w:tcW w:w="0" w:type="auto"/>
            <w:shd w:val="clear" w:color="auto" w:fill="CCEEFF"/>
            <w:hideMark/>
          </w:tcPr>
          <w:p w14:paraId="118B52AA" w14:textId="77777777" w:rsidR="00000000" w:rsidRDefault="00EB4933">
            <w:pPr>
              <w:pStyle w:val="NormalWeb"/>
              <w:spacing w:before="0" w:beforeAutospacing="0" w:after="0" w:afterAutospacing="0"/>
              <w:rPr>
                <w:sz w:val="20"/>
                <w:szCs w:val="20"/>
              </w:rPr>
            </w:pPr>
            <w:r>
              <w:rPr>
                <w:sz w:val="20"/>
                <w:szCs w:val="20"/>
              </w:rPr>
              <w:t>Loans receivable (note 30.8)</w:t>
            </w:r>
          </w:p>
        </w:tc>
        <w:tc>
          <w:tcPr>
            <w:tcW w:w="50" w:type="pct"/>
            <w:shd w:val="clear" w:color="auto" w:fill="CCEEFF"/>
            <w:noWrap/>
            <w:vAlign w:val="center"/>
            <w:hideMark/>
          </w:tcPr>
          <w:p w14:paraId="28EF046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897F3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9E1FFE3"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E2291C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3FC28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17A90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2BD9EBB"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F7F568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2871A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9C2AD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F2475F7" w14:textId="77777777" w:rsidR="00000000" w:rsidRDefault="00EB4933">
            <w:pPr>
              <w:jc w:val="right"/>
              <w:rPr>
                <w:rFonts w:eastAsia="Times New Roman"/>
                <w:sz w:val="20"/>
                <w:szCs w:val="20"/>
              </w:rPr>
            </w:pPr>
            <w:r>
              <w:rPr>
                <w:rFonts w:eastAsia="Times New Roman"/>
                <w:sz w:val="20"/>
                <w:szCs w:val="20"/>
              </w:rPr>
              <w:t>(121,040</w:t>
            </w:r>
          </w:p>
        </w:tc>
        <w:tc>
          <w:tcPr>
            <w:tcW w:w="50" w:type="pct"/>
            <w:shd w:val="clear" w:color="auto" w:fill="CCEEFF"/>
            <w:noWrap/>
            <w:vAlign w:val="bottom"/>
            <w:hideMark/>
          </w:tcPr>
          <w:p w14:paraId="04CE41F3"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7C4CA1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8A954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68D7713" w14:textId="77777777" w:rsidR="00000000" w:rsidRDefault="00EB4933">
            <w:pPr>
              <w:jc w:val="right"/>
              <w:rPr>
                <w:rFonts w:eastAsia="Times New Roman"/>
                <w:sz w:val="20"/>
                <w:szCs w:val="20"/>
              </w:rPr>
            </w:pPr>
            <w:r>
              <w:rPr>
                <w:rFonts w:eastAsia="Times New Roman"/>
                <w:sz w:val="20"/>
                <w:szCs w:val="20"/>
              </w:rPr>
              <w:t>(121,040</w:t>
            </w:r>
          </w:p>
        </w:tc>
        <w:tc>
          <w:tcPr>
            <w:tcW w:w="50" w:type="pct"/>
            <w:shd w:val="clear" w:color="auto" w:fill="CCEEFF"/>
            <w:noWrap/>
            <w:vAlign w:val="bottom"/>
            <w:hideMark/>
          </w:tcPr>
          <w:p w14:paraId="7C1DC2CE" w14:textId="77777777" w:rsidR="00000000" w:rsidRDefault="00EB4933">
            <w:pPr>
              <w:rPr>
                <w:rFonts w:eastAsia="Times New Roman"/>
                <w:sz w:val="20"/>
                <w:szCs w:val="20"/>
              </w:rPr>
            </w:pPr>
            <w:r>
              <w:rPr>
                <w:rFonts w:eastAsia="Times New Roman"/>
                <w:sz w:val="20"/>
                <w:szCs w:val="20"/>
              </w:rPr>
              <w:t>)</w:t>
            </w:r>
          </w:p>
        </w:tc>
      </w:tr>
      <w:tr w:rsidR="00000000" w14:paraId="62F2926F" w14:textId="77777777">
        <w:trPr>
          <w:divId w:val="98525094"/>
          <w:trHeight w:val="225"/>
          <w:tblCellSpacing w:w="15" w:type="dxa"/>
        </w:trPr>
        <w:tc>
          <w:tcPr>
            <w:tcW w:w="0" w:type="auto"/>
            <w:shd w:val="clear" w:color="auto" w:fill="FFFFFF"/>
            <w:hideMark/>
          </w:tcPr>
          <w:p w14:paraId="250079C8" w14:textId="77777777" w:rsidR="00000000" w:rsidRDefault="00EB4933">
            <w:pPr>
              <w:pStyle w:val="NormalWeb"/>
              <w:spacing w:before="0" w:beforeAutospacing="0" w:after="0" w:afterAutospacing="0"/>
              <w:rPr>
                <w:sz w:val="20"/>
                <w:szCs w:val="20"/>
              </w:rPr>
            </w:pPr>
            <w:r>
              <w:rPr>
                <w:sz w:val="20"/>
                <w:szCs w:val="20"/>
              </w:rPr>
              <w:t>Interest payable (note 30.1)</w:t>
            </w:r>
          </w:p>
        </w:tc>
        <w:tc>
          <w:tcPr>
            <w:tcW w:w="50" w:type="pct"/>
            <w:shd w:val="clear" w:color="auto" w:fill="FFFFFF"/>
            <w:noWrap/>
            <w:vAlign w:val="center"/>
            <w:hideMark/>
          </w:tcPr>
          <w:p w14:paraId="1E4CAC0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6F344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B3524B8" w14:textId="77777777" w:rsidR="00000000" w:rsidRDefault="00EB4933">
            <w:pPr>
              <w:jc w:val="right"/>
              <w:rPr>
                <w:rFonts w:eastAsia="Times New Roman"/>
                <w:sz w:val="20"/>
                <w:szCs w:val="20"/>
              </w:rPr>
            </w:pPr>
            <w:r>
              <w:rPr>
                <w:rFonts w:eastAsia="Times New Roman"/>
                <w:sz w:val="20"/>
                <w:szCs w:val="20"/>
              </w:rPr>
              <w:t>1,333</w:t>
            </w:r>
          </w:p>
        </w:tc>
        <w:tc>
          <w:tcPr>
            <w:tcW w:w="50" w:type="pct"/>
            <w:shd w:val="clear" w:color="auto" w:fill="FFFFFF"/>
            <w:noWrap/>
            <w:vAlign w:val="center"/>
            <w:hideMark/>
          </w:tcPr>
          <w:p w14:paraId="10CE5ED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1845B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36D2B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03DDB5D" w14:textId="77777777" w:rsidR="00000000" w:rsidRDefault="00EB4933">
            <w:pPr>
              <w:jc w:val="right"/>
              <w:rPr>
                <w:rFonts w:eastAsia="Times New Roman"/>
                <w:sz w:val="20"/>
                <w:szCs w:val="20"/>
              </w:rPr>
            </w:pPr>
            <w:r>
              <w:rPr>
                <w:rFonts w:eastAsia="Times New Roman"/>
                <w:sz w:val="20"/>
                <w:szCs w:val="20"/>
              </w:rPr>
              <w:t>(731</w:t>
            </w:r>
          </w:p>
        </w:tc>
        <w:tc>
          <w:tcPr>
            <w:tcW w:w="50" w:type="pct"/>
            <w:shd w:val="clear" w:color="auto" w:fill="FFFFFF"/>
            <w:noWrap/>
            <w:vAlign w:val="bottom"/>
            <w:hideMark/>
          </w:tcPr>
          <w:p w14:paraId="101583C9"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46D796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D6636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9AFD569"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99AEE1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ABE29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214BB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063A665" w14:textId="77777777" w:rsidR="00000000" w:rsidRDefault="00EB4933">
            <w:pPr>
              <w:jc w:val="right"/>
              <w:rPr>
                <w:rFonts w:eastAsia="Times New Roman"/>
                <w:sz w:val="20"/>
                <w:szCs w:val="20"/>
              </w:rPr>
            </w:pPr>
            <w:r>
              <w:rPr>
                <w:rFonts w:eastAsia="Times New Roman"/>
                <w:sz w:val="20"/>
                <w:szCs w:val="20"/>
              </w:rPr>
              <w:t>602</w:t>
            </w:r>
          </w:p>
        </w:tc>
        <w:tc>
          <w:tcPr>
            <w:tcW w:w="50" w:type="pct"/>
            <w:shd w:val="clear" w:color="auto" w:fill="FFFFFF"/>
            <w:noWrap/>
            <w:vAlign w:val="center"/>
            <w:hideMark/>
          </w:tcPr>
          <w:p w14:paraId="59F33985" w14:textId="77777777" w:rsidR="00000000" w:rsidRDefault="00EB4933">
            <w:pPr>
              <w:pStyle w:val="NormalWeb"/>
              <w:spacing w:before="0" w:beforeAutospacing="0" w:after="0" w:afterAutospacing="0"/>
              <w:rPr>
                <w:sz w:val="20"/>
                <w:szCs w:val="20"/>
              </w:rPr>
            </w:pPr>
            <w:r>
              <w:rPr>
                <w:sz w:val="20"/>
                <w:szCs w:val="20"/>
              </w:rPr>
              <w:t> </w:t>
            </w:r>
          </w:p>
        </w:tc>
      </w:tr>
      <w:tr w:rsidR="00000000" w14:paraId="22522326" w14:textId="77777777">
        <w:trPr>
          <w:divId w:val="98525094"/>
          <w:trHeight w:val="225"/>
          <w:tblCellSpacing w:w="15" w:type="dxa"/>
        </w:trPr>
        <w:tc>
          <w:tcPr>
            <w:tcW w:w="0" w:type="auto"/>
            <w:shd w:val="clear" w:color="auto" w:fill="CCEEFF"/>
            <w:hideMark/>
          </w:tcPr>
          <w:p w14:paraId="0EE8947A" w14:textId="77777777" w:rsidR="00000000" w:rsidRDefault="00EB4933">
            <w:pPr>
              <w:pStyle w:val="NormalWeb"/>
              <w:spacing w:before="0" w:beforeAutospacing="0" w:after="0" w:afterAutospacing="0"/>
              <w:rPr>
                <w:sz w:val="20"/>
                <w:szCs w:val="20"/>
              </w:rPr>
            </w:pPr>
            <w:r>
              <w:rPr>
                <w:sz w:val="20"/>
                <w:szCs w:val="20"/>
              </w:rPr>
              <w:t>Other payable (notes 30.1 and 30.2)</w:t>
            </w:r>
          </w:p>
        </w:tc>
        <w:tc>
          <w:tcPr>
            <w:tcW w:w="50" w:type="pct"/>
            <w:shd w:val="clear" w:color="auto" w:fill="CCEEFF"/>
            <w:noWrap/>
            <w:vAlign w:val="center"/>
            <w:hideMark/>
          </w:tcPr>
          <w:p w14:paraId="0B94D23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751E6F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C168126" w14:textId="77777777" w:rsidR="00000000" w:rsidRDefault="00EB4933">
            <w:pPr>
              <w:jc w:val="right"/>
              <w:rPr>
                <w:rFonts w:eastAsia="Times New Roman"/>
                <w:sz w:val="20"/>
                <w:szCs w:val="20"/>
              </w:rPr>
            </w:pPr>
            <w:r>
              <w:rPr>
                <w:rFonts w:eastAsia="Times New Roman"/>
                <w:sz w:val="20"/>
                <w:szCs w:val="20"/>
              </w:rPr>
              <w:t>13,046</w:t>
            </w:r>
          </w:p>
        </w:tc>
        <w:tc>
          <w:tcPr>
            <w:tcW w:w="50" w:type="pct"/>
            <w:shd w:val="clear" w:color="auto" w:fill="CCEEFF"/>
            <w:noWrap/>
            <w:tcMar>
              <w:top w:w="0" w:type="dxa"/>
              <w:left w:w="0" w:type="dxa"/>
              <w:bottom w:w="15" w:type="dxa"/>
              <w:right w:w="0" w:type="dxa"/>
            </w:tcMar>
            <w:vAlign w:val="center"/>
            <w:hideMark/>
          </w:tcPr>
          <w:p w14:paraId="16656C7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FEED0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DD79FD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41C292A" w14:textId="77777777" w:rsidR="00000000" w:rsidRDefault="00EB4933">
            <w:pPr>
              <w:jc w:val="right"/>
              <w:rPr>
                <w:rFonts w:eastAsia="Times New Roman"/>
                <w:sz w:val="20"/>
                <w:szCs w:val="20"/>
              </w:rPr>
            </w:pPr>
            <w:r>
              <w:rPr>
                <w:rFonts w:eastAsia="Times New Roman"/>
                <w:sz w:val="20"/>
                <w:szCs w:val="20"/>
              </w:rPr>
              <w:t>10,986</w:t>
            </w:r>
          </w:p>
        </w:tc>
        <w:tc>
          <w:tcPr>
            <w:tcW w:w="50" w:type="pct"/>
            <w:shd w:val="clear" w:color="auto" w:fill="CCEEFF"/>
            <w:noWrap/>
            <w:tcMar>
              <w:top w:w="0" w:type="dxa"/>
              <w:left w:w="0" w:type="dxa"/>
              <w:bottom w:w="15" w:type="dxa"/>
              <w:right w:w="0" w:type="dxa"/>
            </w:tcMar>
            <w:vAlign w:val="center"/>
            <w:hideMark/>
          </w:tcPr>
          <w:p w14:paraId="6764083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9C55F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F9B983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F2C2105"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4AFB93E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65217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2C290D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D3AD560" w14:textId="77777777" w:rsidR="00000000" w:rsidRDefault="00EB4933">
            <w:pPr>
              <w:jc w:val="right"/>
              <w:rPr>
                <w:rFonts w:eastAsia="Times New Roman"/>
                <w:sz w:val="20"/>
                <w:szCs w:val="20"/>
              </w:rPr>
            </w:pPr>
            <w:r>
              <w:rPr>
                <w:rFonts w:eastAsia="Times New Roman"/>
                <w:sz w:val="20"/>
                <w:szCs w:val="20"/>
              </w:rPr>
              <w:t>24,032</w:t>
            </w:r>
          </w:p>
        </w:tc>
        <w:tc>
          <w:tcPr>
            <w:tcW w:w="50" w:type="pct"/>
            <w:shd w:val="clear" w:color="auto" w:fill="CCEEFF"/>
            <w:noWrap/>
            <w:tcMar>
              <w:top w:w="0" w:type="dxa"/>
              <w:left w:w="0" w:type="dxa"/>
              <w:bottom w:w="15" w:type="dxa"/>
              <w:right w:w="0" w:type="dxa"/>
            </w:tcMar>
            <w:vAlign w:val="center"/>
            <w:hideMark/>
          </w:tcPr>
          <w:p w14:paraId="0518C535" w14:textId="77777777" w:rsidR="00000000" w:rsidRDefault="00EB4933">
            <w:pPr>
              <w:pStyle w:val="NormalWeb"/>
              <w:spacing w:before="0" w:beforeAutospacing="0" w:after="0" w:afterAutospacing="0"/>
              <w:rPr>
                <w:sz w:val="20"/>
                <w:szCs w:val="20"/>
              </w:rPr>
            </w:pPr>
            <w:r>
              <w:rPr>
                <w:sz w:val="20"/>
                <w:szCs w:val="20"/>
              </w:rPr>
              <w:t> </w:t>
            </w:r>
          </w:p>
        </w:tc>
      </w:tr>
      <w:tr w:rsidR="00000000" w14:paraId="4C849574" w14:textId="77777777">
        <w:trPr>
          <w:divId w:val="98525094"/>
          <w:trHeight w:val="225"/>
          <w:tblCellSpacing w:w="15" w:type="dxa"/>
        </w:trPr>
        <w:tc>
          <w:tcPr>
            <w:tcW w:w="0" w:type="auto"/>
            <w:shd w:val="clear" w:color="auto" w:fill="FFFFFF"/>
            <w:hideMark/>
          </w:tcPr>
          <w:p w14:paraId="441B38AE" w14:textId="77777777" w:rsidR="00000000" w:rsidRDefault="00EB4933">
            <w:pPr>
              <w:pStyle w:val="NormalWeb"/>
              <w:spacing w:before="0" w:beforeAutospacing="0" w:after="0" w:afterAutospacing="0"/>
              <w:rPr>
                <w:sz w:val="20"/>
                <w:szCs w:val="20"/>
              </w:rPr>
            </w:pPr>
            <w:r>
              <w:rPr>
                <w:rStyle w:val="Strong"/>
                <w:sz w:val="20"/>
                <w:szCs w:val="20"/>
              </w:rPr>
              <w:t>Net cash generated/(used) by operating activities</w:t>
            </w:r>
          </w:p>
        </w:tc>
        <w:tc>
          <w:tcPr>
            <w:tcW w:w="50" w:type="pct"/>
            <w:shd w:val="clear" w:color="auto" w:fill="FFFFFF"/>
            <w:noWrap/>
            <w:vAlign w:val="center"/>
            <w:hideMark/>
          </w:tcPr>
          <w:p w14:paraId="635A36D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6F5ADF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A1FC5DA" w14:textId="77777777" w:rsidR="00000000" w:rsidRDefault="00EB4933">
            <w:pPr>
              <w:jc w:val="right"/>
              <w:rPr>
                <w:rFonts w:eastAsia="Times New Roman"/>
                <w:sz w:val="20"/>
                <w:szCs w:val="20"/>
              </w:rPr>
            </w:pPr>
            <w:r>
              <w:rPr>
                <w:rFonts w:eastAsia="Times New Roman"/>
                <w:sz w:val="20"/>
                <w:szCs w:val="20"/>
              </w:rPr>
              <w:t>58,585</w:t>
            </w:r>
          </w:p>
        </w:tc>
        <w:tc>
          <w:tcPr>
            <w:tcW w:w="50" w:type="pct"/>
            <w:shd w:val="clear" w:color="auto" w:fill="FFFFFF"/>
            <w:noWrap/>
            <w:tcMar>
              <w:top w:w="0" w:type="dxa"/>
              <w:left w:w="0" w:type="dxa"/>
              <w:bottom w:w="15" w:type="dxa"/>
              <w:right w:w="0" w:type="dxa"/>
            </w:tcMar>
            <w:vAlign w:val="center"/>
            <w:hideMark/>
          </w:tcPr>
          <w:p w14:paraId="5FF6365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8F113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293C5D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A18B92C" w14:textId="77777777" w:rsidR="00000000" w:rsidRDefault="00EB4933">
            <w:pPr>
              <w:jc w:val="right"/>
              <w:rPr>
                <w:rFonts w:eastAsia="Times New Roman"/>
                <w:sz w:val="20"/>
                <w:szCs w:val="20"/>
              </w:rPr>
            </w:pPr>
            <w:r>
              <w:rPr>
                <w:rFonts w:eastAsia="Times New Roman"/>
                <w:sz w:val="20"/>
                <w:szCs w:val="20"/>
              </w:rPr>
              <w:t>6,429</w:t>
            </w:r>
          </w:p>
        </w:tc>
        <w:tc>
          <w:tcPr>
            <w:tcW w:w="50" w:type="pct"/>
            <w:shd w:val="clear" w:color="auto" w:fill="FFFFFF"/>
            <w:noWrap/>
            <w:tcMar>
              <w:top w:w="0" w:type="dxa"/>
              <w:left w:w="0" w:type="dxa"/>
              <w:bottom w:w="15" w:type="dxa"/>
              <w:right w:w="0" w:type="dxa"/>
            </w:tcMar>
            <w:vAlign w:val="center"/>
            <w:hideMark/>
          </w:tcPr>
          <w:p w14:paraId="4184831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A59C0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35F01B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ED0E500" w14:textId="77777777" w:rsidR="00000000" w:rsidRDefault="00EB4933">
            <w:pPr>
              <w:jc w:val="right"/>
              <w:rPr>
                <w:rFonts w:eastAsia="Times New Roman"/>
                <w:sz w:val="20"/>
                <w:szCs w:val="20"/>
              </w:rPr>
            </w:pPr>
            <w:r>
              <w:rPr>
                <w:rFonts w:eastAsia="Times New Roman"/>
                <w:sz w:val="20"/>
                <w:szCs w:val="20"/>
              </w:rPr>
              <w:t>(121,040</w:t>
            </w:r>
          </w:p>
        </w:tc>
        <w:tc>
          <w:tcPr>
            <w:tcW w:w="50" w:type="pct"/>
            <w:shd w:val="clear" w:color="auto" w:fill="FFFFFF"/>
            <w:noWrap/>
            <w:tcMar>
              <w:top w:w="0" w:type="dxa"/>
              <w:left w:w="0" w:type="dxa"/>
              <w:bottom w:w="15" w:type="dxa"/>
              <w:right w:w="0" w:type="dxa"/>
            </w:tcMar>
            <w:vAlign w:val="bottom"/>
            <w:hideMark/>
          </w:tcPr>
          <w:p w14:paraId="2EEE1AF3"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F8CB01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34D78E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E249953" w14:textId="77777777" w:rsidR="00000000" w:rsidRDefault="00EB4933">
            <w:pPr>
              <w:jc w:val="right"/>
              <w:rPr>
                <w:rFonts w:eastAsia="Times New Roman"/>
                <w:sz w:val="20"/>
                <w:szCs w:val="20"/>
              </w:rPr>
            </w:pPr>
            <w:r>
              <w:rPr>
                <w:rFonts w:eastAsia="Times New Roman"/>
                <w:sz w:val="20"/>
                <w:szCs w:val="20"/>
              </w:rPr>
              <w:t>(56,026</w:t>
            </w:r>
          </w:p>
        </w:tc>
        <w:tc>
          <w:tcPr>
            <w:tcW w:w="50" w:type="pct"/>
            <w:shd w:val="clear" w:color="auto" w:fill="FFFFFF"/>
            <w:noWrap/>
            <w:tcMar>
              <w:top w:w="0" w:type="dxa"/>
              <w:left w:w="0" w:type="dxa"/>
              <w:bottom w:w="15" w:type="dxa"/>
              <w:right w:w="0" w:type="dxa"/>
            </w:tcMar>
            <w:vAlign w:val="bottom"/>
            <w:hideMark/>
          </w:tcPr>
          <w:p w14:paraId="3D1AE9B5" w14:textId="77777777" w:rsidR="00000000" w:rsidRDefault="00EB4933">
            <w:pPr>
              <w:rPr>
                <w:rFonts w:eastAsia="Times New Roman"/>
                <w:sz w:val="20"/>
                <w:szCs w:val="20"/>
              </w:rPr>
            </w:pPr>
            <w:r>
              <w:rPr>
                <w:rFonts w:eastAsia="Times New Roman"/>
                <w:sz w:val="20"/>
                <w:szCs w:val="20"/>
              </w:rPr>
              <w:t>)</w:t>
            </w:r>
          </w:p>
        </w:tc>
      </w:tr>
      <w:tr w:rsidR="00000000" w14:paraId="789BB1B5" w14:textId="77777777">
        <w:trPr>
          <w:divId w:val="98525094"/>
          <w:trHeight w:val="225"/>
          <w:tblCellSpacing w:w="15" w:type="dxa"/>
        </w:trPr>
        <w:tc>
          <w:tcPr>
            <w:tcW w:w="0" w:type="auto"/>
            <w:shd w:val="clear" w:color="auto" w:fill="CCEEFF"/>
            <w:hideMark/>
          </w:tcPr>
          <w:p w14:paraId="15664EAC" w14:textId="77777777" w:rsidR="00000000" w:rsidRDefault="00EB4933">
            <w:pPr>
              <w:pStyle w:val="NormalWeb"/>
              <w:spacing w:before="0" w:beforeAutospacing="0" w:after="0" w:afterAutospacing="0"/>
              <w:rPr>
                <w:sz w:val="20"/>
                <w:szCs w:val="20"/>
              </w:rPr>
            </w:pPr>
            <w:r>
              <w:rPr>
                <w:rStyle w:val="Strong"/>
                <w:sz w:val="20"/>
                <w:szCs w:val="20"/>
              </w:rPr>
              <w:t>Net cash generated/(used) by operating activities</w:t>
            </w:r>
          </w:p>
        </w:tc>
        <w:tc>
          <w:tcPr>
            <w:tcW w:w="50" w:type="pct"/>
            <w:shd w:val="clear" w:color="auto" w:fill="CCEEFF"/>
            <w:noWrap/>
            <w:vAlign w:val="center"/>
            <w:hideMark/>
          </w:tcPr>
          <w:p w14:paraId="10E4D38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594DBD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AC24DC7" w14:textId="77777777" w:rsidR="00000000" w:rsidRDefault="00EB4933">
            <w:pPr>
              <w:jc w:val="right"/>
              <w:rPr>
                <w:rFonts w:eastAsia="Times New Roman"/>
                <w:sz w:val="20"/>
                <w:szCs w:val="20"/>
              </w:rPr>
            </w:pPr>
            <w:r>
              <w:rPr>
                <w:rFonts w:eastAsia="Times New Roman"/>
                <w:sz w:val="20"/>
                <w:szCs w:val="20"/>
              </w:rPr>
              <w:t>44,192</w:t>
            </w:r>
          </w:p>
        </w:tc>
        <w:tc>
          <w:tcPr>
            <w:tcW w:w="50" w:type="pct"/>
            <w:shd w:val="clear" w:color="auto" w:fill="CCEEFF"/>
            <w:noWrap/>
            <w:tcMar>
              <w:top w:w="0" w:type="dxa"/>
              <w:left w:w="0" w:type="dxa"/>
              <w:bottom w:w="15" w:type="dxa"/>
              <w:right w:w="0" w:type="dxa"/>
            </w:tcMar>
            <w:vAlign w:val="center"/>
            <w:hideMark/>
          </w:tcPr>
          <w:p w14:paraId="7B2E852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B6723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C49AF5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1D81E8D" w14:textId="77777777" w:rsidR="00000000" w:rsidRDefault="00EB4933">
            <w:pPr>
              <w:jc w:val="right"/>
              <w:rPr>
                <w:rFonts w:eastAsia="Times New Roman"/>
                <w:sz w:val="20"/>
                <w:szCs w:val="20"/>
              </w:rPr>
            </w:pPr>
            <w:r>
              <w:rPr>
                <w:rFonts w:eastAsia="Times New Roman"/>
                <w:sz w:val="20"/>
                <w:szCs w:val="20"/>
              </w:rPr>
              <w:t>6,429</w:t>
            </w:r>
          </w:p>
        </w:tc>
        <w:tc>
          <w:tcPr>
            <w:tcW w:w="50" w:type="pct"/>
            <w:shd w:val="clear" w:color="auto" w:fill="CCEEFF"/>
            <w:noWrap/>
            <w:tcMar>
              <w:top w:w="0" w:type="dxa"/>
              <w:left w:w="0" w:type="dxa"/>
              <w:bottom w:w="15" w:type="dxa"/>
              <w:right w:w="0" w:type="dxa"/>
            </w:tcMar>
            <w:vAlign w:val="center"/>
            <w:hideMark/>
          </w:tcPr>
          <w:p w14:paraId="3B18FCF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AC446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3C7F1C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892AC57" w14:textId="77777777" w:rsidR="00000000" w:rsidRDefault="00EB4933">
            <w:pPr>
              <w:jc w:val="right"/>
              <w:rPr>
                <w:rFonts w:eastAsia="Times New Roman"/>
                <w:sz w:val="20"/>
                <w:szCs w:val="20"/>
              </w:rPr>
            </w:pPr>
            <w:r>
              <w:rPr>
                <w:rFonts w:eastAsia="Times New Roman"/>
                <w:sz w:val="20"/>
                <w:szCs w:val="20"/>
              </w:rPr>
              <w:t>(121,040</w:t>
            </w:r>
          </w:p>
        </w:tc>
        <w:tc>
          <w:tcPr>
            <w:tcW w:w="50" w:type="pct"/>
            <w:shd w:val="clear" w:color="auto" w:fill="CCEEFF"/>
            <w:noWrap/>
            <w:tcMar>
              <w:top w:w="0" w:type="dxa"/>
              <w:left w:w="0" w:type="dxa"/>
              <w:bottom w:w="15" w:type="dxa"/>
              <w:right w:w="0" w:type="dxa"/>
            </w:tcMar>
            <w:vAlign w:val="bottom"/>
            <w:hideMark/>
          </w:tcPr>
          <w:p w14:paraId="2DEA7207"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6254A1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F981C2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97C4500" w14:textId="77777777" w:rsidR="00000000" w:rsidRDefault="00EB4933">
            <w:pPr>
              <w:jc w:val="right"/>
              <w:rPr>
                <w:rFonts w:eastAsia="Times New Roman"/>
                <w:sz w:val="20"/>
                <w:szCs w:val="20"/>
              </w:rPr>
            </w:pPr>
            <w:r>
              <w:rPr>
                <w:rFonts w:eastAsia="Times New Roman"/>
                <w:sz w:val="20"/>
                <w:szCs w:val="20"/>
              </w:rPr>
              <w:t>(70,419</w:t>
            </w:r>
          </w:p>
        </w:tc>
        <w:tc>
          <w:tcPr>
            <w:tcW w:w="50" w:type="pct"/>
            <w:shd w:val="clear" w:color="auto" w:fill="CCEEFF"/>
            <w:noWrap/>
            <w:tcMar>
              <w:top w:w="0" w:type="dxa"/>
              <w:left w:w="0" w:type="dxa"/>
              <w:bottom w:w="15" w:type="dxa"/>
              <w:right w:w="0" w:type="dxa"/>
            </w:tcMar>
            <w:vAlign w:val="bottom"/>
            <w:hideMark/>
          </w:tcPr>
          <w:p w14:paraId="2F700C7C" w14:textId="77777777" w:rsidR="00000000" w:rsidRDefault="00EB4933">
            <w:pPr>
              <w:rPr>
                <w:rFonts w:eastAsia="Times New Roman"/>
                <w:sz w:val="20"/>
                <w:szCs w:val="20"/>
              </w:rPr>
            </w:pPr>
            <w:r>
              <w:rPr>
                <w:rFonts w:eastAsia="Times New Roman"/>
                <w:sz w:val="20"/>
                <w:szCs w:val="20"/>
              </w:rPr>
              <w:t>)</w:t>
            </w:r>
          </w:p>
        </w:tc>
      </w:tr>
      <w:tr w:rsidR="00000000" w14:paraId="77005134" w14:textId="77777777">
        <w:trPr>
          <w:divId w:val="98525094"/>
          <w:trHeight w:val="225"/>
          <w:tblCellSpacing w:w="15" w:type="dxa"/>
        </w:trPr>
        <w:tc>
          <w:tcPr>
            <w:tcW w:w="0" w:type="auto"/>
            <w:shd w:val="clear" w:color="auto" w:fill="FFFFFF"/>
            <w:vAlign w:val="center"/>
            <w:hideMark/>
          </w:tcPr>
          <w:p w14:paraId="07FD639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E274F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AF05A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5786ED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404D1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D9A32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53D89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0A819A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EBFEF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A2376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336DA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102DC1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C317B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71460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9975F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64FF16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EDDB3C" w14:textId="77777777" w:rsidR="00000000" w:rsidRDefault="00EB4933">
            <w:pPr>
              <w:pStyle w:val="NormalWeb"/>
              <w:spacing w:before="0" w:beforeAutospacing="0" w:after="0" w:afterAutospacing="0"/>
              <w:rPr>
                <w:sz w:val="20"/>
                <w:szCs w:val="20"/>
              </w:rPr>
            </w:pPr>
            <w:r>
              <w:rPr>
                <w:sz w:val="20"/>
                <w:szCs w:val="20"/>
              </w:rPr>
              <w:t> </w:t>
            </w:r>
          </w:p>
        </w:tc>
      </w:tr>
      <w:tr w:rsidR="00000000" w14:paraId="5068A75B" w14:textId="77777777">
        <w:trPr>
          <w:divId w:val="98525094"/>
          <w:trHeight w:val="225"/>
          <w:tblCellSpacing w:w="15" w:type="dxa"/>
        </w:trPr>
        <w:tc>
          <w:tcPr>
            <w:tcW w:w="0" w:type="auto"/>
            <w:shd w:val="clear" w:color="auto" w:fill="CCEEFF"/>
            <w:hideMark/>
          </w:tcPr>
          <w:p w14:paraId="623831DF" w14:textId="77777777" w:rsidR="00000000" w:rsidRDefault="00EB4933">
            <w:pPr>
              <w:pStyle w:val="NormalWeb"/>
              <w:spacing w:before="0" w:beforeAutospacing="0" w:after="0" w:afterAutospacing="0"/>
              <w:rPr>
                <w:sz w:val="20"/>
                <w:szCs w:val="20"/>
              </w:rPr>
            </w:pPr>
            <w:r>
              <w:rPr>
                <w:rStyle w:val="Strong"/>
                <w:sz w:val="20"/>
                <w:szCs w:val="20"/>
              </w:rPr>
              <w:lastRenderedPageBreak/>
              <w:t>Cash flow from investing activities</w:t>
            </w:r>
          </w:p>
        </w:tc>
        <w:tc>
          <w:tcPr>
            <w:tcW w:w="50" w:type="pct"/>
            <w:shd w:val="clear" w:color="auto" w:fill="CCEEFF"/>
            <w:noWrap/>
            <w:vAlign w:val="center"/>
            <w:hideMark/>
          </w:tcPr>
          <w:p w14:paraId="20DE2D2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75FAC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723133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A5EEA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C1D1F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A1B5C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FC71EC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F3CA4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A4ACF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8B392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F1D197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67955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D92F0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ED11A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1CA264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2B5500" w14:textId="77777777" w:rsidR="00000000" w:rsidRDefault="00EB4933">
            <w:pPr>
              <w:pStyle w:val="NormalWeb"/>
              <w:spacing w:before="0" w:beforeAutospacing="0" w:after="0" w:afterAutospacing="0"/>
              <w:rPr>
                <w:sz w:val="20"/>
                <w:szCs w:val="20"/>
              </w:rPr>
            </w:pPr>
            <w:r>
              <w:rPr>
                <w:sz w:val="20"/>
                <w:szCs w:val="20"/>
              </w:rPr>
              <w:t> </w:t>
            </w:r>
          </w:p>
        </w:tc>
      </w:tr>
      <w:tr w:rsidR="00000000" w14:paraId="2B13776A" w14:textId="77777777">
        <w:trPr>
          <w:divId w:val="98525094"/>
          <w:trHeight w:val="225"/>
          <w:tblCellSpacing w:w="15" w:type="dxa"/>
        </w:trPr>
        <w:tc>
          <w:tcPr>
            <w:tcW w:w="0" w:type="auto"/>
            <w:shd w:val="clear" w:color="auto" w:fill="FFFFFF"/>
            <w:hideMark/>
          </w:tcPr>
          <w:p w14:paraId="59E93D67" w14:textId="77777777" w:rsidR="00000000" w:rsidRDefault="00EB4933">
            <w:pPr>
              <w:pStyle w:val="NormalWeb"/>
              <w:spacing w:before="0" w:beforeAutospacing="0" w:after="0" w:afterAutospacing="0"/>
              <w:rPr>
                <w:sz w:val="20"/>
                <w:szCs w:val="20"/>
              </w:rPr>
            </w:pPr>
            <w:r>
              <w:rPr>
                <w:sz w:val="20"/>
                <w:szCs w:val="20"/>
              </w:rPr>
              <w:t>Originated loan disbursements (note 30.8)</w:t>
            </w:r>
          </w:p>
        </w:tc>
        <w:tc>
          <w:tcPr>
            <w:tcW w:w="50" w:type="pct"/>
            <w:shd w:val="clear" w:color="auto" w:fill="FFFFFF"/>
            <w:noWrap/>
            <w:vAlign w:val="center"/>
            <w:hideMark/>
          </w:tcPr>
          <w:p w14:paraId="63E56F1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E4651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C069D4A" w14:textId="77777777" w:rsidR="00000000" w:rsidRDefault="00EB4933">
            <w:pPr>
              <w:jc w:val="right"/>
              <w:rPr>
                <w:rFonts w:eastAsia="Times New Roman"/>
                <w:sz w:val="20"/>
                <w:szCs w:val="20"/>
              </w:rPr>
            </w:pPr>
            <w:r>
              <w:rPr>
                <w:rFonts w:eastAsia="Times New Roman"/>
                <w:sz w:val="20"/>
                <w:szCs w:val="20"/>
              </w:rPr>
              <w:t>(397,190</w:t>
            </w:r>
          </w:p>
        </w:tc>
        <w:tc>
          <w:tcPr>
            <w:tcW w:w="50" w:type="pct"/>
            <w:shd w:val="clear" w:color="auto" w:fill="FFFFFF"/>
            <w:noWrap/>
            <w:vAlign w:val="bottom"/>
            <w:hideMark/>
          </w:tcPr>
          <w:p w14:paraId="44CCDE73"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27EAEF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0AA3E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03F9A69"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3137A6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4C57A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CA7F8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78B0ED1" w14:textId="77777777" w:rsidR="00000000" w:rsidRDefault="00EB4933">
            <w:pPr>
              <w:jc w:val="right"/>
              <w:rPr>
                <w:rFonts w:eastAsia="Times New Roman"/>
                <w:sz w:val="20"/>
                <w:szCs w:val="20"/>
              </w:rPr>
            </w:pPr>
            <w:r>
              <w:rPr>
                <w:rFonts w:eastAsia="Times New Roman"/>
                <w:sz w:val="20"/>
                <w:szCs w:val="20"/>
              </w:rPr>
              <w:t>397,190</w:t>
            </w:r>
          </w:p>
        </w:tc>
        <w:tc>
          <w:tcPr>
            <w:tcW w:w="50" w:type="pct"/>
            <w:shd w:val="clear" w:color="auto" w:fill="FFFFFF"/>
            <w:noWrap/>
            <w:vAlign w:val="center"/>
            <w:hideMark/>
          </w:tcPr>
          <w:p w14:paraId="2CC471A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489B6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7DF3A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5F8A9C8"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F9610E9" w14:textId="77777777" w:rsidR="00000000" w:rsidRDefault="00EB4933">
            <w:pPr>
              <w:pStyle w:val="NormalWeb"/>
              <w:spacing w:before="0" w:beforeAutospacing="0" w:after="0" w:afterAutospacing="0"/>
              <w:rPr>
                <w:sz w:val="20"/>
                <w:szCs w:val="20"/>
              </w:rPr>
            </w:pPr>
            <w:r>
              <w:rPr>
                <w:sz w:val="20"/>
                <w:szCs w:val="20"/>
              </w:rPr>
              <w:t> </w:t>
            </w:r>
          </w:p>
        </w:tc>
      </w:tr>
      <w:tr w:rsidR="00000000" w14:paraId="2537F3A9" w14:textId="77777777">
        <w:trPr>
          <w:divId w:val="98525094"/>
          <w:trHeight w:val="225"/>
          <w:tblCellSpacing w:w="15" w:type="dxa"/>
        </w:trPr>
        <w:tc>
          <w:tcPr>
            <w:tcW w:w="0" w:type="auto"/>
            <w:shd w:val="clear" w:color="auto" w:fill="CCEEFF"/>
            <w:hideMark/>
          </w:tcPr>
          <w:p w14:paraId="24D8DCE6" w14:textId="77777777" w:rsidR="00000000" w:rsidRDefault="00EB4933">
            <w:pPr>
              <w:pStyle w:val="NormalWeb"/>
              <w:spacing w:before="0" w:beforeAutospacing="0" w:after="0" w:afterAutospacing="0"/>
              <w:rPr>
                <w:sz w:val="20"/>
                <w:szCs w:val="20"/>
              </w:rPr>
            </w:pPr>
            <w:r>
              <w:rPr>
                <w:sz w:val="20"/>
                <w:szCs w:val="20"/>
              </w:rPr>
              <w:t>Repayments of loans from customers (note 30.8)</w:t>
            </w:r>
          </w:p>
        </w:tc>
        <w:tc>
          <w:tcPr>
            <w:tcW w:w="50" w:type="pct"/>
            <w:shd w:val="clear" w:color="auto" w:fill="CCEEFF"/>
            <w:noWrap/>
            <w:vAlign w:val="center"/>
            <w:hideMark/>
          </w:tcPr>
          <w:p w14:paraId="2E9F30A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C1A735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DC800C4" w14:textId="77777777" w:rsidR="00000000" w:rsidRDefault="00EB4933">
            <w:pPr>
              <w:jc w:val="right"/>
              <w:rPr>
                <w:rFonts w:eastAsia="Times New Roman"/>
                <w:sz w:val="20"/>
                <w:szCs w:val="20"/>
              </w:rPr>
            </w:pPr>
            <w:r>
              <w:rPr>
                <w:rFonts w:eastAsia="Times New Roman"/>
                <w:sz w:val="20"/>
                <w:szCs w:val="20"/>
              </w:rPr>
              <w:t>276,150</w:t>
            </w:r>
          </w:p>
        </w:tc>
        <w:tc>
          <w:tcPr>
            <w:tcW w:w="50" w:type="pct"/>
            <w:shd w:val="clear" w:color="auto" w:fill="CCEEFF"/>
            <w:noWrap/>
            <w:tcMar>
              <w:top w:w="0" w:type="dxa"/>
              <w:left w:w="0" w:type="dxa"/>
              <w:bottom w:w="15" w:type="dxa"/>
              <w:right w:w="0" w:type="dxa"/>
            </w:tcMar>
            <w:vAlign w:val="center"/>
            <w:hideMark/>
          </w:tcPr>
          <w:p w14:paraId="4CD2141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5A0C6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39B896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0F37CDA"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58098CC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69FF5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A747E2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2193D38" w14:textId="77777777" w:rsidR="00000000" w:rsidRDefault="00EB4933">
            <w:pPr>
              <w:jc w:val="right"/>
              <w:rPr>
                <w:rFonts w:eastAsia="Times New Roman"/>
                <w:sz w:val="20"/>
                <w:szCs w:val="20"/>
              </w:rPr>
            </w:pPr>
            <w:r>
              <w:rPr>
                <w:rFonts w:eastAsia="Times New Roman"/>
                <w:sz w:val="20"/>
                <w:szCs w:val="20"/>
              </w:rPr>
              <w:t>(276,150</w:t>
            </w:r>
          </w:p>
        </w:tc>
        <w:tc>
          <w:tcPr>
            <w:tcW w:w="50" w:type="pct"/>
            <w:shd w:val="clear" w:color="auto" w:fill="CCEEFF"/>
            <w:noWrap/>
            <w:tcMar>
              <w:top w:w="0" w:type="dxa"/>
              <w:left w:w="0" w:type="dxa"/>
              <w:bottom w:w="15" w:type="dxa"/>
              <w:right w:w="0" w:type="dxa"/>
            </w:tcMar>
            <w:vAlign w:val="bottom"/>
            <w:hideMark/>
          </w:tcPr>
          <w:p w14:paraId="5D4E6D7A"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4CABCE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0BD029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E19488D"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6B012010" w14:textId="77777777" w:rsidR="00000000" w:rsidRDefault="00EB4933">
            <w:pPr>
              <w:pStyle w:val="NormalWeb"/>
              <w:spacing w:before="0" w:beforeAutospacing="0" w:after="0" w:afterAutospacing="0"/>
              <w:rPr>
                <w:sz w:val="20"/>
                <w:szCs w:val="20"/>
              </w:rPr>
            </w:pPr>
            <w:r>
              <w:rPr>
                <w:sz w:val="20"/>
                <w:szCs w:val="20"/>
              </w:rPr>
              <w:t> </w:t>
            </w:r>
          </w:p>
        </w:tc>
      </w:tr>
      <w:tr w:rsidR="00000000" w14:paraId="419A2D6B" w14:textId="77777777">
        <w:trPr>
          <w:divId w:val="98525094"/>
          <w:trHeight w:val="225"/>
          <w:tblCellSpacing w:w="15" w:type="dxa"/>
        </w:trPr>
        <w:tc>
          <w:tcPr>
            <w:tcW w:w="0" w:type="auto"/>
            <w:shd w:val="clear" w:color="auto" w:fill="FFFFFF"/>
            <w:hideMark/>
          </w:tcPr>
          <w:p w14:paraId="6E8B58F5" w14:textId="77777777" w:rsidR="00000000" w:rsidRDefault="00EB4933">
            <w:pPr>
              <w:pStyle w:val="NormalWeb"/>
              <w:spacing w:before="0" w:beforeAutospacing="0" w:after="0" w:afterAutospacing="0"/>
              <w:rPr>
                <w:sz w:val="20"/>
                <w:szCs w:val="20"/>
              </w:rPr>
            </w:pPr>
            <w:r>
              <w:rPr>
                <w:rStyle w:val="Strong"/>
                <w:sz w:val="20"/>
                <w:szCs w:val="20"/>
              </w:rPr>
              <w:t>Net cash used in investing activities</w:t>
            </w:r>
            <w:r>
              <w:rPr>
                <w:sz w:val="20"/>
                <w:szCs w:val="20"/>
              </w:rPr>
              <w:t xml:space="preserve"> (note 30.8)</w:t>
            </w:r>
          </w:p>
        </w:tc>
        <w:tc>
          <w:tcPr>
            <w:tcW w:w="50" w:type="pct"/>
            <w:shd w:val="clear" w:color="auto" w:fill="FFFFFF"/>
            <w:noWrap/>
            <w:vAlign w:val="center"/>
            <w:hideMark/>
          </w:tcPr>
          <w:p w14:paraId="72E0A28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EC88BE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EAD16C8" w14:textId="77777777" w:rsidR="00000000" w:rsidRDefault="00EB4933">
            <w:pPr>
              <w:jc w:val="right"/>
              <w:rPr>
                <w:rFonts w:eastAsia="Times New Roman"/>
                <w:sz w:val="20"/>
                <w:szCs w:val="20"/>
              </w:rPr>
            </w:pPr>
            <w:r>
              <w:rPr>
                <w:rFonts w:eastAsia="Times New Roman"/>
                <w:sz w:val="20"/>
                <w:szCs w:val="20"/>
              </w:rPr>
              <w:t>(135,968</w:t>
            </w:r>
          </w:p>
        </w:tc>
        <w:tc>
          <w:tcPr>
            <w:tcW w:w="50" w:type="pct"/>
            <w:shd w:val="clear" w:color="auto" w:fill="FFFFFF"/>
            <w:noWrap/>
            <w:tcMar>
              <w:top w:w="0" w:type="dxa"/>
              <w:left w:w="0" w:type="dxa"/>
              <w:bottom w:w="15" w:type="dxa"/>
              <w:right w:w="0" w:type="dxa"/>
            </w:tcMar>
            <w:vAlign w:val="bottom"/>
            <w:hideMark/>
          </w:tcPr>
          <w:p w14:paraId="314FD105"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E1288E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81AE8D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B62B781"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652682F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7B12E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991D5B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AC1334A" w14:textId="77777777" w:rsidR="00000000" w:rsidRDefault="00EB4933">
            <w:pPr>
              <w:jc w:val="right"/>
              <w:rPr>
                <w:rFonts w:eastAsia="Times New Roman"/>
                <w:sz w:val="20"/>
                <w:szCs w:val="20"/>
              </w:rPr>
            </w:pPr>
            <w:r>
              <w:rPr>
                <w:rFonts w:eastAsia="Times New Roman"/>
                <w:sz w:val="20"/>
                <w:szCs w:val="20"/>
              </w:rPr>
              <w:t>121,040</w:t>
            </w:r>
          </w:p>
        </w:tc>
        <w:tc>
          <w:tcPr>
            <w:tcW w:w="50" w:type="pct"/>
            <w:shd w:val="clear" w:color="auto" w:fill="FFFFFF"/>
            <w:noWrap/>
            <w:tcMar>
              <w:top w:w="0" w:type="dxa"/>
              <w:left w:w="0" w:type="dxa"/>
              <w:bottom w:w="15" w:type="dxa"/>
              <w:right w:w="0" w:type="dxa"/>
            </w:tcMar>
            <w:vAlign w:val="center"/>
            <w:hideMark/>
          </w:tcPr>
          <w:p w14:paraId="50D954E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9A220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017CAF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BD26BEE" w14:textId="77777777" w:rsidR="00000000" w:rsidRDefault="00EB4933">
            <w:pPr>
              <w:jc w:val="right"/>
              <w:rPr>
                <w:rFonts w:eastAsia="Times New Roman"/>
                <w:sz w:val="20"/>
                <w:szCs w:val="20"/>
              </w:rPr>
            </w:pPr>
            <w:r>
              <w:rPr>
                <w:rFonts w:eastAsia="Times New Roman"/>
                <w:sz w:val="20"/>
                <w:szCs w:val="20"/>
              </w:rPr>
              <w:t>(14,928</w:t>
            </w:r>
          </w:p>
        </w:tc>
        <w:tc>
          <w:tcPr>
            <w:tcW w:w="50" w:type="pct"/>
            <w:shd w:val="clear" w:color="auto" w:fill="FFFFFF"/>
            <w:noWrap/>
            <w:tcMar>
              <w:top w:w="0" w:type="dxa"/>
              <w:left w:w="0" w:type="dxa"/>
              <w:bottom w:w="15" w:type="dxa"/>
              <w:right w:w="0" w:type="dxa"/>
            </w:tcMar>
            <w:vAlign w:val="bottom"/>
            <w:hideMark/>
          </w:tcPr>
          <w:p w14:paraId="42834927" w14:textId="77777777" w:rsidR="00000000" w:rsidRDefault="00EB4933">
            <w:pPr>
              <w:rPr>
                <w:rFonts w:eastAsia="Times New Roman"/>
                <w:sz w:val="20"/>
                <w:szCs w:val="20"/>
              </w:rPr>
            </w:pPr>
            <w:r>
              <w:rPr>
                <w:rFonts w:eastAsia="Times New Roman"/>
                <w:sz w:val="20"/>
                <w:szCs w:val="20"/>
              </w:rPr>
              <w:t>)</w:t>
            </w:r>
          </w:p>
        </w:tc>
      </w:tr>
      <w:tr w:rsidR="00000000" w14:paraId="0964468A" w14:textId="77777777">
        <w:trPr>
          <w:divId w:val="98525094"/>
          <w:trHeight w:val="225"/>
          <w:tblCellSpacing w:w="15" w:type="dxa"/>
        </w:trPr>
        <w:tc>
          <w:tcPr>
            <w:tcW w:w="0" w:type="auto"/>
            <w:shd w:val="clear" w:color="auto" w:fill="CCEEFF"/>
            <w:vAlign w:val="center"/>
            <w:hideMark/>
          </w:tcPr>
          <w:p w14:paraId="52CD29F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CF457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A7C4A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C31561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C0E5D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3DF3D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BF982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A3CFA5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5CDB3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5266E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42A66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8F77CC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7A248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D800C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A35CF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03234D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20FBB0" w14:textId="77777777" w:rsidR="00000000" w:rsidRDefault="00EB4933">
            <w:pPr>
              <w:pStyle w:val="NormalWeb"/>
              <w:spacing w:before="0" w:beforeAutospacing="0" w:after="0" w:afterAutospacing="0"/>
              <w:rPr>
                <w:sz w:val="20"/>
                <w:szCs w:val="20"/>
              </w:rPr>
            </w:pPr>
            <w:r>
              <w:rPr>
                <w:sz w:val="20"/>
                <w:szCs w:val="20"/>
              </w:rPr>
              <w:t> </w:t>
            </w:r>
          </w:p>
        </w:tc>
      </w:tr>
      <w:tr w:rsidR="00000000" w14:paraId="412231E4" w14:textId="77777777">
        <w:trPr>
          <w:divId w:val="98525094"/>
          <w:trHeight w:val="225"/>
          <w:tblCellSpacing w:w="15" w:type="dxa"/>
        </w:trPr>
        <w:tc>
          <w:tcPr>
            <w:tcW w:w="0" w:type="auto"/>
            <w:shd w:val="clear" w:color="auto" w:fill="FFFFFF"/>
            <w:hideMark/>
          </w:tcPr>
          <w:p w14:paraId="66F2D573" w14:textId="77777777" w:rsidR="00000000" w:rsidRDefault="00EB4933">
            <w:pPr>
              <w:pStyle w:val="NormalWeb"/>
              <w:spacing w:before="0" w:beforeAutospacing="0" w:after="0" w:afterAutospacing="0"/>
              <w:rPr>
                <w:sz w:val="20"/>
                <w:szCs w:val="20"/>
              </w:rPr>
            </w:pPr>
            <w:r>
              <w:rPr>
                <w:rStyle w:val="Strong"/>
                <w:sz w:val="20"/>
                <w:szCs w:val="20"/>
              </w:rPr>
              <w:t>Cash flow from financing activities</w:t>
            </w:r>
          </w:p>
        </w:tc>
        <w:tc>
          <w:tcPr>
            <w:tcW w:w="50" w:type="pct"/>
            <w:shd w:val="clear" w:color="auto" w:fill="FFFFFF"/>
            <w:noWrap/>
            <w:vAlign w:val="center"/>
            <w:hideMark/>
          </w:tcPr>
          <w:p w14:paraId="0CF39B4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97FDD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9F1997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992FF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D2DAF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264E2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792138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02F8B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0BFE1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20678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83009C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F49E9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74EBA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808B7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272C6A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3C6CAD" w14:textId="77777777" w:rsidR="00000000" w:rsidRDefault="00EB4933">
            <w:pPr>
              <w:pStyle w:val="NormalWeb"/>
              <w:spacing w:before="0" w:beforeAutospacing="0" w:after="0" w:afterAutospacing="0"/>
              <w:rPr>
                <w:sz w:val="20"/>
                <w:szCs w:val="20"/>
              </w:rPr>
            </w:pPr>
            <w:r>
              <w:rPr>
                <w:sz w:val="20"/>
                <w:szCs w:val="20"/>
              </w:rPr>
              <w:t> </w:t>
            </w:r>
          </w:p>
        </w:tc>
      </w:tr>
      <w:tr w:rsidR="00000000" w14:paraId="7F742574" w14:textId="77777777">
        <w:trPr>
          <w:divId w:val="98525094"/>
          <w:trHeight w:val="225"/>
          <w:tblCellSpacing w:w="15" w:type="dxa"/>
        </w:trPr>
        <w:tc>
          <w:tcPr>
            <w:tcW w:w="0" w:type="auto"/>
            <w:shd w:val="clear" w:color="auto" w:fill="CCEEFF"/>
            <w:hideMark/>
          </w:tcPr>
          <w:p w14:paraId="57E0DA35" w14:textId="77777777" w:rsidR="00000000" w:rsidRDefault="00EB4933">
            <w:pPr>
              <w:pStyle w:val="NormalWeb"/>
              <w:spacing w:before="0" w:beforeAutospacing="0" w:after="0" w:afterAutospacing="0"/>
              <w:rPr>
                <w:sz w:val="20"/>
                <w:szCs w:val="20"/>
              </w:rPr>
            </w:pPr>
            <w:r>
              <w:rPr>
                <w:sz w:val="20"/>
                <w:szCs w:val="20"/>
              </w:rPr>
              <w:t>Share issuance expenses (note 30.2)</w:t>
            </w:r>
          </w:p>
        </w:tc>
        <w:tc>
          <w:tcPr>
            <w:tcW w:w="50" w:type="pct"/>
            <w:shd w:val="clear" w:color="auto" w:fill="CCEEFF"/>
            <w:noWrap/>
            <w:vAlign w:val="center"/>
            <w:hideMark/>
          </w:tcPr>
          <w:p w14:paraId="6820100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1492A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D4BA30D" w14:textId="77777777" w:rsidR="00000000" w:rsidRDefault="00EB4933">
            <w:pPr>
              <w:jc w:val="right"/>
              <w:rPr>
                <w:rFonts w:eastAsia="Times New Roman"/>
                <w:sz w:val="20"/>
                <w:szCs w:val="20"/>
              </w:rPr>
            </w:pPr>
            <w:r>
              <w:rPr>
                <w:rFonts w:eastAsia="Times New Roman"/>
                <w:sz w:val="20"/>
                <w:szCs w:val="20"/>
              </w:rPr>
              <w:t>(9,198</w:t>
            </w:r>
          </w:p>
        </w:tc>
        <w:tc>
          <w:tcPr>
            <w:tcW w:w="50" w:type="pct"/>
            <w:shd w:val="clear" w:color="auto" w:fill="CCEEFF"/>
            <w:noWrap/>
            <w:vAlign w:val="bottom"/>
            <w:hideMark/>
          </w:tcPr>
          <w:p w14:paraId="59BB305E"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D3B6FB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39E36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3D69090" w14:textId="77777777" w:rsidR="00000000" w:rsidRDefault="00EB4933">
            <w:pPr>
              <w:jc w:val="right"/>
              <w:rPr>
                <w:rFonts w:eastAsia="Times New Roman"/>
                <w:sz w:val="20"/>
                <w:szCs w:val="20"/>
              </w:rPr>
            </w:pPr>
            <w:r>
              <w:rPr>
                <w:rFonts w:eastAsia="Times New Roman"/>
                <w:sz w:val="20"/>
                <w:szCs w:val="20"/>
              </w:rPr>
              <w:t>(6,429</w:t>
            </w:r>
          </w:p>
        </w:tc>
        <w:tc>
          <w:tcPr>
            <w:tcW w:w="50" w:type="pct"/>
            <w:shd w:val="clear" w:color="auto" w:fill="CCEEFF"/>
            <w:noWrap/>
            <w:vAlign w:val="bottom"/>
            <w:hideMark/>
          </w:tcPr>
          <w:p w14:paraId="59748E32"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780029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F0EA7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95FE898"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F6AD16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EF5EF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1BE73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28180D1" w14:textId="77777777" w:rsidR="00000000" w:rsidRDefault="00EB4933">
            <w:pPr>
              <w:jc w:val="right"/>
              <w:rPr>
                <w:rFonts w:eastAsia="Times New Roman"/>
                <w:sz w:val="20"/>
                <w:szCs w:val="20"/>
              </w:rPr>
            </w:pPr>
            <w:r>
              <w:rPr>
                <w:rFonts w:eastAsia="Times New Roman"/>
                <w:sz w:val="20"/>
                <w:szCs w:val="20"/>
              </w:rPr>
              <w:t>(15,627</w:t>
            </w:r>
          </w:p>
        </w:tc>
        <w:tc>
          <w:tcPr>
            <w:tcW w:w="50" w:type="pct"/>
            <w:shd w:val="clear" w:color="auto" w:fill="CCEEFF"/>
            <w:noWrap/>
            <w:vAlign w:val="bottom"/>
            <w:hideMark/>
          </w:tcPr>
          <w:p w14:paraId="1D37C458" w14:textId="77777777" w:rsidR="00000000" w:rsidRDefault="00EB4933">
            <w:pPr>
              <w:rPr>
                <w:rFonts w:eastAsia="Times New Roman"/>
                <w:sz w:val="20"/>
                <w:szCs w:val="20"/>
              </w:rPr>
            </w:pPr>
            <w:r>
              <w:rPr>
                <w:rFonts w:eastAsia="Times New Roman"/>
                <w:sz w:val="20"/>
                <w:szCs w:val="20"/>
              </w:rPr>
              <w:t>)</w:t>
            </w:r>
          </w:p>
        </w:tc>
      </w:tr>
      <w:tr w:rsidR="00000000" w14:paraId="4154FD1B" w14:textId="77777777">
        <w:trPr>
          <w:divId w:val="98525094"/>
          <w:trHeight w:val="225"/>
          <w:tblCellSpacing w:w="15" w:type="dxa"/>
        </w:trPr>
        <w:tc>
          <w:tcPr>
            <w:tcW w:w="0" w:type="auto"/>
            <w:shd w:val="clear" w:color="auto" w:fill="FFFFFF"/>
            <w:hideMark/>
          </w:tcPr>
          <w:p w14:paraId="25CDC9E7" w14:textId="77777777" w:rsidR="00000000" w:rsidRDefault="00EB4933">
            <w:pPr>
              <w:pStyle w:val="NormalWeb"/>
              <w:spacing w:before="0" w:beforeAutospacing="0" w:after="0" w:afterAutospacing="0"/>
              <w:rPr>
                <w:sz w:val="20"/>
                <w:szCs w:val="20"/>
              </w:rPr>
            </w:pPr>
            <w:r>
              <w:rPr>
                <w:sz w:val="20"/>
                <w:szCs w:val="20"/>
              </w:rPr>
              <w:t>Proceeds received from shareholders’ loans (note 30.9)</w:t>
            </w:r>
          </w:p>
        </w:tc>
        <w:tc>
          <w:tcPr>
            <w:tcW w:w="50" w:type="pct"/>
            <w:shd w:val="clear" w:color="auto" w:fill="FFFFFF"/>
            <w:noWrap/>
            <w:vAlign w:val="center"/>
            <w:hideMark/>
          </w:tcPr>
          <w:p w14:paraId="62C7790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7A369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08E0CAA" w14:textId="77777777" w:rsidR="00000000" w:rsidRDefault="00EB4933">
            <w:pPr>
              <w:jc w:val="right"/>
              <w:rPr>
                <w:rFonts w:eastAsia="Times New Roman"/>
                <w:sz w:val="20"/>
                <w:szCs w:val="20"/>
              </w:rPr>
            </w:pPr>
            <w:r>
              <w:rPr>
                <w:rFonts w:eastAsia="Times New Roman"/>
                <w:sz w:val="20"/>
                <w:szCs w:val="20"/>
              </w:rPr>
              <w:t>14,000</w:t>
            </w:r>
          </w:p>
        </w:tc>
        <w:tc>
          <w:tcPr>
            <w:tcW w:w="50" w:type="pct"/>
            <w:shd w:val="clear" w:color="auto" w:fill="FFFFFF"/>
            <w:noWrap/>
            <w:vAlign w:val="center"/>
            <w:hideMark/>
          </w:tcPr>
          <w:p w14:paraId="6488914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3926A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8BE6C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7201BAE"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5D2CA7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2ACF79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A2371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A2836DD" w14:textId="77777777" w:rsidR="00000000" w:rsidRDefault="00EB4933">
            <w:pPr>
              <w:jc w:val="right"/>
              <w:rPr>
                <w:rFonts w:eastAsia="Times New Roman"/>
                <w:sz w:val="20"/>
                <w:szCs w:val="20"/>
              </w:rPr>
            </w:pPr>
            <w:r>
              <w:rPr>
                <w:rFonts w:eastAsia="Times New Roman"/>
                <w:sz w:val="20"/>
                <w:szCs w:val="20"/>
              </w:rPr>
              <w:t>38,600</w:t>
            </w:r>
          </w:p>
        </w:tc>
        <w:tc>
          <w:tcPr>
            <w:tcW w:w="50" w:type="pct"/>
            <w:shd w:val="clear" w:color="auto" w:fill="FFFFFF"/>
            <w:noWrap/>
            <w:vAlign w:val="center"/>
            <w:hideMark/>
          </w:tcPr>
          <w:p w14:paraId="13CD771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5F10D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15CD4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D707648" w14:textId="77777777" w:rsidR="00000000" w:rsidRDefault="00EB4933">
            <w:pPr>
              <w:jc w:val="right"/>
              <w:rPr>
                <w:rFonts w:eastAsia="Times New Roman"/>
                <w:sz w:val="20"/>
                <w:szCs w:val="20"/>
              </w:rPr>
            </w:pPr>
            <w:r>
              <w:rPr>
                <w:rFonts w:eastAsia="Times New Roman"/>
                <w:sz w:val="20"/>
                <w:szCs w:val="20"/>
              </w:rPr>
              <w:t>52,600</w:t>
            </w:r>
          </w:p>
        </w:tc>
        <w:tc>
          <w:tcPr>
            <w:tcW w:w="50" w:type="pct"/>
            <w:shd w:val="clear" w:color="auto" w:fill="FFFFFF"/>
            <w:noWrap/>
            <w:vAlign w:val="center"/>
            <w:hideMark/>
          </w:tcPr>
          <w:p w14:paraId="1E767436" w14:textId="77777777" w:rsidR="00000000" w:rsidRDefault="00EB4933">
            <w:pPr>
              <w:pStyle w:val="NormalWeb"/>
              <w:spacing w:before="0" w:beforeAutospacing="0" w:after="0" w:afterAutospacing="0"/>
              <w:rPr>
                <w:sz w:val="20"/>
                <w:szCs w:val="20"/>
              </w:rPr>
            </w:pPr>
            <w:r>
              <w:rPr>
                <w:sz w:val="20"/>
                <w:szCs w:val="20"/>
              </w:rPr>
              <w:t> </w:t>
            </w:r>
          </w:p>
        </w:tc>
      </w:tr>
      <w:tr w:rsidR="00000000" w14:paraId="44AD6188" w14:textId="77777777">
        <w:trPr>
          <w:divId w:val="98525094"/>
          <w:trHeight w:val="225"/>
          <w:tblCellSpacing w:w="15" w:type="dxa"/>
        </w:trPr>
        <w:tc>
          <w:tcPr>
            <w:tcW w:w="0" w:type="auto"/>
            <w:shd w:val="clear" w:color="auto" w:fill="CCEEFF"/>
            <w:hideMark/>
          </w:tcPr>
          <w:p w14:paraId="747EC534" w14:textId="77777777" w:rsidR="00000000" w:rsidRDefault="00EB4933">
            <w:pPr>
              <w:pStyle w:val="NormalWeb"/>
              <w:spacing w:before="0" w:beforeAutospacing="0" w:after="0" w:afterAutospacing="0"/>
              <w:rPr>
                <w:sz w:val="20"/>
                <w:szCs w:val="20"/>
              </w:rPr>
            </w:pPr>
            <w:r>
              <w:rPr>
                <w:sz w:val="20"/>
                <w:szCs w:val="20"/>
              </w:rPr>
              <w:t>Repayment of shareholders’ loans (note 30.9)</w:t>
            </w:r>
          </w:p>
        </w:tc>
        <w:tc>
          <w:tcPr>
            <w:tcW w:w="50" w:type="pct"/>
            <w:shd w:val="clear" w:color="auto" w:fill="CCEEFF"/>
            <w:noWrap/>
            <w:vAlign w:val="center"/>
            <w:hideMark/>
          </w:tcPr>
          <w:p w14:paraId="3E60584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273CF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95B7B4C" w14:textId="77777777" w:rsidR="00000000" w:rsidRDefault="00EB4933">
            <w:pPr>
              <w:jc w:val="right"/>
              <w:rPr>
                <w:rFonts w:eastAsia="Times New Roman"/>
                <w:sz w:val="20"/>
                <w:szCs w:val="20"/>
              </w:rPr>
            </w:pPr>
            <w:r>
              <w:rPr>
                <w:rFonts w:eastAsia="Times New Roman"/>
                <w:sz w:val="20"/>
                <w:szCs w:val="20"/>
              </w:rPr>
              <w:t>(4,000</w:t>
            </w:r>
          </w:p>
        </w:tc>
        <w:tc>
          <w:tcPr>
            <w:tcW w:w="50" w:type="pct"/>
            <w:shd w:val="clear" w:color="auto" w:fill="CCEEFF"/>
            <w:noWrap/>
            <w:vAlign w:val="bottom"/>
            <w:hideMark/>
          </w:tcPr>
          <w:p w14:paraId="3595CDBB"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F023E7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2382F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1653EB7"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423B04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2F27D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17DBA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2525983" w14:textId="77777777" w:rsidR="00000000" w:rsidRDefault="00EB4933">
            <w:pPr>
              <w:jc w:val="right"/>
              <w:rPr>
                <w:rFonts w:eastAsia="Times New Roman"/>
                <w:sz w:val="20"/>
                <w:szCs w:val="20"/>
              </w:rPr>
            </w:pPr>
            <w:r>
              <w:rPr>
                <w:rFonts w:eastAsia="Times New Roman"/>
                <w:sz w:val="20"/>
                <w:szCs w:val="20"/>
              </w:rPr>
              <w:t>(38,600</w:t>
            </w:r>
          </w:p>
        </w:tc>
        <w:tc>
          <w:tcPr>
            <w:tcW w:w="50" w:type="pct"/>
            <w:shd w:val="clear" w:color="auto" w:fill="CCEEFF"/>
            <w:noWrap/>
            <w:vAlign w:val="bottom"/>
            <w:hideMark/>
          </w:tcPr>
          <w:p w14:paraId="5C40F5DB"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324AD2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13556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DC159DF" w14:textId="77777777" w:rsidR="00000000" w:rsidRDefault="00EB4933">
            <w:pPr>
              <w:jc w:val="right"/>
              <w:rPr>
                <w:rFonts w:eastAsia="Times New Roman"/>
                <w:sz w:val="20"/>
                <w:szCs w:val="20"/>
              </w:rPr>
            </w:pPr>
            <w:r>
              <w:rPr>
                <w:rFonts w:eastAsia="Times New Roman"/>
                <w:sz w:val="20"/>
                <w:szCs w:val="20"/>
              </w:rPr>
              <w:t>(42,600</w:t>
            </w:r>
          </w:p>
        </w:tc>
        <w:tc>
          <w:tcPr>
            <w:tcW w:w="50" w:type="pct"/>
            <w:shd w:val="clear" w:color="auto" w:fill="CCEEFF"/>
            <w:noWrap/>
            <w:vAlign w:val="bottom"/>
            <w:hideMark/>
          </w:tcPr>
          <w:p w14:paraId="4DA16BB2" w14:textId="77777777" w:rsidR="00000000" w:rsidRDefault="00EB4933">
            <w:pPr>
              <w:rPr>
                <w:rFonts w:eastAsia="Times New Roman"/>
                <w:sz w:val="20"/>
                <w:szCs w:val="20"/>
              </w:rPr>
            </w:pPr>
            <w:r>
              <w:rPr>
                <w:rFonts w:eastAsia="Times New Roman"/>
                <w:sz w:val="20"/>
                <w:szCs w:val="20"/>
              </w:rPr>
              <w:t>)</w:t>
            </w:r>
          </w:p>
        </w:tc>
      </w:tr>
      <w:tr w:rsidR="00000000" w14:paraId="10D6E666" w14:textId="77777777">
        <w:trPr>
          <w:divId w:val="98525094"/>
          <w:trHeight w:val="225"/>
          <w:tblCellSpacing w:w="15" w:type="dxa"/>
        </w:trPr>
        <w:tc>
          <w:tcPr>
            <w:tcW w:w="0" w:type="auto"/>
            <w:shd w:val="clear" w:color="auto" w:fill="FFFFFF"/>
            <w:hideMark/>
          </w:tcPr>
          <w:p w14:paraId="4A837E64" w14:textId="77777777" w:rsidR="00000000" w:rsidRDefault="00EB4933">
            <w:pPr>
              <w:pStyle w:val="NormalWeb"/>
              <w:spacing w:before="0" w:beforeAutospacing="0" w:after="0" w:afterAutospacing="0"/>
              <w:rPr>
                <w:sz w:val="20"/>
                <w:szCs w:val="20"/>
              </w:rPr>
            </w:pPr>
            <w:r>
              <w:rPr>
                <w:sz w:val="20"/>
                <w:szCs w:val="20"/>
              </w:rPr>
              <w:t>Proceeds received from loans payable (note 30.9)</w:t>
            </w:r>
          </w:p>
        </w:tc>
        <w:tc>
          <w:tcPr>
            <w:tcW w:w="50" w:type="pct"/>
            <w:shd w:val="clear" w:color="auto" w:fill="FFFFFF"/>
            <w:noWrap/>
            <w:vAlign w:val="center"/>
            <w:hideMark/>
          </w:tcPr>
          <w:p w14:paraId="31948FF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63646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F0E7D76" w14:textId="77777777" w:rsidR="00000000" w:rsidRDefault="00EB4933">
            <w:pPr>
              <w:jc w:val="right"/>
              <w:rPr>
                <w:rFonts w:eastAsia="Times New Roman"/>
                <w:sz w:val="20"/>
                <w:szCs w:val="20"/>
              </w:rPr>
            </w:pPr>
            <w:r>
              <w:rPr>
                <w:rFonts w:eastAsia="Times New Roman"/>
                <w:sz w:val="20"/>
                <w:szCs w:val="20"/>
              </w:rPr>
              <w:t>402,300</w:t>
            </w:r>
          </w:p>
        </w:tc>
        <w:tc>
          <w:tcPr>
            <w:tcW w:w="50" w:type="pct"/>
            <w:shd w:val="clear" w:color="auto" w:fill="FFFFFF"/>
            <w:noWrap/>
            <w:vAlign w:val="center"/>
            <w:hideMark/>
          </w:tcPr>
          <w:p w14:paraId="09EFCF6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F3F9A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BD831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A59DF45"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4D7277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11F26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8DEC2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3AA7D8C" w14:textId="77777777" w:rsidR="00000000" w:rsidRDefault="00EB4933">
            <w:pPr>
              <w:jc w:val="right"/>
              <w:rPr>
                <w:rFonts w:eastAsia="Times New Roman"/>
                <w:sz w:val="20"/>
                <w:szCs w:val="20"/>
              </w:rPr>
            </w:pPr>
            <w:r>
              <w:rPr>
                <w:rFonts w:eastAsia="Times New Roman"/>
                <w:sz w:val="20"/>
                <w:szCs w:val="20"/>
              </w:rPr>
              <w:t>(38,600</w:t>
            </w:r>
          </w:p>
        </w:tc>
        <w:tc>
          <w:tcPr>
            <w:tcW w:w="50" w:type="pct"/>
            <w:shd w:val="clear" w:color="auto" w:fill="FFFFFF"/>
            <w:noWrap/>
            <w:vAlign w:val="bottom"/>
            <w:hideMark/>
          </w:tcPr>
          <w:p w14:paraId="7E9F3FB8"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E5C6A3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63508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F159D71" w14:textId="77777777" w:rsidR="00000000" w:rsidRDefault="00EB4933">
            <w:pPr>
              <w:jc w:val="right"/>
              <w:rPr>
                <w:rFonts w:eastAsia="Times New Roman"/>
                <w:sz w:val="20"/>
                <w:szCs w:val="20"/>
              </w:rPr>
            </w:pPr>
            <w:r>
              <w:rPr>
                <w:rFonts w:eastAsia="Times New Roman"/>
                <w:sz w:val="20"/>
                <w:szCs w:val="20"/>
              </w:rPr>
              <w:t>363,700</w:t>
            </w:r>
          </w:p>
        </w:tc>
        <w:tc>
          <w:tcPr>
            <w:tcW w:w="50" w:type="pct"/>
            <w:shd w:val="clear" w:color="auto" w:fill="FFFFFF"/>
            <w:noWrap/>
            <w:vAlign w:val="center"/>
            <w:hideMark/>
          </w:tcPr>
          <w:p w14:paraId="0B45D3B1" w14:textId="77777777" w:rsidR="00000000" w:rsidRDefault="00EB4933">
            <w:pPr>
              <w:pStyle w:val="NormalWeb"/>
              <w:spacing w:before="0" w:beforeAutospacing="0" w:after="0" w:afterAutospacing="0"/>
              <w:rPr>
                <w:sz w:val="20"/>
                <w:szCs w:val="20"/>
              </w:rPr>
            </w:pPr>
            <w:r>
              <w:rPr>
                <w:sz w:val="20"/>
                <w:szCs w:val="20"/>
              </w:rPr>
              <w:t> </w:t>
            </w:r>
          </w:p>
        </w:tc>
      </w:tr>
      <w:tr w:rsidR="00000000" w14:paraId="27184639" w14:textId="77777777">
        <w:trPr>
          <w:divId w:val="98525094"/>
          <w:trHeight w:val="225"/>
          <w:tblCellSpacing w:w="15" w:type="dxa"/>
        </w:trPr>
        <w:tc>
          <w:tcPr>
            <w:tcW w:w="0" w:type="auto"/>
            <w:shd w:val="clear" w:color="auto" w:fill="CCEEFF"/>
            <w:hideMark/>
          </w:tcPr>
          <w:p w14:paraId="1F519A45" w14:textId="77777777" w:rsidR="00000000" w:rsidRDefault="00EB4933">
            <w:pPr>
              <w:pStyle w:val="NormalWeb"/>
              <w:spacing w:before="0" w:beforeAutospacing="0" w:after="0" w:afterAutospacing="0"/>
              <w:rPr>
                <w:sz w:val="20"/>
                <w:szCs w:val="20"/>
              </w:rPr>
            </w:pPr>
            <w:r>
              <w:rPr>
                <w:sz w:val="20"/>
                <w:szCs w:val="20"/>
              </w:rPr>
              <w:t>Repayment of loans payable (note 30.9)</w:t>
            </w:r>
          </w:p>
        </w:tc>
        <w:tc>
          <w:tcPr>
            <w:tcW w:w="50" w:type="pct"/>
            <w:shd w:val="clear" w:color="auto" w:fill="CCEEFF"/>
            <w:noWrap/>
            <w:vAlign w:val="center"/>
            <w:hideMark/>
          </w:tcPr>
          <w:p w14:paraId="1897F9E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95B96B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9B0FAD6" w14:textId="77777777" w:rsidR="00000000" w:rsidRDefault="00EB4933">
            <w:pPr>
              <w:jc w:val="right"/>
              <w:rPr>
                <w:rFonts w:eastAsia="Times New Roman"/>
                <w:sz w:val="20"/>
                <w:szCs w:val="20"/>
              </w:rPr>
            </w:pPr>
            <w:r>
              <w:rPr>
                <w:rFonts w:eastAsia="Times New Roman"/>
                <w:sz w:val="20"/>
                <w:szCs w:val="20"/>
              </w:rPr>
              <w:t>(386,400</w:t>
            </w:r>
          </w:p>
        </w:tc>
        <w:tc>
          <w:tcPr>
            <w:tcW w:w="50" w:type="pct"/>
            <w:shd w:val="clear" w:color="auto" w:fill="CCEEFF"/>
            <w:noWrap/>
            <w:tcMar>
              <w:top w:w="0" w:type="dxa"/>
              <w:left w:w="0" w:type="dxa"/>
              <w:bottom w:w="15" w:type="dxa"/>
              <w:right w:w="0" w:type="dxa"/>
            </w:tcMar>
            <w:vAlign w:val="bottom"/>
            <w:hideMark/>
          </w:tcPr>
          <w:p w14:paraId="4593CB38"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1E7F74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B05AFF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43C5C6A"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0AB2258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5574E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C7337E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B34A5B6" w14:textId="77777777" w:rsidR="00000000" w:rsidRDefault="00EB4933">
            <w:pPr>
              <w:jc w:val="right"/>
              <w:rPr>
                <w:rFonts w:eastAsia="Times New Roman"/>
                <w:sz w:val="20"/>
                <w:szCs w:val="20"/>
              </w:rPr>
            </w:pPr>
            <w:r>
              <w:rPr>
                <w:rFonts w:eastAsia="Times New Roman"/>
                <w:sz w:val="20"/>
                <w:szCs w:val="20"/>
              </w:rPr>
              <w:t>38,600</w:t>
            </w:r>
          </w:p>
        </w:tc>
        <w:tc>
          <w:tcPr>
            <w:tcW w:w="50" w:type="pct"/>
            <w:shd w:val="clear" w:color="auto" w:fill="CCEEFF"/>
            <w:noWrap/>
            <w:tcMar>
              <w:top w:w="0" w:type="dxa"/>
              <w:left w:w="0" w:type="dxa"/>
              <w:bottom w:w="15" w:type="dxa"/>
              <w:right w:w="0" w:type="dxa"/>
            </w:tcMar>
            <w:vAlign w:val="center"/>
            <w:hideMark/>
          </w:tcPr>
          <w:p w14:paraId="1DC5F63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8326D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876134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4CE2000" w14:textId="77777777" w:rsidR="00000000" w:rsidRDefault="00EB4933">
            <w:pPr>
              <w:jc w:val="right"/>
              <w:rPr>
                <w:rFonts w:eastAsia="Times New Roman"/>
                <w:sz w:val="20"/>
                <w:szCs w:val="20"/>
              </w:rPr>
            </w:pPr>
            <w:r>
              <w:rPr>
                <w:rFonts w:eastAsia="Times New Roman"/>
                <w:sz w:val="20"/>
                <w:szCs w:val="20"/>
              </w:rPr>
              <w:t>(347,800</w:t>
            </w:r>
          </w:p>
        </w:tc>
        <w:tc>
          <w:tcPr>
            <w:tcW w:w="50" w:type="pct"/>
            <w:shd w:val="clear" w:color="auto" w:fill="CCEEFF"/>
            <w:noWrap/>
            <w:tcMar>
              <w:top w:w="0" w:type="dxa"/>
              <w:left w:w="0" w:type="dxa"/>
              <w:bottom w:w="15" w:type="dxa"/>
              <w:right w:w="0" w:type="dxa"/>
            </w:tcMar>
            <w:vAlign w:val="bottom"/>
            <w:hideMark/>
          </w:tcPr>
          <w:p w14:paraId="72AE62FC" w14:textId="77777777" w:rsidR="00000000" w:rsidRDefault="00EB4933">
            <w:pPr>
              <w:rPr>
                <w:rFonts w:eastAsia="Times New Roman"/>
                <w:sz w:val="20"/>
                <w:szCs w:val="20"/>
              </w:rPr>
            </w:pPr>
            <w:r>
              <w:rPr>
                <w:rFonts w:eastAsia="Times New Roman"/>
                <w:sz w:val="20"/>
                <w:szCs w:val="20"/>
              </w:rPr>
              <w:t>)</w:t>
            </w:r>
          </w:p>
        </w:tc>
      </w:tr>
      <w:tr w:rsidR="00000000" w14:paraId="7BE8C331" w14:textId="77777777">
        <w:trPr>
          <w:divId w:val="98525094"/>
          <w:trHeight w:val="225"/>
          <w:tblCellSpacing w:w="15" w:type="dxa"/>
        </w:trPr>
        <w:tc>
          <w:tcPr>
            <w:tcW w:w="0" w:type="auto"/>
            <w:shd w:val="clear" w:color="auto" w:fill="FFFFFF"/>
            <w:hideMark/>
          </w:tcPr>
          <w:p w14:paraId="694AC91A" w14:textId="77777777" w:rsidR="00000000" w:rsidRDefault="00EB4933">
            <w:pPr>
              <w:pStyle w:val="NormalWeb"/>
              <w:spacing w:before="0" w:beforeAutospacing="0" w:after="0" w:afterAutospacing="0"/>
              <w:rPr>
                <w:sz w:val="20"/>
                <w:szCs w:val="20"/>
              </w:rPr>
            </w:pPr>
            <w:r>
              <w:rPr>
                <w:rStyle w:val="Strong"/>
                <w:sz w:val="20"/>
                <w:szCs w:val="20"/>
              </w:rPr>
              <w:t>Net cash generated by financing activities</w:t>
            </w:r>
          </w:p>
        </w:tc>
        <w:tc>
          <w:tcPr>
            <w:tcW w:w="50" w:type="pct"/>
            <w:shd w:val="clear" w:color="auto" w:fill="FFFFFF"/>
            <w:noWrap/>
            <w:vAlign w:val="center"/>
            <w:hideMark/>
          </w:tcPr>
          <w:p w14:paraId="7511E6D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AD11A9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2F53EDC" w14:textId="77777777" w:rsidR="00000000" w:rsidRDefault="00EB4933">
            <w:pPr>
              <w:jc w:val="right"/>
              <w:rPr>
                <w:rFonts w:eastAsia="Times New Roman"/>
                <w:sz w:val="20"/>
                <w:szCs w:val="20"/>
              </w:rPr>
            </w:pPr>
            <w:r>
              <w:rPr>
                <w:rFonts w:eastAsia="Times New Roman"/>
                <w:sz w:val="20"/>
                <w:szCs w:val="20"/>
              </w:rPr>
              <w:t>16,702</w:t>
            </w:r>
          </w:p>
        </w:tc>
        <w:tc>
          <w:tcPr>
            <w:tcW w:w="50" w:type="pct"/>
            <w:shd w:val="clear" w:color="auto" w:fill="FFFFFF"/>
            <w:noWrap/>
            <w:tcMar>
              <w:top w:w="0" w:type="dxa"/>
              <w:left w:w="0" w:type="dxa"/>
              <w:bottom w:w="15" w:type="dxa"/>
              <w:right w:w="0" w:type="dxa"/>
            </w:tcMar>
            <w:vAlign w:val="center"/>
            <w:hideMark/>
          </w:tcPr>
          <w:p w14:paraId="2579666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592C4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10514A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AF661F2" w14:textId="77777777" w:rsidR="00000000" w:rsidRDefault="00EB4933">
            <w:pPr>
              <w:jc w:val="right"/>
              <w:rPr>
                <w:rFonts w:eastAsia="Times New Roman"/>
                <w:sz w:val="20"/>
                <w:szCs w:val="20"/>
              </w:rPr>
            </w:pPr>
            <w:r>
              <w:rPr>
                <w:rFonts w:eastAsia="Times New Roman"/>
                <w:sz w:val="20"/>
                <w:szCs w:val="20"/>
              </w:rPr>
              <w:t>(6,429</w:t>
            </w:r>
          </w:p>
        </w:tc>
        <w:tc>
          <w:tcPr>
            <w:tcW w:w="50" w:type="pct"/>
            <w:shd w:val="clear" w:color="auto" w:fill="FFFFFF"/>
            <w:noWrap/>
            <w:tcMar>
              <w:top w:w="0" w:type="dxa"/>
              <w:left w:w="0" w:type="dxa"/>
              <w:bottom w:w="15" w:type="dxa"/>
              <w:right w:w="0" w:type="dxa"/>
            </w:tcMar>
            <w:vAlign w:val="bottom"/>
            <w:hideMark/>
          </w:tcPr>
          <w:p w14:paraId="391876DA"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A945F4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918686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86A4569"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0FF588A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87B79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69B2F0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A677C67" w14:textId="77777777" w:rsidR="00000000" w:rsidRDefault="00EB4933">
            <w:pPr>
              <w:jc w:val="right"/>
              <w:rPr>
                <w:rFonts w:eastAsia="Times New Roman"/>
                <w:sz w:val="20"/>
                <w:szCs w:val="20"/>
              </w:rPr>
            </w:pPr>
            <w:r>
              <w:rPr>
                <w:rFonts w:eastAsia="Times New Roman"/>
                <w:sz w:val="20"/>
                <w:szCs w:val="20"/>
              </w:rPr>
              <w:t>10,273</w:t>
            </w:r>
          </w:p>
        </w:tc>
        <w:tc>
          <w:tcPr>
            <w:tcW w:w="50" w:type="pct"/>
            <w:shd w:val="clear" w:color="auto" w:fill="FFFFFF"/>
            <w:noWrap/>
            <w:tcMar>
              <w:top w:w="0" w:type="dxa"/>
              <w:left w:w="0" w:type="dxa"/>
              <w:bottom w:w="15" w:type="dxa"/>
              <w:right w:w="0" w:type="dxa"/>
            </w:tcMar>
            <w:vAlign w:val="center"/>
            <w:hideMark/>
          </w:tcPr>
          <w:p w14:paraId="7F1C4DFC" w14:textId="77777777" w:rsidR="00000000" w:rsidRDefault="00EB4933">
            <w:pPr>
              <w:pStyle w:val="NormalWeb"/>
              <w:spacing w:before="0" w:beforeAutospacing="0" w:after="0" w:afterAutospacing="0"/>
              <w:rPr>
                <w:sz w:val="20"/>
                <w:szCs w:val="20"/>
              </w:rPr>
            </w:pPr>
            <w:r>
              <w:rPr>
                <w:sz w:val="20"/>
                <w:szCs w:val="20"/>
              </w:rPr>
              <w:t> </w:t>
            </w:r>
          </w:p>
        </w:tc>
      </w:tr>
    </w:tbl>
    <w:p w14:paraId="2B951860"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15B268D" w14:textId="77777777">
        <w:trPr>
          <w:divId w:val="98525094"/>
          <w:trHeight w:val="225"/>
          <w:tblCellSpacing w:w="15" w:type="dxa"/>
        </w:trPr>
        <w:tc>
          <w:tcPr>
            <w:tcW w:w="0" w:type="auto"/>
            <w:vAlign w:val="center"/>
            <w:hideMark/>
          </w:tcPr>
          <w:p w14:paraId="11D4F22B" w14:textId="77777777" w:rsidR="00000000" w:rsidRDefault="00EB4933">
            <w:pPr>
              <w:rPr>
                <w:rFonts w:eastAsia="Times New Roman"/>
                <w:sz w:val="20"/>
                <w:szCs w:val="20"/>
              </w:rPr>
            </w:pPr>
            <w:r>
              <w:rPr>
                <w:rFonts w:eastAsia="Times New Roman"/>
                <w:sz w:val="20"/>
                <w:szCs w:val="20"/>
              </w:rPr>
              <w:t> </w:t>
            </w:r>
          </w:p>
        </w:tc>
      </w:tr>
      <w:tr w:rsidR="00000000" w14:paraId="65375447" w14:textId="77777777">
        <w:trPr>
          <w:divId w:val="98525094"/>
          <w:trHeight w:val="225"/>
          <w:tblCellSpacing w:w="15" w:type="dxa"/>
        </w:trPr>
        <w:tc>
          <w:tcPr>
            <w:tcW w:w="0" w:type="auto"/>
            <w:tcBorders>
              <w:bottom w:val="single" w:sz="6" w:space="0" w:color="000000"/>
            </w:tcBorders>
            <w:vAlign w:val="center"/>
            <w:hideMark/>
          </w:tcPr>
          <w:p w14:paraId="10E2BB47" w14:textId="77777777" w:rsidR="00000000" w:rsidRDefault="00EB4933">
            <w:pPr>
              <w:jc w:val="center"/>
              <w:rPr>
                <w:rFonts w:eastAsia="Times New Roman"/>
                <w:sz w:val="20"/>
                <w:szCs w:val="20"/>
              </w:rPr>
            </w:pPr>
            <w:r>
              <w:rPr>
                <w:rFonts w:eastAsia="Times New Roman"/>
                <w:sz w:val="20"/>
                <w:szCs w:val="20"/>
              </w:rPr>
              <w:t>F-74</w:t>
            </w:r>
          </w:p>
        </w:tc>
      </w:tr>
      <w:tr w:rsidR="00000000" w14:paraId="7106039A" w14:textId="77777777">
        <w:trPr>
          <w:divId w:val="98525094"/>
          <w:trHeight w:val="225"/>
          <w:tblCellSpacing w:w="15" w:type="dxa"/>
        </w:trPr>
        <w:tc>
          <w:tcPr>
            <w:tcW w:w="0" w:type="auto"/>
            <w:vAlign w:val="center"/>
            <w:hideMark/>
          </w:tcPr>
          <w:p w14:paraId="16A91E8F" w14:textId="77777777" w:rsidR="00000000" w:rsidRDefault="00EB4933">
            <w:pPr>
              <w:rPr>
                <w:rFonts w:eastAsia="Times New Roman"/>
                <w:sz w:val="20"/>
                <w:szCs w:val="20"/>
              </w:rPr>
            </w:pPr>
          </w:p>
        </w:tc>
      </w:tr>
      <w:tr w:rsidR="00000000" w14:paraId="3A57C21C" w14:textId="77777777">
        <w:trPr>
          <w:divId w:val="98525094"/>
          <w:trHeight w:val="225"/>
          <w:tblCellSpacing w:w="15" w:type="dxa"/>
        </w:trPr>
        <w:tc>
          <w:tcPr>
            <w:tcW w:w="0" w:type="auto"/>
            <w:vAlign w:val="center"/>
            <w:hideMark/>
          </w:tcPr>
          <w:p w14:paraId="0EC518DE" w14:textId="77777777" w:rsidR="00000000" w:rsidRDefault="00EB4933">
            <w:pPr>
              <w:rPr>
                <w:rFonts w:eastAsia="Times New Roman"/>
                <w:sz w:val="20"/>
                <w:szCs w:val="20"/>
              </w:rPr>
            </w:pPr>
            <w:hyperlink r:id="rId291" w:anchor="finindex" w:history="1">
              <w:r>
                <w:rPr>
                  <w:rStyle w:val="Hyperlink"/>
                  <w:rFonts w:eastAsia="Times New Roman"/>
                  <w:i/>
                  <w:iCs/>
                  <w:sz w:val="20"/>
                  <w:szCs w:val="20"/>
                </w:rPr>
                <w:t>Table of Contents</w:t>
              </w:r>
            </w:hyperlink>
          </w:p>
        </w:tc>
      </w:tr>
    </w:tbl>
    <w:p w14:paraId="53BE6E42"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4B98BBC2" w14:textId="77777777" w:rsidR="00000000" w:rsidRDefault="00EB4933">
      <w:pPr>
        <w:pStyle w:val="NormalWeb"/>
        <w:spacing w:before="0" w:beforeAutospacing="0" w:after="0" w:afterAutospacing="0"/>
        <w:jc w:val="both"/>
        <w:divId w:val="98525094"/>
        <w:rPr>
          <w:sz w:val="20"/>
          <w:szCs w:val="20"/>
        </w:rPr>
      </w:pPr>
      <w:r>
        <w:rPr>
          <w:rStyle w:val="Strong"/>
          <w:sz w:val="20"/>
          <w:szCs w:val="20"/>
        </w:rPr>
        <w:t>DUNXIN FINANCIAL HOLDINGS LIMITED</w:t>
      </w:r>
    </w:p>
    <w:p w14:paraId="3D67DCE4" w14:textId="77777777" w:rsidR="00000000" w:rsidRDefault="00EB4933">
      <w:pPr>
        <w:pStyle w:val="NormalWeb"/>
        <w:spacing w:before="0" w:beforeAutospacing="0" w:after="0" w:afterAutospacing="0"/>
        <w:jc w:val="both"/>
        <w:divId w:val="98525094"/>
        <w:rPr>
          <w:sz w:val="20"/>
          <w:szCs w:val="20"/>
        </w:rPr>
      </w:pPr>
      <w:r>
        <w:rPr>
          <w:rStyle w:val="Strong"/>
          <w:sz w:val="20"/>
          <w:szCs w:val="20"/>
        </w:rPr>
        <w:t>NOTES TO THE CONSOLIDATED FINANCIAL STATEMENTS</w:t>
      </w:r>
    </w:p>
    <w:p w14:paraId="5491E161" w14:textId="77777777" w:rsidR="00000000" w:rsidRDefault="00EB4933">
      <w:pPr>
        <w:pStyle w:val="NormalWeb"/>
        <w:spacing w:before="0" w:beforeAutospacing="0" w:after="0" w:afterAutospacing="0"/>
        <w:jc w:val="both"/>
        <w:divId w:val="98525094"/>
        <w:rPr>
          <w:sz w:val="20"/>
          <w:szCs w:val="20"/>
        </w:rPr>
      </w:pPr>
      <w:r>
        <w:rPr>
          <w:rStyle w:val="Strong"/>
          <w:sz w:val="20"/>
          <w:szCs w:val="20"/>
        </w:rPr>
        <w:t xml:space="preserve">FOR THE FINANCIAL YEAR ENDED 2017, 2018 AND 2019 </w:t>
      </w:r>
    </w:p>
    <w:p w14:paraId="7B803C2C"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p w14:paraId="01916072" w14:textId="77777777" w:rsidR="00000000" w:rsidRDefault="00EB4933">
      <w:pPr>
        <w:pStyle w:val="NormalWeb"/>
        <w:spacing w:before="0" w:beforeAutospacing="0" w:after="0" w:afterAutospacing="0"/>
        <w:jc w:val="both"/>
        <w:divId w:val="98525094"/>
        <w:rPr>
          <w:sz w:val="20"/>
          <w:szCs w:val="20"/>
        </w:rPr>
      </w:pPr>
      <w:r>
        <w:rPr>
          <w:rStyle w:val="Strong"/>
          <w:sz w:val="20"/>
          <w:szCs w:val="20"/>
        </w:rPr>
        <w:t>30. Correction of errors - continued</w:t>
      </w:r>
    </w:p>
    <w:p w14:paraId="412D9DA7"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4600" w:type="pct"/>
        <w:tblCellSpacing w:w="15" w:type="dxa"/>
        <w:tblCellMar>
          <w:left w:w="0" w:type="dxa"/>
          <w:right w:w="0" w:type="dxa"/>
        </w:tblCellMar>
        <w:tblLook w:val="04A0" w:firstRow="1" w:lastRow="0" w:firstColumn="1" w:lastColumn="0" w:noHBand="0" w:noVBand="1"/>
      </w:tblPr>
      <w:tblGrid>
        <w:gridCol w:w="5283"/>
        <w:gridCol w:w="108"/>
        <w:gridCol w:w="116"/>
        <w:gridCol w:w="803"/>
        <w:gridCol w:w="108"/>
        <w:gridCol w:w="108"/>
        <w:gridCol w:w="109"/>
        <w:gridCol w:w="762"/>
        <w:gridCol w:w="108"/>
        <w:gridCol w:w="109"/>
        <w:gridCol w:w="109"/>
        <w:gridCol w:w="764"/>
        <w:gridCol w:w="124"/>
      </w:tblGrid>
      <w:tr w:rsidR="00000000" w14:paraId="78517B23" w14:textId="77777777">
        <w:trPr>
          <w:divId w:val="98525094"/>
          <w:trHeight w:val="225"/>
          <w:tblCellSpacing w:w="15" w:type="dxa"/>
        </w:trPr>
        <w:tc>
          <w:tcPr>
            <w:tcW w:w="0" w:type="auto"/>
            <w:vAlign w:val="center"/>
            <w:hideMark/>
          </w:tcPr>
          <w:p w14:paraId="0E05D7E7"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1387BC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10"/>
            <w:tcBorders>
              <w:bottom w:val="single" w:sz="6" w:space="0" w:color="auto"/>
            </w:tcBorders>
            <w:vAlign w:val="bottom"/>
            <w:hideMark/>
          </w:tcPr>
          <w:p w14:paraId="3EF075DA" w14:textId="77777777" w:rsidR="00000000" w:rsidRDefault="00EB4933">
            <w:pPr>
              <w:pStyle w:val="NormalWeb"/>
              <w:spacing w:before="0" w:beforeAutospacing="0" w:after="0" w:afterAutospacing="0"/>
              <w:jc w:val="center"/>
              <w:rPr>
                <w:sz w:val="20"/>
                <w:szCs w:val="20"/>
              </w:rPr>
            </w:pPr>
            <w:r>
              <w:rPr>
                <w:rStyle w:val="Strong"/>
                <w:sz w:val="20"/>
                <w:szCs w:val="20"/>
              </w:rPr>
              <w:t>December 31, 2016</w:t>
            </w:r>
          </w:p>
        </w:tc>
        <w:tc>
          <w:tcPr>
            <w:tcW w:w="0" w:type="auto"/>
            <w:noWrap/>
            <w:vAlign w:val="center"/>
            <w:hideMark/>
          </w:tcPr>
          <w:p w14:paraId="29E604C3" w14:textId="77777777" w:rsidR="00000000" w:rsidRDefault="00EB4933">
            <w:pPr>
              <w:pStyle w:val="NormalWeb"/>
              <w:spacing w:before="0" w:beforeAutospacing="0" w:after="0" w:afterAutospacing="0"/>
              <w:rPr>
                <w:sz w:val="20"/>
                <w:szCs w:val="20"/>
              </w:rPr>
            </w:pPr>
            <w:r>
              <w:rPr>
                <w:sz w:val="20"/>
                <w:szCs w:val="20"/>
              </w:rPr>
              <w:t> </w:t>
            </w:r>
          </w:p>
        </w:tc>
      </w:tr>
      <w:tr w:rsidR="00000000" w14:paraId="10215A62" w14:textId="77777777">
        <w:trPr>
          <w:divId w:val="98525094"/>
          <w:trHeight w:val="225"/>
          <w:tblCellSpacing w:w="15" w:type="dxa"/>
        </w:trPr>
        <w:tc>
          <w:tcPr>
            <w:tcW w:w="0" w:type="auto"/>
            <w:vAlign w:val="bottom"/>
            <w:hideMark/>
          </w:tcPr>
          <w:p w14:paraId="68EDE6CC" w14:textId="77777777" w:rsidR="00000000" w:rsidRDefault="00EB4933">
            <w:pPr>
              <w:pStyle w:val="NormalWeb"/>
              <w:spacing w:before="0" w:beforeAutospacing="0" w:after="0" w:afterAutospacing="0"/>
              <w:rPr>
                <w:sz w:val="20"/>
                <w:szCs w:val="20"/>
              </w:rPr>
            </w:pPr>
            <w:r>
              <w:rPr>
                <w:rStyle w:val="Strong"/>
                <w:sz w:val="20"/>
                <w:szCs w:val="20"/>
              </w:rPr>
              <w:t>Cash flow Statement (extract)</w:t>
            </w:r>
          </w:p>
        </w:tc>
        <w:tc>
          <w:tcPr>
            <w:tcW w:w="0" w:type="auto"/>
            <w:noWrap/>
            <w:vAlign w:val="center"/>
            <w:hideMark/>
          </w:tcPr>
          <w:p w14:paraId="09BC0E55"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E7E8DC7" w14:textId="77777777" w:rsidR="00000000" w:rsidRDefault="00EB4933">
            <w:pPr>
              <w:pStyle w:val="NormalWeb"/>
              <w:spacing w:before="0" w:beforeAutospacing="0" w:after="0" w:afterAutospacing="0"/>
              <w:jc w:val="center"/>
              <w:rPr>
                <w:sz w:val="20"/>
                <w:szCs w:val="20"/>
              </w:rPr>
            </w:pPr>
            <w:r>
              <w:rPr>
                <w:rStyle w:val="Strong"/>
                <w:sz w:val="20"/>
                <w:szCs w:val="20"/>
              </w:rPr>
              <w:t>As previously reported</w:t>
            </w:r>
          </w:p>
        </w:tc>
        <w:tc>
          <w:tcPr>
            <w:tcW w:w="0" w:type="auto"/>
            <w:noWrap/>
            <w:tcMar>
              <w:top w:w="0" w:type="dxa"/>
              <w:left w:w="0" w:type="dxa"/>
              <w:bottom w:w="15" w:type="dxa"/>
              <w:right w:w="0" w:type="dxa"/>
            </w:tcMar>
            <w:vAlign w:val="center"/>
            <w:hideMark/>
          </w:tcPr>
          <w:p w14:paraId="2811B5EE"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A7D2C80"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F20F774" w14:textId="77777777" w:rsidR="00000000" w:rsidRDefault="00EB4933">
            <w:pPr>
              <w:pStyle w:val="NormalWeb"/>
              <w:spacing w:before="0" w:beforeAutospacing="0" w:after="0" w:afterAutospacing="0"/>
              <w:jc w:val="center"/>
              <w:rPr>
                <w:sz w:val="20"/>
                <w:szCs w:val="20"/>
              </w:rPr>
            </w:pPr>
            <w:r>
              <w:rPr>
                <w:rStyle w:val="Strong"/>
                <w:sz w:val="20"/>
                <w:szCs w:val="20"/>
              </w:rPr>
              <w:t xml:space="preserve">Other </w:t>
            </w:r>
          </w:p>
          <w:p w14:paraId="6EC1E585" w14:textId="77777777" w:rsidR="00000000" w:rsidRDefault="00EB4933">
            <w:pPr>
              <w:pStyle w:val="NormalWeb"/>
              <w:spacing w:before="0" w:beforeAutospacing="0" w:after="0" w:afterAutospacing="0"/>
              <w:jc w:val="center"/>
              <w:rPr>
                <w:sz w:val="20"/>
                <w:szCs w:val="20"/>
              </w:rPr>
            </w:pPr>
            <w:r>
              <w:rPr>
                <w:rStyle w:val="Strong"/>
                <w:sz w:val="20"/>
                <w:szCs w:val="20"/>
              </w:rPr>
              <w:t>impacts</w:t>
            </w:r>
          </w:p>
        </w:tc>
        <w:tc>
          <w:tcPr>
            <w:tcW w:w="0" w:type="auto"/>
            <w:noWrap/>
            <w:tcMar>
              <w:top w:w="0" w:type="dxa"/>
              <w:left w:w="0" w:type="dxa"/>
              <w:bottom w:w="15" w:type="dxa"/>
              <w:right w:w="0" w:type="dxa"/>
            </w:tcMar>
            <w:vAlign w:val="center"/>
            <w:hideMark/>
          </w:tcPr>
          <w:p w14:paraId="1F8F0AFE"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DA5667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D5A0721" w14:textId="77777777" w:rsidR="00000000" w:rsidRDefault="00EB4933">
            <w:pPr>
              <w:pStyle w:val="NormalWeb"/>
              <w:spacing w:before="0" w:beforeAutospacing="0" w:after="0" w:afterAutospacing="0"/>
              <w:jc w:val="center"/>
              <w:rPr>
                <w:sz w:val="20"/>
                <w:szCs w:val="20"/>
              </w:rPr>
            </w:pPr>
            <w:r>
              <w:rPr>
                <w:rStyle w:val="Strong"/>
                <w:sz w:val="20"/>
                <w:szCs w:val="20"/>
              </w:rPr>
              <w:t>As currently reported</w:t>
            </w:r>
          </w:p>
        </w:tc>
        <w:tc>
          <w:tcPr>
            <w:tcW w:w="0" w:type="auto"/>
            <w:noWrap/>
            <w:tcMar>
              <w:top w:w="0" w:type="dxa"/>
              <w:left w:w="0" w:type="dxa"/>
              <w:bottom w:w="15" w:type="dxa"/>
              <w:right w:w="0" w:type="dxa"/>
            </w:tcMar>
            <w:vAlign w:val="center"/>
            <w:hideMark/>
          </w:tcPr>
          <w:p w14:paraId="61D05387" w14:textId="77777777" w:rsidR="00000000" w:rsidRDefault="00EB4933">
            <w:pPr>
              <w:pStyle w:val="NormalWeb"/>
              <w:spacing w:before="0" w:beforeAutospacing="0" w:after="0" w:afterAutospacing="0"/>
              <w:rPr>
                <w:sz w:val="20"/>
                <w:szCs w:val="20"/>
              </w:rPr>
            </w:pPr>
            <w:r>
              <w:rPr>
                <w:sz w:val="20"/>
                <w:szCs w:val="20"/>
              </w:rPr>
              <w:t> </w:t>
            </w:r>
          </w:p>
        </w:tc>
      </w:tr>
      <w:tr w:rsidR="00000000" w14:paraId="5671D611" w14:textId="77777777">
        <w:trPr>
          <w:divId w:val="98525094"/>
          <w:trHeight w:val="225"/>
          <w:tblCellSpacing w:w="15" w:type="dxa"/>
        </w:trPr>
        <w:tc>
          <w:tcPr>
            <w:tcW w:w="0" w:type="auto"/>
            <w:vAlign w:val="center"/>
            <w:hideMark/>
          </w:tcPr>
          <w:p w14:paraId="6A950A23"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2B2C4D1"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4F35798A" w14:textId="77777777" w:rsidR="00000000" w:rsidRDefault="00EB4933">
            <w:pPr>
              <w:pStyle w:val="NormalWeb"/>
              <w:spacing w:before="0" w:beforeAutospacing="0" w:after="0" w:afterAutospacing="0"/>
              <w:jc w:val="center"/>
              <w:rPr>
                <w:sz w:val="20"/>
                <w:szCs w:val="20"/>
              </w:rPr>
            </w:pPr>
            <w:r>
              <w:rPr>
                <w:sz w:val="20"/>
                <w:szCs w:val="20"/>
              </w:rPr>
              <w:t xml:space="preserve">RMB’000 </w:t>
            </w:r>
          </w:p>
        </w:tc>
        <w:tc>
          <w:tcPr>
            <w:tcW w:w="0" w:type="auto"/>
            <w:noWrap/>
            <w:vAlign w:val="center"/>
            <w:hideMark/>
          </w:tcPr>
          <w:p w14:paraId="5184877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44D9C05"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10676A13" w14:textId="77777777" w:rsidR="00000000" w:rsidRDefault="00EB4933">
            <w:pPr>
              <w:pStyle w:val="NormalWeb"/>
              <w:spacing w:before="0" w:beforeAutospacing="0" w:after="0" w:afterAutospacing="0"/>
              <w:jc w:val="center"/>
              <w:rPr>
                <w:sz w:val="20"/>
                <w:szCs w:val="20"/>
              </w:rPr>
            </w:pPr>
            <w:r>
              <w:rPr>
                <w:sz w:val="20"/>
                <w:szCs w:val="20"/>
              </w:rPr>
              <w:t>RMB’000</w:t>
            </w:r>
          </w:p>
        </w:tc>
        <w:tc>
          <w:tcPr>
            <w:tcW w:w="0" w:type="auto"/>
            <w:noWrap/>
            <w:vAlign w:val="center"/>
            <w:hideMark/>
          </w:tcPr>
          <w:p w14:paraId="6A5D10D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F5C4CA5"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62F51A6D" w14:textId="77777777" w:rsidR="00000000" w:rsidRDefault="00EB4933">
            <w:pPr>
              <w:pStyle w:val="NormalWeb"/>
              <w:spacing w:before="0" w:beforeAutospacing="0" w:after="0" w:afterAutospacing="0"/>
              <w:jc w:val="center"/>
              <w:rPr>
                <w:sz w:val="20"/>
                <w:szCs w:val="20"/>
              </w:rPr>
            </w:pPr>
            <w:r>
              <w:rPr>
                <w:sz w:val="20"/>
                <w:szCs w:val="20"/>
              </w:rPr>
              <w:t>RMB’000</w:t>
            </w:r>
          </w:p>
        </w:tc>
        <w:tc>
          <w:tcPr>
            <w:tcW w:w="0" w:type="auto"/>
            <w:noWrap/>
            <w:vAlign w:val="center"/>
            <w:hideMark/>
          </w:tcPr>
          <w:p w14:paraId="7003A22F" w14:textId="77777777" w:rsidR="00000000" w:rsidRDefault="00EB4933">
            <w:pPr>
              <w:pStyle w:val="NormalWeb"/>
              <w:spacing w:before="0" w:beforeAutospacing="0" w:after="0" w:afterAutospacing="0"/>
              <w:rPr>
                <w:sz w:val="20"/>
                <w:szCs w:val="20"/>
              </w:rPr>
            </w:pPr>
            <w:r>
              <w:rPr>
                <w:sz w:val="20"/>
                <w:szCs w:val="20"/>
              </w:rPr>
              <w:t> </w:t>
            </w:r>
          </w:p>
        </w:tc>
      </w:tr>
      <w:tr w:rsidR="00000000" w14:paraId="728E3EF1" w14:textId="77777777">
        <w:trPr>
          <w:divId w:val="98525094"/>
          <w:trHeight w:val="225"/>
          <w:tblCellSpacing w:w="15" w:type="dxa"/>
        </w:trPr>
        <w:tc>
          <w:tcPr>
            <w:tcW w:w="0" w:type="auto"/>
            <w:vAlign w:val="center"/>
            <w:hideMark/>
          </w:tcPr>
          <w:p w14:paraId="682E20B7"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CAA04D1"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18794D4"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96546C2"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D584DB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FAABCD3"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41AC5FE"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22A64D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0F6C1F9F"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205C61E" w14:textId="77777777" w:rsidR="00000000" w:rsidRDefault="00EB4933">
            <w:pPr>
              <w:pStyle w:val="NormalWeb"/>
              <w:spacing w:before="0" w:beforeAutospacing="0" w:after="0" w:afterAutospacing="0"/>
              <w:rPr>
                <w:sz w:val="20"/>
                <w:szCs w:val="20"/>
              </w:rPr>
            </w:pPr>
            <w:r>
              <w:rPr>
                <w:sz w:val="20"/>
                <w:szCs w:val="20"/>
              </w:rPr>
              <w:t> </w:t>
            </w:r>
          </w:p>
        </w:tc>
      </w:tr>
      <w:tr w:rsidR="00000000" w14:paraId="6AE9B347" w14:textId="77777777">
        <w:trPr>
          <w:divId w:val="98525094"/>
          <w:trHeight w:val="225"/>
          <w:tblCellSpacing w:w="15" w:type="dxa"/>
        </w:trPr>
        <w:tc>
          <w:tcPr>
            <w:tcW w:w="0" w:type="auto"/>
            <w:hideMark/>
          </w:tcPr>
          <w:p w14:paraId="56119FC8" w14:textId="77777777" w:rsidR="00000000" w:rsidRDefault="00EB4933">
            <w:pPr>
              <w:pStyle w:val="NormalWeb"/>
              <w:spacing w:before="0" w:beforeAutospacing="0" w:after="0" w:afterAutospacing="0"/>
              <w:rPr>
                <w:sz w:val="20"/>
                <w:szCs w:val="20"/>
              </w:rPr>
            </w:pPr>
            <w:r>
              <w:rPr>
                <w:rStyle w:val="Strong"/>
                <w:sz w:val="20"/>
                <w:szCs w:val="20"/>
              </w:rPr>
              <w:t>Cash flow from operating activities</w:t>
            </w:r>
          </w:p>
        </w:tc>
        <w:tc>
          <w:tcPr>
            <w:tcW w:w="50" w:type="pct"/>
            <w:noWrap/>
            <w:vAlign w:val="center"/>
            <w:hideMark/>
          </w:tcPr>
          <w:p w14:paraId="7D2B9BC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0D046FF3"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E476F8D"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58F6FD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AC2F34F"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3FCF3DD"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A24612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0AF8595"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8A4875C" w14:textId="77777777" w:rsidR="00000000" w:rsidRDefault="00EB4933">
            <w:pPr>
              <w:pStyle w:val="NormalWeb"/>
              <w:spacing w:before="0" w:beforeAutospacing="0" w:after="0" w:afterAutospacing="0"/>
              <w:rPr>
                <w:sz w:val="20"/>
                <w:szCs w:val="20"/>
              </w:rPr>
            </w:pPr>
            <w:r>
              <w:rPr>
                <w:sz w:val="20"/>
                <w:szCs w:val="20"/>
              </w:rPr>
              <w:t> </w:t>
            </w:r>
          </w:p>
        </w:tc>
      </w:tr>
      <w:tr w:rsidR="00000000" w14:paraId="585DB683" w14:textId="77777777">
        <w:trPr>
          <w:divId w:val="98525094"/>
          <w:trHeight w:val="225"/>
          <w:tblCellSpacing w:w="15" w:type="dxa"/>
        </w:trPr>
        <w:tc>
          <w:tcPr>
            <w:tcW w:w="0" w:type="auto"/>
            <w:shd w:val="clear" w:color="auto" w:fill="CCEEFF"/>
            <w:hideMark/>
          </w:tcPr>
          <w:p w14:paraId="228FA959" w14:textId="77777777" w:rsidR="00000000" w:rsidRDefault="00EB4933">
            <w:pPr>
              <w:pStyle w:val="NormalWeb"/>
              <w:spacing w:before="0" w:beforeAutospacing="0" w:after="0" w:afterAutospacing="0"/>
              <w:rPr>
                <w:sz w:val="20"/>
                <w:szCs w:val="20"/>
              </w:rPr>
            </w:pPr>
            <w:r>
              <w:rPr>
                <w:sz w:val="20"/>
                <w:szCs w:val="20"/>
              </w:rPr>
              <w:t>Loans receivable (note 30.8)</w:t>
            </w:r>
          </w:p>
        </w:tc>
        <w:tc>
          <w:tcPr>
            <w:tcW w:w="50" w:type="pct"/>
            <w:shd w:val="clear" w:color="auto" w:fill="CCEEFF"/>
            <w:noWrap/>
            <w:vAlign w:val="center"/>
            <w:hideMark/>
          </w:tcPr>
          <w:p w14:paraId="7C608D3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F16D85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A775003"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5E454FF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199E8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5E2AAA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3B9C92B" w14:textId="77777777" w:rsidR="00000000" w:rsidRDefault="00EB4933">
            <w:pPr>
              <w:jc w:val="right"/>
              <w:rPr>
                <w:rFonts w:eastAsia="Times New Roman"/>
                <w:sz w:val="20"/>
                <w:szCs w:val="20"/>
              </w:rPr>
            </w:pPr>
            <w:r>
              <w:rPr>
                <w:rFonts w:eastAsia="Times New Roman"/>
                <w:sz w:val="20"/>
                <w:szCs w:val="20"/>
              </w:rPr>
              <w:t>(213,138</w:t>
            </w:r>
          </w:p>
        </w:tc>
        <w:tc>
          <w:tcPr>
            <w:tcW w:w="50" w:type="pct"/>
            <w:shd w:val="clear" w:color="auto" w:fill="CCEEFF"/>
            <w:noWrap/>
            <w:tcMar>
              <w:top w:w="0" w:type="dxa"/>
              <w:left w:w="0" w:type="dxa"/>
              <w:bottom w:w="15" w:type="dxa"/>
              <w:right w:w="0" w:type="dxa"/>
            </w:tcMar>
            <w:vAlign w:val="bottom"/>
            <w:hideMark/>
          </w:tcPr>
          <w:p w14:paraId="6967642A"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E7A8E8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EBAA0C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8B6633B" w14:textId="77777777" w:rsidR="00000000" w:rsidRDefault="00EB4933">
            <w:pPr>
              <w:jc w:val="right"/>
              <w:rPr>
                <w:rFonts w:eastAsia="Times New Roman"/>
                <w:sz w:val="20"/>
                <w:szCs w:val="20"/>
              </w:rPr>
            </w:pPr>
            <w:r>
              <w:rPr>
                <w:rFonts w:eastAsia="Times New Roman"/>
                <w:sz w:val="20"/>
                <w:szCs w:val="20"/>
              </w:rPr>
              <w:t>(213,138</w:t>
            </w:r>
          </w:p>
        </w:tc>
        <w:tc>
          <w:tcPr>
            <w:tcW w:w="50" w:type="pct"/>
            <w:shd w:val="clear" w:color="auto" w:fill="CCEEFF"/>
            <w:noWrap/>
            <w:tcMar>
              <w:top w:w="0" w:type="dxa"/>
              <w:left w:w="0" w:type="dxa"/>
              <w:bottom w:w="15" w:type="dxa"/>
              <w:right w:w="0" w:type="dxa"/>
            </w:tcMar>
            <w:vAlign w:val="bottom"/>
            <w:hideMark/>
          </w:tcPr>
          <w:p w14:paraId="6809BB27" w14:textId="77777777" w:rsidR="00000000" w:rsidRDefault="00EB4933">
            <w:pPr>
              <w:rPr>
                <w:rFonts w:eastAsia="Times New Roman"/>
                <w:sz w:val="20"/>
                <w:szCs w:val="20"/>
              </w:rPr>
            </w:pPr>
            <w:r>
              <w:rPr>
                <w:rFonts w:eastAsia="Times New Roman"/>
                <w:sz w:val="20"/>
                <w:szCs w:val="20"/>
              </w:rPr>
              <w:t>)</w:t>
            </w:r>
          </w:p>
        </w:tc>
      </w:tr>
      <w:tr w:rsidR="00000000" w14:paraId="5D66E469" w14:textId="77777777">
        <w:trPr>
          <w:divId w:val="98525094"/>
          <w:trHeight w:val="225"/>
          <w:tblCellSpacing w:w="15" w:type="dxa"/>
        </w:trPr>
        <w:tc>
          <w:tcPr>
            <w:tcW w:w="0" w:type="auto"/>
            <w:shd w:val="clear" w:color="auto" w:fill="FFFFFF"/>
            <w:hideMark/>
          </w:tcPr>
          <w:p w14:paraId="1E2F9649" w14:textId="77777777" w:rsidR="00000000" w:rsidRDefault="00EB4933">
            <w:pPr>
              <w:pStyle w:val="NormalWeb"/>
              <w:spacing w:before="0" w:beforeAutospacing="0" w:after="0" w:afterAutospacing="0"/>
              <w:rPr>
                <w:sz w:val="20"/>
                <w:szCs w:val="20"/>
              </w:rPr>
            </w:pPr>
            <w:r>
              <w:rPr>
                <w:rStyle w:val="Strong"/>
                <w:sz w:val="20"/>
                <w:szCs w:val="20"/>
              </w:rPr>
              <w:t>Net cash generated/(used) by operating activities</w:t>
            </w:r>
          </w:p>
        </w:tc>
        <w:tc>
          <w:tcPr>
            <w:tcW w:w="50" w:type="pct"/>
            <w:shd w:val="clear" w:color="auto" w:fill="FFFFFF"/>
            <w:noWrap/>
            <w:vAlign w:val="center"/>
            <w:hideMark/>
          </w:tcPr>
          <w:p w14:paraId="22A5281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4FEDAD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01E023C" w14:textId="77777777" w:rsidR="00000000" w:rsidRDefault="00EB4933">
            <w:pPr>
              <w:jc w:val="right"/>
              <w:rPr>
                <w:rFonts w:eastAsia="Times New Roman"/>
                <w:sz w:val="20"/>
                <w:szCs w:val="20"/>
              </w:rPr>
            </w:pPr>
            <w:r>
              <w:rPr>
                <w:rFonts w:eastAsia="Times New Roman"/>
                <w:sz w:val="20"/>
                <w:szCs w:val="20"/>
              </w:rPr>
              <w:t>38,167</w:t>
            </w:r>
          </w:p>
        </w:tc>
        <w:tc>
          <w:tcPr>
            <w:tcW w:w="50" w:type="pct"/>
            <w:shd w:val="clear" w:color="auto" w:fill="FFFFFF"/>
            <w:noWrap/>
            <w:tcMar>
              <w:top w:w="0" w:type="dxa"/>
              <w:left w:w="0" w:type="dxa"/>
              <w:bottom w:w="15" w:type="dxa"/>
              <w:right w:w="0" w:type="dxa"/>
            </w:tcMar>
            <w:vAlign w:val="center"/>
            <w:hideMark/>
          </w:tcPr>
          <w:p w14:paraId="0A487E0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16CDC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7E0DD7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89E56AA" w14:textId="77777777" w:rsidR="00000000" w:rsidRDefault="00EB4933">
            <w:pPr>
              <w:jc w:val="right"/>
              <w:rPr>
                <w:rFonts w:eastAsia="Times New Roman"/>
                <w:sz w:val="20"/>
                <w:szCs w:val="20"/>
              </w:rPr>
            </w:pPr>
            <w:r>
              <w:rPr>
                <w:rFonts w:eastAsia="Times New Roman"/>
                <w:sz w:val="20"/>
                <w:szCs w:val="20"/>
              </w:rPr>
              <w:t>(213,138</w:t>
            </w:r>
          </w:p>
        </w:tc>
        <w:tc>
          <w:tcPr>
            <w:tcW w:w="50" w:type="pct"/>
            <w:shd w:val="clear" w:color="auto" w:fill="FFFFFF"/>
            <w:noWrap/>
            <w:tcMar>
              <w:top w:w="0" w:type="dxa"/>
              <w:left w:w="0" w:type="dxa"/>
              <w:bottom w:w="15" w:type="dxa"/>
              <w:right w:w="0" w:type="dxa"/>
            </w:tcMar>
            <w:vAlign w:val="bottom"/>
            <w:hideMark/>
          </w:tcPr>
          <w:p w14:paraId="3D6F5F3F"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4A5C32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63CDC7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7E31368" w14:textId="77777777" w:rsidR="00000000" w:rsidRDefault="00EB4933">
            <w:pPr>
              <w:jc w:val="right"/>
              <w:rPr>
                <w:rFonts w:eastAsia="Times New Roman"/>
                <w:sz w:val="20"/>
                <w:szCs w:val="20"/>
              </w:rPr>
            </w:pPr>
            <w:r>
              <w:rPr>
                <w:rFonts w:eastAsia="Times New Roman"/>
                <w:sz w:val="20"/>
                <w:szCs w:val="20"/>
              </w:rPr>
              <w:t>(174,971</w:t>
            </w:r>
          </w:p>
        </w:tc>
        <w:tc>
          <w:tcPr>
            <w:tcW w:w="50" w:type="pct"/>
            <w:shd w:val="clear" w:color="auto" w:fill="FFFFFF"/>
            <w:noWrap/>
            <w:tcMar>
              <w:top w:w="0" w:type="dxa"/>
              <w:left w:w="0" w:type="dxa"/>
              <w:bottom w:w="15" w:type="dxa"/>
              <w:right w:w="0" w:type="dxa"/>
            </w:tcMar>
            <w:vAlign w:val="bottom"/>
            <w:hideMark/>
          </w:tcPr>
          <w:p w14:paraId="1D6C4384" w14:textId="77777777" w:rsidR="00000000" w:rsidRDefault="00EB4933">
            <w:pPr>
              <w:rPr>
                <w:rFonts w:eastAsia="Times New Roman"/>
                <w:sz w:val="20"/>
                <w:szCs w:val="20"/>
              </w:rPr>
            </w:pPr>
            <w:r>
              <w:rPr>
                <w:rFonts w:eastAsia="Times New Roman"/>
                <w:sz w:val="20"/>
                <w:szCs w:val="20"/>
              </w:rPr>
              <w:t>)</w:t>
            </w:r>
          </w:p>
        </w:tc>
      </w:tr>
      <w:tr w:rsidR="00000000" w14:paraId="2F33B3FF" w14:textId="77777777">
        <w:trPr>
          <w:divId w:val="98525094"/>
          <w:trHeight w:val="225"/>
          <w:tblCellSpacing w:w="15" w:type="dxa"/>
        </w:trPr>
        <w:tc>
          <w:tcPr>
            <w:tcW w:w="0" w:type="auto"/>
            <w:shd w:val="clear" w:color="auto" w:fill="CCEEFF"/>
            <w:hideMark/>
          </w:tcPr>
          <w:p w14:paraId="4F557898" w14:textId="77777777" w:rsidR="00000000" w:rsidRDefault="00EB4933">
            <w:pPr>
              <w:pStyle w:val="NormalWeb"/>
              <w:spacing w:before="0" w:beforeAutospacing="0" w:after="0" w:afterAutospacing="0"/>
              <w:rPr>
                <w:sz w:val="20"/>
                <w:szCs w:val="20"/>
              </w:rPr>
            </w:pPr>
            <w:r>
              <w:rPr>
                <w:rStyle w:val="Strong"/>
                <w:sz w:val="20"/>
                <w:szCs w:val="20"/>
              </w:rPr>
              <w:t>Net cash generated/(used) by operating activities</w:t>
            </w:r>
          </w:p>
        </w:tc>
        <w:tc>
          <w:tcPr>
            <w:tcW w:w="50" w:type="pct"/>
            <w:shd w:val="clear" w:color="auto" w:fill="CCEEFF"/>
            <w:noWrap/>
            <w:vAlign w:val="center"/>
            <w:hideMark/>
          </w:tcPr>
          <w:p w14:paraId="1D00410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DCA786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B7A4510" w14:textId="77777777" w:rsidR="00000000" w:rsidRDefault="00EB4933">
            <w:pPr>
              <w:jc w:val="right"/>
              <w:rPr>
                <w:rFonts w:eastAsia="Times New Roman"/>
                <w:sz w:val="20"/>
                <w:szCs w:val="20"/>
              </w:rPr>
            </w:pPr>
            <w:r>
              <w:rPr>
                <w:rFonts w:eastAsia="Times New Roman"/>
                <w:sz w:val="20"/>
                <w:szCs w:val="20"/>
              </w:rPr>
              <w:t>16,708</w:t>
            </w:r>
          </w:p>
        </w:tc>
        <w:tc>
          <w:tcPr>
            <w:tcW w:w="50" w:type="pct"/>
            <w:shd w:val="clear" w:color="auto" w:fill="CCEEFF"/>
            <w:noWrap/>
            <w:tcMar>
              <w:top w:w="0" w:type="dxa"/>
              <w:left w:w="0" w:type="dxa"/>
              <w:bottom w:w="15" w:type="dxa"/>
              <w:right w:w="0" w:type="dxa"/>
            </w:tcMar>
            <w:vAlign w:val="center"/>
            <w:hideMark/>
          </w:tcPr>
          <w:p w14:paraId="2CB8466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711A0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2017FF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E975B15" w14:textId="77777777" w:rsidR="00000000" w:rsidRDefault="00EB4933">
            <w:pPr>
              <w:jc w:val="right"/>
              <w:rPr>
                <w:rFonts w:eastAsia="Times New Roman"/>
                <w:sz w:val="20"/>
                <w:szCs w:val="20"/>
              </w:rPr>
            </w:pPr>
            <w:r>
              <w:rPr>
                <w:rFonts w:eastAsia="Times New Roman"/>
                <w:sz w:val="20"/>
                <w:szCs w:val="20"/>
              </w:rPr>
              <w:t>(213,138</w:t>
            </w:r>
          </w:p>
        </w:tc>
        <w:tc>
          <w:tcPr>
            <w:tcW w:w="50" w:type="pct"/>
            <w:shd w:val="clear" w:color="auto" w:fill="CCEEFF"/>
            <w:noWrap/>
            <w:tcMar>
              <w:top w:w="0" w:type="dxa"/>
              <w:left w:w="0" w:type="dxa"/>
              <w:bottom w:w="15" w:type="dxa"/>
              <w:right w:w="0" w:type="dxa"/>
            </w:tcMar>
            <w:vAlign w:val="bottom"/>
            <w:hideMark/>
          </w:tcPr>
          <w:p w14:paraId="4F8E168F"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904554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6492D4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05B19D8" w14:textId="77777777" w:rsidR="00000000" w:rsidRDefault="00EB4933">
            <w:pPr>
              <w:jc w:val="right"/>
              <w:rPr>
                <w:rFonts w:eastAsia="Times New Roman"/>
                <w:sz w:val="20"/>
                <w:szCs w:val="20"/>
              </w:rPr>
            </w:pPr>
            <w:r>
              <w:rPr>
                <w:rFonts w:eastAsia="Times New Roman"/>
                <w:sz w:val="20"/>
                <w:szCs w:val="20"/>
              </w:rPr>
              <w:t>(196,430</w:t>
            </w:r>
          </w:p>
        </w:tc>
        <w:tc>
          <w:tcPr>
            <w:tcW w:w="50" w:type="pct"/>
            <w:shd w:val="clear" w:color="auto" w:fill="CCEEFF"/>
            <w:noWrap/>
            <w:tcMar>
              <w:top w:w="0" w:type="dxa"/>
              <w:left w:w="0" w:type="dxa"/>
              <w:bottom w:w="15" w:type="dxa"/>
              <w:right w:w="0" w:type="dxa"/>
            </w:tcMar>
            <w:vAlign w:val="bottom"/>
            <w:hideMark/>
          </w:tcPr>
          <w:p w14:paraId="51FB4284" w14:textId="77777777" w:rsidR="00000000" w:rsidRDefault="00EB4933">
            <w:pPr>
              <w:rPr>
                <w:rFonts w:eastAsia="Times New Roman"/>
                <w:sz w:val="20"/>
                <w:szCs w:val="20"/>
              </w:rPr>
            </w:pPr>
            <w:r>
              <w:rPr>
                <w:rFonts w:eastAsia="Times New Roman"/>
                <w:sz w:val="20"/>
                <w:szCs w:val="20"/>
              </w:rPr>
              <w:t>)</w:t>
            </w:r>
          </w:p>
        </w:tc>
      </w:tr>
      <w:tr w:rsidR="00000000" w14:paraId="73AA1721" w14:textId="77777777">
        <w:trPr>
          <w:divId w:val="98525094"/>
          <w:trHeight w:val="225"/>
          <w:tblCellSpacing w:w="15" w:type="dxa"/>
        </w:trPr>
        <w:tc>
          <w:tcPr>
            <w:tcW w:w="0" w:type="auto"/>
            <w:shd w:val="clear" w:color="auto" w:fill="FFFFFF"/>
            <w:vAlign w:val="center"/>
            <w:hideMark/>
          </w:tcPr>
          <w:p w14:paraId="6D8D02A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AB58F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980100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0F4E89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8CAEB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17A0F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86C83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4BBF7C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1DEC5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012F1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78122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25DD7C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2BFD88" w14:textId="77777777" w:rsidR="00000000" w:rsidRDefault="00EB4933">
            <w:pPr>
              <w:pStyle w:val="NormalWeb"/>
              <w:spacing w:before="0" w:beforeAutospacing="0" w:after="0" w:afterAutospacing="0"/>
              <w:rPr>
                <w:sz w:val="20"/>
                <w:szCs w:val="20"/>
              </w:rPr>
            </w:pPr>
            <w:r>
              <w:rPr>
                <w:sz w:val="20"/>
                <w:szCs w:val="20"/>
              </w:rPr>
              <w:t> </w:t>
            </w:r>
          </w:p>
        </w:tc>
      </w:tr>
      <w:tr w:rsidR="00000000" w14:paraId="047E0ED4" w14:textId="77777777">
        <w:trPr>
          <w:divId w:val="98525094"/>
          <w:trHeight w:val="225"/>
          <w:tblCellSpacing w:w="15" w:type="dxa"/>
        </w:trPr>
        <w:tc>
          <w:tcPr>
            <w:tcW w:w="0" w:type="auto"/>
            <w:shd w:val="clear" w:color="auto" w:fill="CCEEFF"/>
            <w:hideMark/>
          </w:tcPr>
          <w:p w14:paraId="5F464D30" w14:textId="77777777" w:rsidR="00000000" w:rsidRDefault="00EB4933">
            <w:pPr>
              <w:pStyle w:val="NormalWeb"/>
              <w:spacing w:before="0" w:beforeAutospacing="0" w:after="0" w:afterAutospacing="0"/>
              <w:rPr>
                <w:sz w:val="20"/>
                <w:szCs w:val="20"/>
              </w:rPr>
            </w:pPr>
            <w:r>
              <w:rPr>
                <w:rStyle w:val="Strong"/>
                <w:sz w:val="20"/>
                <w:szCs w:val="20"/>
              </w:rPr>
              <w:t>Cash flow from investing activities</w:t>
            </w:r>
          </w:p>
        </w:tc>
        <w:tc>
          <w:tcPr>
            <w:tcW w:w="50" w:type="pct"/>
            <w:shd w:val="clear" w:color="auto" w:fill="CCEEFF"/>
            <w:noWrap/>
            <w:vAlign w:val="center"/>
            <w:hideMark/>
          </w:tcPr>
          <w:p w14:paraId="270C228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96353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8846F7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B45AE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103EB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743A4F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91B619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7B552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7F036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B2436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0D0E77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4B9ACB" w14:textId="77777777" w:rsidR="00000000" w:rsidRDefault="00EB4933">
            <w:pPr>
              <w:pStyle w:val="NormalWeb"/>
              <w:spacing w:before="0" w:beforeAutospacing="0" w:after="0" w:afterAutospacing="0"/>
              <w:rPr>
                <w:sz w:val="20"/>
                <w:szCs w:val="20"/>
              </w:rPr>
            </w:pPr>
            <w:r>
              <w:rPr>
                <w:sz w:val="20"/>
                <w:szCs w:val="20"/>
              </w:rPr>
              <w:t> </w:t>
            </w:r>
          </w:p>
        </w:tc>
      </w:tr>
      <w:tr w:rsidR="00000000" w14:paraId="0F5488A7" w14:textId="77777777">
        <w:trPr>
          <w:divId w:val="98525094"/>
          <w:trHeight w:val="225"/>
          <w:tblCellSpacing w:w="15" w:type="dxa"/>
        </w:trPr>
        <w:tc>
          <w:tcPr>
            <w:tcW w:w="0" w:type="auto"/>
            <w:shd w:val="clear" w:color="auto" w:fill="FFFFFF"/>
            <w:hideMark/>
          </w:tcPr>
          <w:p w14:paraId="730B8D84" w14:textId="77777777" w:rsidR="00000000" w:rsidRDefault="00EB4933">
            <w:pPr>
              <w:pStyle w:val="NormalWeb"/>
              <w:spacing w:before="0" w:beforeAutospacing="0" w:after="0" w:afterAutospacing="0"/>
              <w:rPr>
                <w:sz w:val="20"/>
                <w:szCs w:val="20"/>
              </w:rPr>
            </w:pPr>
            <w:r>
              <w:rPr>
                <w:sz w:val="20"/>
                <w:szCs w:val="20"/>
              </w:rPr>
              <w:t>Originated loan disbursements (note 30.8)</w:t>
            </w:r>
          </w:p>
        </w:tc>
        <w:tc>
          <w:tcPr>
            <w:tcW w:w="50" w:type="pct"/>
            <w:shd w:val="clear" w:color="auto" w:fill="FFFFFF"/>
            <w:noWrap/>
            <w:vAlign w:val="center"/>
            <w:hideMark/>
          </w:tcPr>
          <w:p w14:paraId="1D40EB2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89134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BB6414C" w14:textId="77777777" w:rsidR="00000000" w:rsidRDefault="00EB4933">
            <w:pPr>
              <w:jc w:val="right"/>
              <w:rPr>
                <w:rFonts w:eastAsia="Times New Roman"/>
                <w:sz w:val="20"/>
                <w:szCs w:val="20"/>
              </w:rPr>
            </w:pPr>
            <w:r>
              <w:rPr>
                <w:rFonts w:eastAsia="Times New Roman"/>
                <w:sz w:val="20"/>
                <w:szCs w:val="20"/>
              </w:rPr>
              <w:t>(446,264</w:t>
            </w:r>
          </w:p>
        </w:tc>
        <w:tc>
          <w:tcPr>
            <w:tcW w:w="50" w:type="pct"/>
            <w:shd w:val="clear" w:color="auto" w:fill="FFFFFF"/>
            <w:noWrap/>
            <w:vAlign w:val="bottom"/>
            <w:hideMark/>
          </w:tcPr>
          <w:p w14:paraId="29F3CFA9"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972521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C367E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0763AA6" w14:textId="77777777" w:rsidR="00000000" w:rsidRDefault="00EB4933">
            <w:pPr>
              <w:jc w:val="right"/>
              <w:rPr>
                <w:rFonts w:eastAsia="Times New Roman"/>
                <w:sz w:val="20"/>
                <w:szCs w:val="20"/>
              </w:rPr>
            </w:pPr>
            <w:r>
              <w:rPr>
                <w:rFonts w:eastAsia="Times New Roman"/>
                <w:sz w:val="20"/>
                <w:szCs w:val="20"/>
              </w:rPr>
              <w:t>446,264</w:t>
            </w:r>
          </w:p>
        </w:tc>
        <w:tc>
          <w:tcPr>
            <w:tcW w:w="50" w:type="pct"/>
            <w:shd w:val="clear" w:color="auto" w:fill="FFFFFF"/>
            <w:noWrap/>
            <w:vAlign w:val="center"/>
            <w:hideMark/>
          </w:tcPr>
          <w:p w14:paraId="12B4C67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2E19F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A62F8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57A4D59"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FF61A1D" w14:textId="77777777" w:rsidR="00000000" w:rsidRDefault="00EB4933">
            <w:pPr>
              <w:pStyle w:val="NormalWeb"/>
              <w:spacing w:before="0" w:beforeAutospacing="0" w:after="0" w:afterAutospacing="0"/>
              <w:rPr>
                <w:sz w:val="20"/>
                <w:szCs w:val="20"/>
              </w:rPr>
            </w:pPr>
            <w:r>
              <w:rPr>
                <w:sz w:val="20"/>
                <w:szCs w:val="20"/>
              </w:rPr>
              <w:t> </w:t>
            </w:r>
          </w:p>
        </w:tc>
      </w:tr>
      <w:tr w:rsidR="00000000" w14:paraId="2B566303" w14:textId="77777777">
        <w:trPr>
          <w:divId w:val="98525094"/>
          <w:trHeight w:val="225"/>
          <w:tblCellSpacing w:w="15" w:type="dxa"/>
        </w:trPr>
        <w:tc>
          <w:tcPr>
            <w:tcW w:w="0" w:type="auto"/>
            <w:shd w:val="clear" w:color="auto" w:fill="CCEEFF"/>
            <w:hideMark/>
          </w:tcPr>
          <w:p w14:paraId="390B3866" w14:textId="77777777" w:rsidR="00000000" w:rsidRDefault="00EB4933">
            <w:pPr>
              <w:pStyle w:val="NormalWeb"/>
              <w:spacing w:before="0" w:beforeAutospacing="0" w:after="0" w:afterAutospacing="0"/>
              <w:rPr>
                <w:sz w:val="20"/>
                <w:szCs w:val="20"/>
              </w:rPr>
            </w:pPr>
            <w:r>
              <w:rPr>
                <w:sz w:val="20"/>
                <w:szCs w:val="20"/>
              </w:rPr>
              <w:t>Repayments of loans from customers (note 30.8)</w:t>
            </w:r>
          </w:p>
        </w:tc>
        <w:tc>
          <w:tcPr>
            <w:tcW w:w="50" w:type="pct"/>
            <w:shd w:val="clear" w:color="auto" w:fill="CCEEFF"/>
            <w:noWrap/>
            <w:vAlign w:val="center"/>
            <w:hideMark/>
          </w:tcPr>
          <w:p w14:paraId="7E7F70B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A13867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A19DAB1" w14:textId="77777777" w:rsidR="00000000" w:rsidRDefault="00EB4933">
            <w:pPr>
              <w:jc w:val="right"/>
              <w:rPr>
                <w:rFonts w:eastAsia="Times New Roman"/>
                <w:sz w:val="20"/>
                <w:szCs w:val="20"/>
              </w:rPr>
            </w:pPr>
            <w:r>
              <w:rPr>
                <w:rFonts w:eastAsia="Times New Roman"/>
                <w:sz w:val="20"/>
                <w:szCs w:val="20"/>
              </w:rPr>
              <w:t>233,126</w:t>
            </w:r>
          </w:p>
        </w:tc>
        <w:tc>
          <w:tcPr>
            <w:tcW w:w="50" w:type="pct"/>
            <w:shd w:val="clear" w:color="auto" w:fill="CCEEFF"/>
            <w:noWrap/>
            <w:tcMar>
              <w:top w:w="0" w:type="dxa"/>
              <w:left w:w="0" w:type="dxa"/>
              <w:bottom w:w="15" w:type="dxa"/>
              <w:right w:w="0" w:type="dxa"/>
            </w:tcMar>
            <w:vAlign w:val="center"/>
            <w:hideMark/>
          </w:tcPr>
          <w:p w14:paraId="2CE7AE5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17101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2D2660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CA1028C" w14:textId="77777777" w:rsidR="00000000" w:rsidRDefault="00EB4933">
            <w:pPr>
              <w:jc w:val="right"/>
              <w:rPr>
                <w:rFonts w:eastAsia="Times New Roman"/>
                <w:sz w:val="20"/>
                <w:szCs w:val="20"/>
              </w:rPr>
            </w:pPr>
            <w:r>
              <w:rPr>
                <w:rFonts w:eastAsia="Times New Roman"/>
                <w:sz w:val="20"/>
                <w:szCs w:val="20"/>
              </w:rPr>
              <w:t>(233,126</w:t>
            </w:r>
          </w:p>
        </w:tc>
        <w:tc>
          <w:tcPr>
            <w:tcW w:w="50" w:type="pct"/>
            <w:shd w:val="clear" w:color="auto" w:fill="CCEEFF"/>
            <w:noWrap/>
            <w:tcMar>
              <w:top w:w="0" w:type="dxa"/>
              <w:left w:w="0" w:type="dxa"/>
              <w:bottom w:w="15" w:type="dxa"/>
              <w:right w:w="0" w:type="dxa"/>
            </w:tcMar>
            <w:vAlign w:val="bottom"/>
            <w:hideMark/>
          </w:tcPr>
          <w:p w14:paraId="67EB6CD4"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DBAF52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85BC7D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40E4173"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01F1910D" w14:textId="77777777" w:rsidR="00000000" w:rsidRDefault="00EB4933">
            <w:pPr>
              <w:pStyle w:val="NormalWeb"/>
              <w:spacing w:before="0" w:beforeAutospacing="0" w:after="0" w:afterAutospacing="0"/>
              <w:rPr>
                <w:sz w:val="20"/>
                <w:szCs w:val="20"/>
              </w:rPr>
            </w:pPr>
            <w:r>
              <w:rPr>
                <w:sz w:val="20"/>
                <w:szCs w:val="20"/>
              </w:rPr>
              <w:t> </w:t>
            </w:r>
          </w:p>
        </w:tc>
      </w:tr>
      <w:tr w:rsidR="00000000" w14:paraId="0A32DD3C" w14:textId="77777777">
        <w:trPr>
          <w:divId w:val="98525094"/>
          <w:trHeight w:val="225"/>
          <w:tblCellSpacing w:w="15" w:type="dxa"/>
        </w:trPr>
        <w:tc>
          <w:tcPr>
            <w:tcW w:w="0" w:type="auto"/>
            <w:shd w:val="clear" w:color="auto" w:fill="FFFFFF"/>
            <w:hideMark/>
          </w:tcPr>
          <w:p w14:paraId="2C2121EA" w14:textId="77777777" w:rsidR="00000000" w:rsidRDefault="00EB4933">
            <w:pPr>
              <w:pStyle w:val="NormalWeb"/>
              <w:spacing w:before="0" w:beforeAutospacing="0" w:after="0" w:afterAutospacing="0"/>
              <w:rPr>
                <w:sz w:val="20"/>
                <w:szCs w:val="20"/>
              </w:rPr>
            </w:pPr>
            <w:r>
              <w:rPr>
                <w:rStyle w:val="Strong"/>
                <w:sz w:val="20"/>
                <w:szCs w:val="20"/>
              </w:rPr>
              <w:t xml:space="preserve">Net cash used in investing activities </w:t>
            </w:r>
            <w:r>
              <w:rPr>
                <w:sz w:val="20"/>
                <w:szCs w:val="20"/>
              </w:rPr>
              <w:t>(note 30.8)</w:t>
            </w:r>
          </w:p>
        </w:tc>
        <w:tc>
          <w:tcPr>
            <w:tcW w:w="50" w:type="pct"/>
            <w:shd w:val="clear" w:color="auto" w:fill="FFFFFF"/>
            <w:noWrap/>
            <w:vAlign w:val="center"/>
            <w:hideMark/>
          </w:tcPr>
          <w:p w14:paraId="0E1EE4D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23E46A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A2A3FA0" w14:textId="77777777" w:rsidR="00000000" w:rsidRDefault="00EB4933">
            <w:pPr>
              <w:jc w:val="right"/>
              <w:rPr>
                <w:rFonts w:eastAsia="Times New Roman"/>
                <w:sz w:val="20"/>
                <w:szCs w:val="20"/>
              </w:rPr>
            </w:pPr>
            <w:r>
              <w:rPr>
                <w:rFonts w:eastAsia="Times New Roman"/>
                <w:sz w:val="20"/>
                <w:szCs w:val="20"/>
              </w:rPr>
              <w:t>(213,138</w:t>
            </w:r>
          </w:p>
        </w:tc>
        <w:tc>
          <w:tcPr>
            <w:tcW w:w="50" w:type="pct"/>
            <w:shd w:val="clear" w:color="auto" w:fill="FFFFFF"/>
            <w:noWrap/>
            <w:tcMar>
              <w:top w:w="0" w:type="dxa"/>
              <w:left w:w="0" w:type="dxa"/>
              <w:bottom w:w="15" w:type="dxa"/>
              <w:right w:w="0" w:type="dxa"/>
            </w:tcMar>
            <w:vAlign w:val="bottom"/>
            <w:hideMark/>
          </w:tcPr>
          <w:p w14:paraId="01D7C2BB"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D563F1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0BF80A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DB70D43" w14:textId="77777777" w:rsidR="00000000" w:rsidRDefault="00EB4933">
            <w:pPr>
              <w:jc w:val="right"/>
              <w:rPr>
                <w:rFonts w:eastAsia="Times New Roman"/>
                <w:sz w:val="20"/>
                <w:szCs w:val="20"/>
              </w:rPr>
            </w:pPr>
            <w:r>
              <w:rPr>
                <w:rFonts w:eastAsia="Times New Roman"/>
                <w:sz w:val="20"/>
                <w:szCs w:val="20"/>
              </w:rPr>
              <w:t>213,138</w:t>
            </w:r>
          </w:p>
        </w:tc>
        <w:tc>
          <w:tcPr>
            <w:tcW w:w="50" w:type="pct"/>
            <w:shd w:val="clear" w:color="auto" w:fill="FFFFFF"/>
            <w:noWrap/>
            <w:tcMar>
              <w:top w:w="0" w:type="dxa"/>
              <w:left w:w="0" w:type="dxa"/>
              <w:bottom w:w="15" w:type="dxa"/>
              <w:right w:w="0" w:type="dxa"/>
            </w:tcMar>
            <w:vAlign w:val="center"/>
            <w:hideMark/>
          </w:tcPr>
          <w:p w14:paraId="02849C9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77CBE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2D5691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02D1C28"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5D9DCF9F" w14:textId="77777777" w:rsidR="00000000" w:rsidRDefault="00EB4933">
            <w:pPr>
              <w:pStyle w:val="NormalWeb"/>
              <w:spacing w:before="0" w:beforeAutospacing="0" w:after="0" w:afterAutospacing="0"/>
              <w:rPr>
                <w:sz w:val="20"/>
                <w:szCs w:val="20"/>
              </w:rPr>
            </w:pPr>
            <w:r>
              <w:rPr>
                <w:sz w:val="20"/>
                <w:szCs w:val="20"/>
              </w:rPr>
              <w:t> </w:t>
            </w:r>
          </w:p>
        </w:tc>
      </w:tr>
      <w:tr w:rsidR="00000000" w14:paraId="1D22B8E9" w14:textId="77777777">
        <w:trPr>
          <w:divId w:val="98525094"/>
          <w:trHeight w:val="225"/>
          <w:tblCellSpacing w:w="15" w:type="dxa"/>
        </w:trPr>
        <w:tc>
          <w:tcPr>
            <w:tcW w:w="0" w:type="auto"/>
            <w:shd w:val="clear" w:color="auto" w:fill="CCEEFF"/>
            <w:vAlign w:val="center"/>
            <w:hideMark/>
          </w:tcPr>
          <w:p w14:paraId="5C5DF9D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45E1E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F7407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B71EDC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BABFA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567E6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3AD82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483419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78D7D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FC0DB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A8214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51209F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155320" w14:textId="77777777" w:rsidR="00000000" w:rsidRDefault="00EB4933">
            <w:pPr>
              <w:pStyle w:val="NormalWeb"/>
              <w:spacing w:before="0" w:beforeAutospacing="0" w:after="0" w:afterAutospacing="0"/>
              <w:rPr>
                <w:sz w:val="20"/>
                <w:szCs w:val="20"/>
              </w:rPr>
            </w:pPr>
            <w:r>
              <w:rPr>
                <w:sz w:val="20"/>
                <w:szCs w:val="20"/>
              </w:rPr>
              <w:t> </w:t>
            </w:r>
          </w:p>
        </w:tc>
      </w:tr>
      <w:tr w:rsidR="00000000" w14:paraId="42AFD2F5" w14:textId="77777777">
        <w:trPr>
          <w:divId w:val="98525094"/>
          <w:trHeight w:val="225"/>
          <w:tblCellSpacing w:w="15" w:type="dxa"/>
        </w:trPr>
        <w:tc>
          <w:tcPr>
            <w:tcW w:w="0" w:type="auto"/>
            <w:shd w:val="clear" w:color="auto" w:fill="FFFFFF"/>
            <w:hideMark/>
          </w:tcPr>
          <w:p w14:paraId="581C84A8" w14:textId="77777777" w:rsidR="00000000" w:rsidRDefault="00EB4933">
            <w:pPr>
              <w:pStyle w:val="NormalWeb"/>
              <w:spacing w:before="0" w:beforeAutospacing="0" w:after="0" w:afterAutospacing="0"/>
              <w:rPr>
                <w:sz w:val="20"/>
                <w:szCs w:val="20"/>
              </w:rPr>
            </w:pPr>
            <w:r>
              <w:rPr>
                <w:rStyle w:val="Strong"/>
                <w:sz w:val="20"/>
                <w:szCs w:val="20"/>
              </w:rPr>
              <w:t>Cash flow from financing activities</w:t>
            </w:r>
          </w:p>
        </w:tc>
        <w:tc>
          <w:tcPr>
            <w:tcW w:w="50" w:type="pct"/>
            <w:shd w:val="clear" w:color="auto" w:fill="FFFFFF"/>
            <w:noWrap/>
            <w:vAlign w:val="center"/>
            <w:hideMark/>
          </w:tcPr>
          <w:p w14:paraId="5919FBD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DF6D0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A65898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5A6C9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04C78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685F3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51A7A0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C85AB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4C5E0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C09DB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C70626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7B13B5" w14:textId="77777777" w:rsidR="00000000" w:rsidRDefault="00EB4933">
            <w:pPr>
              <w:pStyle w:val="NormalWeb"/>
              <w:spacing w:before="0" w:beforeAutospacing="0" w:after="0" w:afterAutospacing="0"/>
              <w:rPr>
                <w:sz w:val="20"/>
                <w:szCs w:val="20"/>
              </w:rPr>
            </w:pPr>
            <w:r>
              <w:rPr>
                <w:sz w:val="20"/>
                <w:szCs w:val="20"/>
              </w:rPr>
              <w:t> </w:t>
            </w:r>
          </w:p>
        </w:tc>
      </w:tr>
      <w:tr w:rsidR="00000000" w14:paraId="6573C335" w14:textId="77777777">
        <w:trPr>
          <w:divId w:val="98525094"/>
          <w:trHeight w:val="225"/>
          <w:tblCellSpacing w:w="15" w:type="dxa"/>
        </w:trPr>
        <w:tc>
          <w:tcPr>
            <w:tcW w:w="0" w:type="auto"/>
            <w:shd w:val="clear" w:color="auto" w:fill="CCEEFF"/>
            <w:hideMark/>
          </w:tcPr>
          <w:p w14:paraId="6E3CD06D" w14:textId="77777777" w:rsidR="00000000" w:rsidRDefault="00EB4933">
            <w:pPr>
              <w:pStyle w:val="NormalWeb"/>
              <w:spacing w:before="0" w:beforeAutospacing="0" w:after="0" w:afterAutospacing="0"/>
              <w:rPr>
                <w:sz w:val="20"/>
                <w:szCs w:val="20"/>
              </w:rPr>
            </w:pPr>
            <w:r>
              <w:rPr>
                <w:sz w:val="20"/>
                <w:szCs w:val="20"/>
              </w:rPr>
              <w:t>Proceeds received from shareholders’ loans (note 30.10)</w:t>
            </w:r>
          </w:p>
        </w:tc>
        <w:tc>
          <w:tcPr>
            <w:tcW w:w="50" w:type="pct"/>
            <w:shd w:val="clear" w:color="auto" w:fill="CCEEFF"/>
            <w:noWrap/>
            <w:vAlign w:val="center"/>
            <w:hideMark/>
          </w:tcPr>
          <w:p w14:paraId="2E14D41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1A59B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DF19581" w14:textId="77777777" w:rsidR="00000000" w:rsidRDefault="00EB4933">
            <w:pPr>
              <w:jc w:val="right"/>
              <w:rPr>
                <w:rFonts w:eastAsia="Times New Roman"/>
                <w:sz w:val="20"/>
                <w:szCs w:val="20"/>
              </w:rPr>
            </w:pPr>
            <w:r>
              <w:rPr>
                <w:rFonts w:eastAsia="Times New Roman"/>
                <w:sz w:val="20"/>
                <w:szCs w:val="20"/>
              </w:rPr>
              <w:t>2,000</w:t>
            </w:r>
          </w:p>
        </w:tc>
        <w:tc>
          <w:tcPr>
            <w:tcW w:w="50" w:type="pct"/>
            <w:shd w:val="clear" w:color="auto" w:fill="CCEEFF"/>
            <w:noWrap/>
            <w:vAlign w:val="center"/>
            <w:hideMark/>
          </w:tcPr>
          <w:p w14:paraId="78015AC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04EAE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B53D2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DF887DE" w14:textId="77777777" w:rsidR="00000000" w:rsidRDefault="00EB4933">
            <w:pPr>
              <w:jc w:val="right"/>
              <w:rPr>
                <w:rFonts w:eastAsia="Times New Roman"/>
                <w:sz w:val="20"/>
                <w:szCs w:val="20"/>
              </w:rPr>
            </w:pPr>
            <w:r>
              <w:rPr>
                <w:rFonts w:eastAsia="Times New Roman"/>
                <w:sz w:val="20"/>
                <w:szCs w:val="20"/>
              </w:rPr>
              <w:t>48,000</w:t>
            </w:r>
          </w:p>
        </w:tc>
        <w:tc>
          <w:tcPr>
            <w:tcW w:w="50" w:type="pct"/>
            <w:shd w:val="clear" w:color="auto" w:fill="CCEEFF"/>
            <w:noWrap/>
            <w:vAlign w:val="center"/>
            <w:hideMark/>
          </w:tcPr>
          <w:p w14:paraId="0281230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2A3D3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7AD66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D80D89B" w14:textId="77777777" w:rsidR="00000000" w:rsidRDefault="00EB4933">
            <w:pPr>
              <w:jc w:val="right"/>
              <w:rPr>
                <w:rFonts w:eastAsia="Times New Roman"/>
                <w:sz w:val="20"/>
                <w:szCs w:val="20"/>
              </w:rPr>
            </w:pPr>
            <w:r>
              <w:rPr>
                <w:rFonts w:eastAsia="Times New Roman"/>
                <w:sz w:val="20"/>
                <w:szCs w:val="20"/>
              </w:rPr>
              <w:t>50,000</w:t>
            </w:r>
          </w:p>
        </w:tc>
        <w:tc>
          <w:tcPr>
            <w:tcW w:w="50" w:type="pct"/>
            <w:shd w:val="clear" w:color="auto" w:fill="CCEEFF"/>
            <w:noWrap/>
            <w:vAlign w:val="center"/>
            <w:hideMark/>
          </w:tcPr>
          <w:p w14:paraId="13029751" w14:textId="77777777" w:rsidR="00000000" w:rsidRDefault="00EB4933">
            <w:pPr>
              <w:pStyle w:val="NormalWeb"/>
              <w:spacing w:before="0" w:beforeAutospacing="0" w:after="0" w:afterAutospacing="0"/>
              <w:rPr>
                <w:sz w:val="20"/>
                <w:szCs w:val="20"/>
              </w:rPr>
            </w:pPr>
            <w:r>
              <w:rPr>
                <w:sz w:val="20"/>
                <w:szCs w:val="20"/>
              </w:rPr>
              <w:t> </w:t>
            </w:r>
          </w:p>
        </w:tc>
      </w:tr>
      <w:tr w:rsidR="00000000" w14:paraId="793A5A86" w14:textId="77777777">
        <w:trPr>
          <w:divId w:val="98525094"/>
          <w:trHeight w:val="225"/>
          <w:tblCellSpacing w:w="15" w:type="dxa"/>
        </w:trPr>
        <w:tc>
          <w:tcPr>
            <w:tcW w:w="0" w:type="auto"/>
            <w:shd w:val="clear" w:color="auto" w:fill="FFFFFF"/>
            <w:hideMark/>
          </w:tcPr>
          <w:p w14:paraId="2514BEB8" w14:textId="77777777" w:rsidR="00000000" w:rsidRDefault="00EB4933">
            <w:pPr>
              <w:pStyle w:val="NormalWeb"/>
              <w:spacing w:before="0" w:beforeAutospacing="0" w:after="0" w:afterAutospacing="0"/>
              <w:rPr>
                <w:sz w:val="20"/>
                <w:szCs w:val="20"/>
              </w:rPr>
            </w:pPr>
            <w:r>
              <w:rPr>
                <w:sz w:val="20"/>
                <w:szCs w:val="20"/>
              </w:rPr>
              <w:t>Repayments of shareholders’ loans (note 30.10)</w:t>
            </w:r>
          </w:p>
        </w:tc>
        <w:tc>
          <w:tcPr>
            <w:tcW w:w="50" w:type="pct"/>
            <w:shd w:val="clear" w:color="auto" w:fill="FFFFFF"/>
            <w:noWrap/>
            <w:vAlign w:val="center"/>
            <w:hideMark/>
          </w:tcPr>
          <w:p w14:paraId="27E552F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AD8BF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3DED386" w14:textId="77777777" w:rsidR="00000000" w:rsidRDefault="00EB4933">
            <w:pPr>
              <w:jc w:val="right"/>
              <w:rPr>
                <w:rFonts w:eastAsia="Times New Roman"/>
                <w:sz w:val="20"/>
                <w:szCs w:val="20"/>
              </w:rPr>
            </w:pPr>
            <w:r>
              <w:rPr>
                <w:rFonts w:eastAsia="Times New Roman"/>
                <w:sz w:val="20"/>
                <w:szCs w:val="20"/>
              </w:rPr>
              <w:t>(2,000</w:t>
            </w:r>
          </w:p>
        </w:tc>
        <w:tc>
          <w:tcPr>
            <w:tcW w:w="50" w:type="pct"/>
            <w:shd w:val="clear" w:color="auto" w:fill="FFFFFF"/>
            <w:noWrap/>
            <w:vAlign w:val="bottom"/>
            <w:hideMark/>
          </w:tcPr>
          <w:p w14:paraId="2665AB40"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5677B7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F9179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80AEA00" w14:textId="77777777" w:rsidR="00000000" w:rsidRDefault="00EB4933">
            <w:pPr>
              <w:jc w:val="right"/>
              <w:rPr>
                <w:rFonts w:eastAsia="Times New Roman"/>
                <w:sz w:val="20"/>
                <w:szCs w:val="20"/>
              </w:rPr>
            </w:pPr>
            <w:r>
              <w:rPr>
                <w:rFonts w:eastAsia="Times New Roman"/>
                <w:sz w:val="20"/>
                <w:szCs w:val="20"/>
              </w:rPr>
              <w:t>(58,000</w:t>
            </w:r>
          </w:p>
        </w:tc>
        <w:tc>
          <w:tcPr>
            <w:tcW w:w="50" w:type="pct"/>
            <w:shd w:val="clear" w:color="auto" w:fill="FFFFFF"/>
            <w:noWrap/>
            <w:vAlign w:val="bottom"/>
            <w:hideMark/>
          </w:tcPr>
          <w:p w14:paraId="45BFDC4A"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C72D80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D55F0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0AB6017" w14:textId="77777777" w:rsidR="00000000" w:rsidRDefault="00EB4933">
            <w:pPr>
              <w:jc w:val="right"/>
              <w:rPr>
                <w:rFonts w:eastAsia="Times New Roman"/>
                <w:sz w:val="20"/>
                <w:szCs w:val="20"/>
              </w:rPr>
            </w:pPr>
            <w:r>
              <w:rPr>
                <w:rFonts w:eastAsia="Times New Roman"/>
                <w:sz w:val="20"/>
                <w:szCs w:val="20"/>
              </w:rPr>
              <w:t>(60,000</w:t>
            </w:r>
          </w:p>
        </w:tc>
        <w:tc>
          <w:tcPr>
            <w:tcW w:w="50" w:type="pct"/>
            <w:shd w:val="clear" w:color="auto" w:fill="FFFFFF"/>
            <w:noWrap/>
            <w:vAlign w:val="bottom"/>
            <w:hideMark/>
          </w:tcPr>
          <w:p w14:paraId="7992364E" w14:textId="77777777" w:rsidR="00000000" w:rsidRDefault="00EB4933">
            <w:pPr>
              <w:rPr>
                <w:rFonts w:eastAsia="Times New Roman"/>
                <w:sz w:val="20"/>
                <w:szCs w:val="20"/>
              </w:rPr>
            </w:pPr>
            <w:r>
              <w:rPr>
                <w:rFonts w:eastAsia="Times New Roman"/>
                <w:sz w:val="20"/>
                <w:szCs w:val="20"/>
              </w:rPr>
              <w:t>)</w:t>
            </w:r>
          </w:p>
        </w:tc>
      </w:tr>
      <w:tr w:rsidR="00000000" w14:paraId="3747AF84" w14:textId="77777777">
        <w:trPr>
          <w:divId w:val="98525094"/>
          <w:trHeight w:val="225"/>
          <w:tblCellSpacing w:w="15" w:type="dxa"/>
        </w:trPr>
        <w:tc>
          <w:tcPr>
            <w:tcW w:w="0" w:type="auto"/>
            <w:shd w:val="clear" w:color="auto" w:fill="CCEEFF"/>
            <w:hideMark/>
          </w:tcPr>
          <w:p w14:paraId="4EAFC130" w14:textId="77777777" w:rsidR="00000000" w:rsidRDefault="00EB4933">
            <w:pPr>
              <w:pStyle w:val="NormalWeb"/>
              <w:spacing w:before="0" w:beforeAutospacing="0" w:after="0" w:afterAutospacing="0"/>
              <w:rPr>
                <w:sz w:val="20"/>
                <w:szCs w:val="20"/>
              </w:rPr>
            </w:pPr>
            <w:r>
              <w:rPr>
                <w:sz w:val="20"/>
                <w:szCs w:val="20"/>
              </w:rPr>
              <w:t>Proceeds received from loans payable (note 30.10)</w:t>
            </w:r>
          </w:p>
        </w:tc>
        <w:tc>
          <w:tcPr>
            <w:tcW w:w="50" w:type="pct"/>
            <w:shd w:val="clear" w:color="auto" w:fill="CCEEFF"/>
            <w:noWrap/>
            <w:vAlign w:val="center"/>
            <w:hideMark/>
          </w:tcPr>
          <w:p w14:paraId="479327A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65FE7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AE1487F" w14:textId="77777777" w:rsidR="00000000" w:rsidRDefault="00EB4933">
            <w:pPr>
              <w:jc w:val="right"/>
              <w:rPr>
                <w:rFonts w:eastAsia="Times New Roman"/>
                <w:sz w:val="20"/>
                <w:szCs w:val="20"/>
              </w:rPr>
            </w:pPr>
            <w:r>
              <w:rPr>
                <w:rFonts w:eastAsia="Times New Roman"/>
                <w:sz w:val="20"/>
                <w:szCs w:val="20"/>
              </w:rPr>
              <w:t>384,240</w:t>
            </w:r>
          </w:p>
        </w:tc>
        <w:tc>
          <w:tcPr>
            <w:tcW w:w="50" w:type="pct"/>
            <w:shd w:val="clear" w:color="auto" w:fill="CCEEFF"/>
            <w:noWrap/>
            <w:vAlign w:val="center"/>
            <w:hideMark/>
          </w:tcPr>
          <w:p w14:paraId="1FA6FB7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408E69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82B56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574F625" w14:textId="77777777" w:rsidR="00000000" w:rsidRDefault="00EB4933">
            <w:pPr>
              <w:jc w:val="right"/>
              <w:rPr>
                <w:rFonts w:eastAsia="Times New Roman"/>
                <w:sz w:val="20"/>
                <w:szCs w:val="20"/>
              </w:rPr>
            </w:pPr>
            <w:r>
              <w:rPr>
                <w:rFonts w:eastAsia="Times New Roman"/>
                <w:sz w:val="20"/>
                <w:szCs w:val="20"/>
              </w:rPr>
              <w:t>(48,000</w:t>
            </w:r>
          </w:p>
        </w:tc>
        <w:tc>
          <w:tcPr>
            <w:tcW w:w="50" w:type="pct"/>
            <w:shd w:val="clear" w:color="auto" w:fill="CCEEFF"/>
            <w:noWrap/>
            <w:vAlign w:val="bottom"/>
            <w:hideMark/>
          </w:tcPr>
          <w:p w14:paraId="5313D437"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AC1159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6683B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3D719D5" w14:textId="77777777" w:rsidR="00000000" w:rsidRDefault="00EB4933">
            <w:pPr>
              <w:jc w:val="right"/>
              <w:rPr>
                <w:rFonts w:eastAsia="Times New Roman"/>
                <w:sz w:val="20"/>
                <w:szCs w:val="20"/>
              </w:rPr>
            </w:pPr>
            <w:r>
              <w:rPr>
                <w:rFonts w:eastAsia="Times New Roman"/>
                <w:sz w:val="20"/>
                <w:szCs w:val="20"/>
              </w:rPr>
              <w:t>336,240</w:t>
            </w:r>
          </w:p>
        </w:tc>
        <w:tc>
          <w:tcPr>
            <w:tcW w:w="50" w:type="pct"/>
            <w:shd w:val="clear" w:color="auto" w:fill="CCEEFF"/>
            <w:noWrap/>
            <w:vAlign w:val="center"/>
            <w:hideMark/>
          </w:tcPr>
          <w:p w14:paraId="0E06D5E0" w14:textId="77777777" w:rsidR="00000000" w:rsidRDefault="00EB4933">
            <w:pPr>
              <w:pStyle w:val="NormalWeb"/>
              <w:spacing w:before="0" w:beforeAutospacing="0" w:after="0" w:afterAutospacing="0"/>
              <w:rPr>
                <w:sz w:val="20"/>
                <w:szCs w:val="20"/>
              </w:rPr>
            </w:pPr>
            <w:r>
              <w:rPr>
                <w:sz w:val="20"/>
                <w:szCs w:val="20"/>
              </w:rPr>
              <w:t> </w:t>
            </w:r>
          </w:p>
        </w:tc>
      </w:tr>
      <w:tr w:rsidR="00000000" w14:paraId="2052C850" w14:textId="77777777">
        <w:trPr>
          <w:divId w:val="98525094"/>
          <w:trHeight w:val="225"/>
          <w:tblCellSpacing w:w="15" w:type="dxa"/>
        </w:trPr>
        <w:tc>
          <w:tcPr>
            <w:tcW w:w="0" w:type="auto"/>
            <w:shd w:val="clear" w:color="auto" w:fill="FFFFFF"/>
            <w:hideMark/>
          </w:tcPr>
          <w:p w14:paraId="54253D2F" w14:textId="77777777" w:rsidR="00000000" w:rsidRDefault="00EB4933">
            <w:pPr>
              <w:pStyle w:val="NormalWeb"/>
              <w:spacing w:before="0" w:beforeAutospacing="0" w:after="0" w:afterAutospacing="0"/>
              <w:rPr>
                <w:sz w:val="20"/>
                <w:szCs w:val="20"/>
              </w:rPr>
            </w:pPr>
            <w:r>
              <w:rPr>
                <w:sz w:val="20"/>
                <w:szCs w:val="20"/>
              </w:rPr>
              <w:t>Repayments of loans payable (note 30.10)</w:t>
            </w:r>
          </w:p>
        </w:tc>
        <w:tc>
          <w:tcPr>
            <w:tcW w:w="50" w:type="pct"/>
            <w:shd w:val="clear" w:color="auto" w:fill="FFFFFF"/>
            <w:noWrap/>
            <w:vAlign w:val="center"/>
            <w:hideMark/>
          </w:tcPr>
          <w:p w14:paraId="33A912E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48330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4D9F247" w14:textId="77777777" w:rsidR="00000000" w:rsidRDefault="00EB4933">
            <w:pPr>
              <w:jc w:val="right"/>
              <w:rPr>
                <w:rFonts w:eastAsia="Times New Roman"/>
                <w:sz w:val="20"/>
                <w:szCs w:val="20"/>
              </w:rPr>
            </w:pPr>
            <w:r>
              <w:rPr>
                <w:rFonts w:eastAsia="Times New Roman"/>
                <w:sz w:val="20"/>
                <w:szCs w:val="20"/>
              </w:rPr>
              <w:t>(332,990</w:t>
            </w:r>
          </w:p>
        </w:tc>
        <w:tc>
          <w:tcPr>
            <w:tcW w:w="50" w:type="pct"/>
            <w:shd w:val="clear" w:color="auto" w:fill="FFFFFF"/>
            <w:noWrap/>
            <w:vAlign w:val="bottom"/>
            <w:hideMark/>
          </w:tcPr>
          <w:p w14:paraId="38304EC2"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04A2E7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E5315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BA3CE71" w14:textId="77777777" w:rsidR="00000000" w:rsidRDefault="00EB4933">
            <w:pPr>
              <w:jc w:val="right"/>
              <w:rPr>
                <w:rFonts w:eastAsia="Times New Roman"/>
                <w:sz w:val="20"/>
                <w:szCs w:val="20"/>
              </w:rPr>
            </w:pPr>
            <w:r>
              <w:rPr>
                <w:rFonts w:eastAsia="Times New Roman"/>
                <w:sz w:val="20"/>
                <w:szCs w:val="20"/>
              </w:rPr>
              <w:t>58,000</w:t>
            </w:r>
          </w:p>
        </w:tc>
        <w:tc>
          <w:tcPr>
            <w:tcW w:w="50" w:type="pct"/>
            <w:shd w:val="clear" w:color="auto" w:fill="FFFFFF"/>
            <w:noWrap/>
            <w:vAlign w:val="center"/>
            <w:hideMark/>
          </w:tcPr>
          <w:p w14:paraId="5633C97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C4191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0473A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ED5D31E" w14:textId="77777777" w:rsidR="00000000" w:rsidRDefault="00EB4933">
            <w:pPr>
              <w:jc w:val="right"/>
              <w:rPr>
                <w:rFonts w:eastAsia="Times New Roman"/>
                <w:sz w:val="20"/>
                <w:szCs w:val="20"/>
              </w:rPr>
            </w:pPr>
            <w:r>
              <w:rPr>
                <w:rFonts w:eastAsia="Times New Roman"/>
                <w:sz w:val="20"/>
                <w:szCs w:val="20"/>
              </w:rPr>
              <w:t>(274,990</w:t>
            </w:r>
          </w:p>
        </w:tc>
        <w:tc>
          <w:tcPr>
            <w:tcW w:w="50" w:type="pct"/>
            <w:shd w:val="clear" w:color="auto" w:fill="FFFFFF"/>
            <w:noWrap/>
            <w:vAlign w:val="bottom"/>
            <w:hideMark/>
          </w:tcPr>
          <w:p w14:paraId="2C10ECA2" w14:textId="77777777" w:rsidR="00000000" w:rsidRDefault="00EB4933">
            <w:pPr>
              <w:rPr>
                <w:rFonts w:eastAsia="Times New Roman"/>
                <w:sz w:val="20"/>
                <w:szCs w:val="20"/>
              </w:rPr>
            </w:pPr>
            <w:r>
              <w:rPr>
                <w:rFonts w:eastAsia="Times New Roman"/>
                <w:sz w:val="20"/>
                <w:szCs w:val="20"/>
              </w:rPr>
              <w:t>)</w:t>
            </w:r>
          </w:p>
        </w:tc>
      </w:tr>
    </w:tbl>
    <w:p w14:paraId="22DB6727"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5039BE7" w14:textId="77777777">
        <w:trPr>
          <w:divId w:val="98525094"/>
          <w:trHeight w:val="225"/>
          <w:tblCellSpacing w:w="15" w:type="dxa"/>
        </w:trPr>
        <w:tc>
          <w:tcPr>
            <w:tcW w:w="0" w:type="auto"/>
            <w:vAlign w:val="center"/>
            <w:hideMark/>
          </w:tcPr>
          <w:p w14:paraId="5610FE96" w14:textId="77777777" w:rsidR="00000000" w:rsidRDefault="00EB4933">
            <w:pPr>
              <w:rPr>
                <w:sz w:val="20"/>
                <w:szCs w:val="20"/>
              </w:rPr>
            </w:pPr>
          </w:p>
        </w:tc>
      </w:tr>
      <w:tr w:rsidR="00000000" w14:paraId="28CB2A51" w14:textId="77777777">
        <w:trPr>
          <w:divId w:val="98525094"/>
          <w:trHeight w:val="225"/>
          <w:tblCellSpacing w:w="15" w:type="dxa"/>
        </w:trPr>
        <w:tc>
          <w:tcPr>
            <w:tcW w:w="0" w:type="auto"/>
            <w:tcBorders>
              <w:bottom w:val="single" w:sz="6" w:space="0" w:color="000000"/>
            </w:tcBorders>
            <w:vAlign w:val="center"/>
            <w:hideMark/>
          </w:tcPr>
          <w:p w14:paraId="5680DDD5" w14:textId="77777777" w:rsidR="00000000" w:rsidRDefault="00EB4933">
            <w:pPr>
              <w:jc w:val="center"/>
              <w:rPr>
                <w:rFonts w:eastAsia="Times New Roman"/>
                <w:sz w:val="20"/>
                <w:szCs w:val="20"/>
              </w:rPr>
            </w:pPr>
            <w:r>
              <w:rPr>
                <w:rFonts w:eastAsia="Times New Roman"/>
                <w:sz w:val="20"/>
                <w:szCs w:val="20"/>
              </w:rPr>
              <w:t>F-75</w:t>
            </w:r>
          </w:p>
        </w:tc>
      </w:tr>
      <w:tr w:rsidR="00000000" w14:paraId="03AF2BD8" w14:textId="77777777">
        <w:trPr>
          <w:divId w:val="98525094"/>
          <w:trHeight w:val="225"/>
          <w:tblCellSpacing w:w="15" w:type="dxa"/>
        </w:trPr>
        <w:tc>
          <w:tcPr>
            <w:tcW w:w="0" w:type="auto"/>
            <w:vAlign w:val="center"/>
            <w:hideMark/>
          </w:tcPr>
          <w:p w14:paraId="15233B85" w14:textId="77777777" w:rsidR="00000000" w:rsidRDefault="00EB4933">
            <w:pPr>
              <w:rPr>
                <w:rFonts w:eastAsia="Times New Roman"/>
                <w:sz w:val="20"/>
                <w:szCs w:val="20"/>
              </w:rPr>
            </w:pPr>
          </w:p>
        </w:tc>
      </w:tr>
      <w:tr w:rsidR="00000000" w14:paraId="796EEDC9" w14:textId="77777777">
        <w:trPr>
          <w:divId w:val="98525094"/>
          <w:trHeight w:val="225"/>
          <w:tblCellSpacing w:w="15" w:type="dxa"/>
        </w:trPr>
        <w:tc>
          <w:tcPr>
            <w:tcW w:w="0" w:type="auto"/>
            <w:vAlign w:val="center"/>
            <w:hideMark/>
          </w:tcPr>
          <w:p w14:paraId="7231BEBB" w14:textId="77777777" w:rsidR="00000000" w:rsidRDefault="00EB4933">
            <w:pPr>
              <w:rPr>
                <w:rFonts w:eastAsia="Times New Roman"/>
                <w:sz w:val="20"/>
                <w:szCs w:val="20"/>
              </w:rPr>
            </w:pPr>
          </w:p>
        </w:tc>
      </w:tr>
    </w:tbl>
    <w:p w14:paraId="2FA540E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71B82573" w14:textId="77777777" w:rsidR="00000000" w:rsidRDefault="00EB4933">
      <w:pPr>
        <w:pStyle w:val="NormalWeb"/>
        <w:spacing w:before="0" w:beforeAutospacing="0" w:after="0" w:afterAutospacing="0"/>
        <w:jc w:val="right"/>
        <w:divId w:val="98525094"/>
        <w:rPr>
          <w:sz w:val="20"/>
          <w:szCs w:val="20"/>
        </w:rPr>
      </w:pPr>
      <w:r>
        <w:rPr>
          <w:sz w:val="20"/>
          <w:szCs w:val="20"/>
          <w:u w:val="single"/>
        </w:rPr>
        <w:t>Appendix 1</w:t>
      </w:r>
    </w:p>
    <w:p w14:paraId="4081A1D1" w14:textId="77777777" w:rsidR="00000000" w:rsidRDefault="00EB4933">
      <w:pPr>
        <w:pStyle w:val="NormalWeb"/>
        <w:spacing w:before="0" w:beforeAutospacing="0" w:after="0" w:afterAutospacing="0"/>
        <w:divId w:val="98525094"/>
        <w:rPr>
          <w:sz w:val="20"/>
          <w:szCs w:val="20"/>
        </w:rPr>
      </w:pPr>
      <w:r>
        <w:rPr>
          <w:sz w:val="20"/>
          <w:szCs w:val="20"/>
        </w:rPr>
        <w:t xml:space="preserve">  </w:t>
      </w:r>
    </w:p>
    <w:p w14:paraId="48299E46" w14:textId="77777777" w:rsidR="00000000" w:rsidRDefault="00EB4933">
      <w:pPr>
        <w:pStyle w:val="NormalWeb"/>
        <w:spacing w:before="0" w:beforeAutospacing="0" w:after="0" w:afterAutospacing="0"/>
        <w:jc w:val="both"/>
        <w:divId w:val="98525094"/>
        <w:rPr>
          <w:sz w:val="20"/>
          <w:szCs w:val="20"/>
        </w:rPr>
      </w:pPr>
      <w:r>
        <w:rPr>
          <w:sz w:val="20"/>
          <w:szCs w:val="20"/>
        </w:rPr>
        <w:t>Correction Of Errors – Year Ended 31 December 2017</w:t>
      </w:r>
    </w:p>
    <w:p w14:paraId="7FA9CAFA"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2FDCDA13" w14:textId="77777777" w:rsidR="00000000" w:rsidRDefault="00EB4933">
      <w:pPr>
        <w:pStyle w:val="NormalWeb"/>
        <w:spacing w:before="0" w:beforeAutospacing="0" w:after="0" w:afterAutospacing="0"/>
        <w:jc w:val="both"/>
        <w:divId w:val="98525094"/>
        <w:rPr>
          <w:sz w:val="20"/>
          <w:szCs w:val="20"/>
        </w:rPr>
      </w:pPr>
      <w:r>
        <w:rPr>
          <w:sz w:val="20"/>
          <w:szCs w:val="20"/>
        </w:rPr>
        <w:t>Subsequent to the filing of Form 20F for the financial year ended December 31, 2017, management identified the following accounting errors:</w:t>
      </w:r>
    </w:p>
    <w:p w14:paraId="46A6CB1E"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45"/>
        <w:gridCol w:w="8815"/>
      </w:tblGrid>
      <w:tr w:rsidR="00000000" w14:paraId="22CAFDF8" w14:textId="77777777">
        <w:trPr>
          <w:divId w:val="98525094"/>
          <w:trHeight w:val="225"/>
          <w:tblCellSpacing w:w="15" w:type="dxa"/>
        </w:trPr>
        <w:tc>
          <w:tcPr>
            <w:tcW w:w="200" w:type="pct"/>
            <w:hideMark/>
          </w:tcPr>
          <w:p w14:paraId="07CB0AEE" w14:textId="77777777" w:rsidR="00000000" w:rsidRDefault="00EB4933">
            <w:pPr>
              <w:pStyle w:val="NormalWeb"/>
              <w:spacing w:before="0" w:beforeAutospacing="0" w:after="0" w:afterAutospacing="0"/>
              <w:rPr>
                <w:sz w:val="20"/>
                <w:szCs w:val="20"/>
              </w:rPr>
            </w:pPr>
            <w:r>
              <w:rPr>
                <w:sz w:val="20"/>
                <w:szCs w:val="20"/>
              </w:rPr>
              <w:t xml:space="preserve">1. </w:t>
            </w:r>
          </w:p>
        </w:tc>
        <w:tc>
          <w:tcPr>
            <w:tcW w:w="0" w:type="auto"/>
            <w:hideMark/>
          </w:tcPr>
          <w:p w14:paraId="136EF573" w14:textId="77777777" w:rsidR="00000000" w:rsidRDefault="00EB4933">
            <w:pPr>
              <w:pStyle w:val="NormalWeb"/>
              <w:spacing w:before="0" w:beforeAutospacing="0" w:after="0" w:afterAutospacing="0"/>
              <w:jc w:val="both"/>
              <w:rPr>
                <w:sz w:val="20"/>
                <w:szCs w:val="20"/>
              </w:rPr>
            </w:pPr>
            <w:r>
              <w:rPr>
                <w:sz w:val="20"/>
                <w:szCs w:val="20"/>
              </w:rPr>
              <w:t>The Group had over accrued certain interest expenses of RMB4,349,000 which should have been recorded in the ye</w:t>
            </w:r>
            <w:r>
              <w:rPr>
                <w:sz w:val="20"/>
                <w:szCs w:val="20"/>
              </w:rPr>
              <w:t>ar of 2018. This error understated the net profit of RMB4,349,000 in 2017, overstated other payable of RMB3,618,000 and overstated interest payable of RMB731,000 as of December 31, 2017.</w:t>
            </w:r>
          </w:p>
        </w:tc>
      </w:tr>
      <w:tr w:rsidR="00000000" w14:paraId="7CF709F9" w14:textId="77777777">
        <w:trPr>
          <w:divId w:val="98525094"/>
          <w:trHeight w:val="225"/>
          <w:tblCellSpacing w:w="15" w:type="dxa"/>
        </w:trPr>
        <w:tc>
          <w:tcPr>
            <w:tcW w:w="0" w:type="auto"/>
            <w:vAlign w:val="center"/>
            <w:hideMark/>
          </w:tcPr>
          <w:p w14:paraId="607DC79E"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545FDEE6" w14:textId="77777777" w:rsidR="00000000" w:rsidRDefault="00EB4933">
            <w:pPr>
              <w:pStyle w:val="NormalWeb"/>
              <w:spacing w:before="0" w:beforeAutospacing="0" w:after="0" w:afterAutospacing="0"/>
              <w:rPr>
                <w:sz w:val="20"/>
                <w:szCs w:val="20"/>
              </w:rPr>
            </w:pPr>
            <w:r>
              <w:rPr>
                <w:sz w:val="20"/>
                <w:szCs w:val="20"/>
              </w:rPr>
              <w:t> </w:t>
            </w:r>
          </w:p>
        </w:tc>
      </w:tr>
      <w:tr w:rsidR="00000000" w14:paraId="0E796A9B" w14:textId="77777777">
        <w:trPr>
          <w:divId w:val="98525094"/>
          <w:trHeight w:val="225"/>
          <w:tblCellSpacing w:w="15" w:type="dxa"/>
        </w:trPr>
        <w:tc>
          <w:tcPr>
            <w:tcW w:w="0" w:type="auto"/>
            <w:hideMark/>
          </w:tcPr>
          <w:p w14:paraId="2C468F4B" w14:textId="77777777" w:rsidR="00000000" w:rsidRDefault="00EB4933">
            <w:pPr>
              <w:pStyle w:val="NormalWeb"/>
              <w:spacing w:before="0" w:beforeAutospacing="0" w:after="0" w:afterAutospacing="0"/>
              <w:rPr>
                <w:sz w:val="20"/>
                <w:szCs w:val="20"/>
              </w:rPr>
            </w:pPr>
            <w:r>
              <w:rPr>
                <w:sz w:val="20"/>
                <w:szCs w:val="20"/>
              </w:rPr>
              <w:t xml:space="preserve">2. </w:t>
            </w:r>
          </w:p>
        </w:tc>
        <w:tc>
          <w:tcPr>
            <w:tcW w:w="0" w:type="auto"/>
            <w:hideMark/>
          </w:tcPr>
          <w:p w14:paraId="29F3F136" w14:textId="77777777" w:rsidR="00000000" w:rsidRDefault="00EB4933">
            <w:pPr>
              <w:pStyle w:val="NormalWeb"/>
              <w:spacing w:before="0" w:beforeAutospacing="0" w:after="0" w:afterAutospacing="0"/>
              <w:jc w:val="both"/>
              <w:rPr>
                <w:sz w:val="20"/>
                <w:szCs w:val="20"/>
              </w:rPr>
            </w:pPr>
            <w:r>
              <w:rPr>
                <w:sz w:val="20"/>
                <w:szCs w:val="20"/>
              </w:rPr>
              <w:t>There was a total of RMB14,604,000 payable for expenses related to the reverse merger and equity transaction should have been accrued for as of December 31, 2017. RMB8,175,000 was determined to be related to the reverse merger while RMB6,429,000 was determ</w:t>
            </w:r>
            <w:r>
              <w:rPr>
                <w:sz w:val="20"/>
                <w:szCs w:val="20"/>
              </w:rPr>
              <w:t>ined to be related to the equity transaction. These errors caused an overstatement of net profit in the amount of RMB8,175,000, understatement of other payable of RMB14,604,000 and overstatement of shareholders’ equity of RMB6,429,000 (or RMB5,143,000 afte</w:t>
            </w:r>
            <w:r>
              <w:rPr>
                <w:sz w:val="20"/>
                <w:szCs w:val="20"/>
              </w:rPr>
              <w:t>r accounted for non-controlling interests).</w:t>
            </w:r>
          </w:p>
        </w:tc>
      </w:tr>
      <w:tr w:rsidR="00000000" w14:paraId="55C81627" w14:textId="77777777">
        <w:trPr>
          <w:divId w:val="98525094"/>
          <w:trHeight w:val="225"/>
          <w:tblCellSpacing w:w="15" w:type="dxa"/>
        </w:trPr>
        <w:tc>
          <w:tcPr>
            <w:tcW w:w="0" w:type="auto"/>
            <w:vAlign w:val="center"/>
            <w:hideMark/>
          </w:tcPr>
          <w:p w14:paraId="62FB6272"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60FC9AB6" w14:textId="77777777" w:rsidR="00000000" w:rsidRDefault="00EB4933">
            <w:pPr>
              <w:pStyle w:val="NormalWeb"/>
              <w:spacing w:before="0" w:beforeAutospacing="0" w:after="0" w:afterAutospacing="0"/>
              <w:rPr>
                <w:sz w:val="20"/>
                <w:szCs w:val="20"/>
              </w:rPr>
            </w:pPr>
            <w:r>
              <w:rPr>
                <w:sz w:val="20"/>
                <w:szCs w:val="20"/>
              </w:rPr>
              <w:t> </w:t>
            </w:r>
          </w:p>
        </w:tc>
      </w:tr>
      <w:tr w:rsidR="00000000" w14:paraId="52BD88D0" w14:textId="77777777">
        <w:trPr>
          <w:divId w:val="98525094"/>
          <w:trHeight w:val="225"/>
          <w:tblCellSpacing w:w="15" w:type="dxa"/>
        </w:trPr>
        <w:tc>
          <w:tcPr>
            <w:tcW w:w="0" w:type="auto"/>
            <w:hideMark/>
          </w:tcPr>
          <w:p w14:paraId="7806AE6E" w14:textId="77777777" w:rsidR="00000000" w:rsidRDefault="00EB4933">
            <w:pPr>
              <w:pStyle w:val="NormalWeb"/>
              <w:spacing w:before="0" w:beforeAutospacing="0" w:after="0" w:afterAutospacing="0"/>
              <w:rPr>
                <w:sz w:val="20"/>
                <w:szCs w:val="20"/>
              </w:rPr>
            </w:pPr>
            <w:r>
              <w:rPr>
                <w:sz w:val="20"/>
                <w:szCs w:val="20"/>
              </w:rPr>
              <w:t xml:space="preserve">3. </w:t>
            </w:r>
          </w:p>
        </w:tc>
        <w:tc>
          <w:tcPr>
            <w:tcW w:w="0" w:type="auto"/>
            <w:hideMark/>
          </w:tcPr>
          <w:p w14:paraId="335EB11E" w14:textId="77777777" w:rsidR="00000000" w:rsidRDefault="00EB4933">
            <w:pPr>
              <w:pStyle w:val="NormalWeb"/>
              <w:spacing w:before="0" w:beforeAutospacing="0" w:after="0" w:afterAutospacing="0"/>
              <w:jc w:val="both"/>
              <w:rPr>
                <w:sz w:val="20"/>
                <w:szCs w:val="20"/>
              </w:rPr>
            </w:pPr>
            <w:r>
              <w:rPr>
                <w:sz w:val="20"/>
                <w:szCs w:val="20"/>
              </w:rPr>
              <w:t>Income tax impact for the errors stated in 1 and 2 above totaled RMB269,000 which understated the net profit for the year ended December 31, 2017.</w:t>
            </w:r>
          </w:p>
        </w:tc>
      </w:tr>
      <w:tr w:rsidR="00000000" w14:paraId="1B133207" w14:textId="77777777">
        <w:trPr>
          <w:divId w:val="98525094"/>
          <w:trHeight w:val="225"/>
          <w:tblCellSpacing w:w="15" w:type="dxa"/>
        </w:trPr>
        <w:tc>
          <w:tcPr>
            <w:tcW w:w="0" w:type="auto"/>
            <w:vAlign w:val="center"/>
            <w:hideMark/>
          </w:tcPr>
          <w:p w14:paraId="4C368740"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62EF8D78" w14:textId="77777777" w:rsidR="00000000" w:rsidRDefault="00EB4933">
            <w:pPr>
              <w:pStyle w:val="NormalWeb"/>
              <w:spacing w:before="0" w:beforeAutospacing="0" w:after="0" w:afterAutospacing="0"/>
              <w:rPr>
                <w:sz w:val="20"/>
                <w:szCs w:val="20"/>
              </w:rPr>
            </w:pPr>
            <w:r>
              <w:rPr>
                <w:sz w:val="20"/>
                <w:szCs w:val="20"/>
              </w:rPr>
              <w:t> </w:t>
            </w:r>
          </w:p>
        </w:tc>
      </w:tr>
      <w:tr w:rsidR="00000000" w14:paraId="78E90C14" w14:textId="77777777">
        <w:trPr>
          <w:divId w:val="98525094"/>
          <w:trHeight w:val="225"/>
          <w:tblCellSpacing w:w="15" w:type="dxa"/>
        </w:trPr>
        <w:tc>
          <w:tcPr>
            <w:tcW w:w="0" w:type="auto"/>
            <w:hideMark/>
          </w:tcPr>
          <w:p w14:paraId="4A72EC91" w14:textId="77777777" w:rsidR="00000000" w:rsidRDefault="00EB4933">
            <w:pPr>
              <w:pStyle w:val="NormalWeb"/>
              <w:spacing w:before="0" w:beforeAutospacing="0" w:after="0" w:afterAutospacing="0"/>
              <w:rPr>
                <w:sz w:val="20"/>
                <w:szCs w:val="20"/>
              </w:rPr>
            </w:pPr>
            <w:r>
              <w:rPr>
                <w:sz w:val="20"/>
                <w:szCs w:val="20"/>
              </w:rPr>
              <w:t xml:space="preserve">4. </w:t>
            </w:r>
          </w:p>
        </w:tc>
        <w:tc>
          <w:tcPr>
            <w:tcW w:w="0" w:type="auto"/>
            <w:hideMark/>
          </w:tcPr>
          <w:p w14:paraId="35EA4F18" w14:textId="77777777" w:rsidR="00000000" w:rsidRDefault="00EB4933">
            <w:pPr>
              <w:pStyle w:val="NormalWeb"/>
              <w:spacing w:before="0" w:beforeAutospacing="0" w:after="0" w:afterAutospacing="0"/>
              <w:jc w:val="both"/>
              <w:rPr>
                <w:sz w:val="20"/>
                <w:szCs w:val="20"/>
              </w:rPr>
            </w:pPr>
            <w:r>
              <w:rPr>
                <w:sz w:val="20"/>
                <w:szCs w:val="20"/>
              </w:rPr>
              <w:t>The Group overstated deferred tax assets of R</w:t>
            </w:r>
            <w:r>
              <w:rPr>
                <w:sz w:val="20"/>
                <w:szCs w:val="20"/>
              </w:rPr>
              <w:t>MB645,000 of December 31, 2017. As a result, such deferred tax asset was being reversed. This error overstated net profit by RMB645,000 for the year ended December 31, 2017.</w:t>
            </w:r>
          </w:p>
        </w:tc>
      </w:tr>
      <w:tr w:rsidR="00000000" w14:paraId="1F9AEA32" w14:textId="77777777">
        <w:trPr>
          <w:divId w:val="98525094"/>
          <w:trHeight w:val="225"/>
          <w:tblCellSpacing w:w="15" w:type="dxa"/>
        </w:trPr>
        <w:tc>
          <w:tcPr>
            <w:tcW w:w="0" w:type="auto"/>
            <w:vAlign w:val="center"/>
            <w:hideMark/>
          </w:tcPr>
          <w:p w14:paraId="1F815C98"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40C9FA7A" w14:textId="77777777" w:rsidR="00000000" w:rsidRDefault="00EB4933">
            <w:pPr>
              <w:pStyle w:val="NormalWeb"/>
              <w:spacing w:before="0" w:beforeAutospacing="0" w:after="0" w:afterAutospacing="0"/>
              <w:rPr>
                <w:sz w:val="20"/>
                <w:szCs w:val="20"/>
              </w:rPr>
            </w:pPr>
            <w:r>
              <w:rPr>
                <w:sz w:val="20"/>
                <w:szCs w:val="20"/>
              </w:rPr>
              <w:t> </w:t>
            </w:r>
          </w:p>
        </w:tc>
      </w:tr>
      <w:tr w:rsidR="00000000" w14:paraId="76195D6E" w14:textId="77777777">
        <w:trPr>
          <w:divId w:val="98525094"/>
          <w:trHeight w:val="225"/>
          <w:tblCellSpacing w:w="15" w:type="dxa"/>
        </w:trPr>
        <w:tc>
          <w:tcPr>
            <w:tcW w:w="0" w:type="auto"/>
            <w:hideMark/>
          </w:tcPr>
          <w:p w14:paraId="15174BC5" w14:textId="77777777" w:rsidR="00000000" w:rsidRDefault="00EB4933">
            <w:pPr>
              <w:pStyle w:val="NormalWeb"/>
              <w:spacing w:before="0" w:beforeAutospacing="0" w:after="0" w:afterAutospacing="0"/>
              <w:rPr>
                <w:sz w:val="20"/>
                <w:szCs w:val="20"/>
              </w:rPr>
            </w:pPr>
            <w:r>
              <w:rPr>
                <w:sz w:val="20"/>
                <w:szCs w:val="20"/>
              </w:rPr>
              <w:t xml:space="preserve">5. </w:t>
            </w:r>
          </w:p>
        </w:tc>
        <w:tc>
          <w:tcPr>
            <w:tcW w:w="0" w:type="auto"/>
            <w:hideMark/>
          </w:tcPr>
          <w:p w14:paraId="39C2829C" w14:textId="77777777" w:rsidR="00000000" w:rsidRDefault="00EB4933">
            <w:pPr>
              <w:pStyle w:val="NormalWeb"/>
              <w:spacing w:before="0" w:beforeAutospacing="0" w:after="0" w:afterAutospacing="0"/>
              <w:jc w:val="both"/>
              <w:rPr>
                <w:sz w:val="20"/>
                <w:szCs w:val="20"/>
              </w:rPr>
            </w:pPr>
            <w:r>
              <w:rPr>
                <w:sz w:val="20"/>
                <w:szCs w:val="20"/>
              </w:rPr>
              <w:t>The Group incorrectly computed earnings per share using net profit, inst</w:t>
            </w:r>
            <w:r>
              <w:rPr>
                <w:sz w:val="20"/>
                <w:szCs w:val="20"/>
              </w:rPr>
              <w:t xml:space="preserve">ead of using net profit attributable to equity holders of the Company. Basic and diluted earnings per share impact for errors stated in 1, 2, 3, 4 and 5 was RMB0.04 per share. </w:t>
            </w:r>
          </w:p>
        </w:tc>
      </w:tr>
      <w:tr w:rsidR="00000000" w14:paraId="3BE11B73" w14:textId="77777777">
        <w:trPr>
          <w:divId w:val="98525094"/>
          <w:trHeight w:val="225"/>
          <w:tblCellSpacing w:w="15" w:type="dxa"/>
        </w:trPr>
        <w:tc>
          <w:tcPr>
            <w:tcW w:w="0" w:type="auto"/>
            <w:vAlign w:val="center"/>
            <w:hideMark/>
          </w:tcPr>
          <w:p w14:paraId="46223F18"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2ADB588E" w14:textId="77777777" w:rsidR="00000000" w:rsidRDefault="00EB4933">
            <w:pPr>
              <w:pStyle w:val="NormalWeb"/>
              <w:spacing w:before="0" w:beforeAutospacing="0" w:after="0" w:afterAutospacing="0"/>
              <w:rPr>
                <w:sz w:val="20"/>
                <w:szCs w:val="20"/>
              </w:rPr>
            </w:pPr>
            <w:r>
              <w:rPr>
                <w:sz w:val="20"/>
                <w:szCs w:val="20"/>
              </w:rPr>
              <w:t> </w:t>
            </w:r>
          </w:p>
        </w:tc>
      </w:tr>
      <w:tr w:rsidR="00000000" w14:paraId="47535834" w14:textId="77777777">
        <w:trPr>
          <w:divId w:val="98525094"/>
          <w:trHeight w:val="225"/>
          <w:tblCellSpacing w:w="15" w:type="dxa"/>
        </w:trPr>
        <w:tc>
          <w:tcPr>
            <w:tcW w:w="0" w:type="auto"/>
            <w:hideMark/>
          </w:tcPr>
          <w:p w14:paraId="45E6D8C7" w14:textId="77777777" w:rsidR="00000000" w:rsidRDefault="00EB4933">
            <w:pPr>
              <w:pStyle w:val="NormalWeb"/>
              <w:spacing w:before="0" w:beforeAutospacing="0" w:after="0" w:afterAutospacing="0"/>
              <w:rPr>
                <w:sz w:val="20"/>
                <w:szCs w:val="20"/>
              </w:rPr>
            </w:pPr>
            <w:r>
              <w:rPr>
                <w:sz w:val="20"/>
                <w:szCs w:val="20"/>
              </w:rPr>
              <w:t xml:space="preserve">6. </w:t>
            </w:r>
          </w:p>
        </w:tc>
        <w:tc>
          <w:tcPr>
            <w:tcW w:w="0" w:type="auto"/>
            <w:hideMark/>
          </w:tcPr>
          <w:p w14:paraId="44172781" w14:textId="77777777" w:rsidR="00000000" w:rsidRDefault="00EB4933">
            <w:pPr>
              <w:pStyle w:val="NormalWeb"/>
              <w:spacing w:before="0" w:beforeAutospacing="0" w:after="0" w:afterAutospacing="0"/>
              <w:jc w:val="both"/>
              <w:rPr>
                <w:sz w:val="20"/>
                <w:szCs w:val="20"/>
              </w:rPr>
            </w:pPr>
            <w:r>
              <w:rPr>
                <w:sz w:val="20"/>
                <w:szCs w:val="20"/>
              </w:rPr>
              <w:t>The Group incorrectly classified a deposit of RMB14,928,000 to purchase certain floors of an office building as prepaid expenses – current. Due to non-current nature of property and equipment to be acquired, such deposit should be classified as non-current</w:t>
            </w:r>
            <w:r>
              <w:rPr>
                <w:sz w:val="20"/>
                <w:szCs w:val="20"/>
              </w:rPr>
              <w:t xml:space="preserve"> as of December 31, 2017.</w:t>
            </w:r>
          </w:p>
        </w:tc>
      </w:tr>
      <w:tr w:rsidR="00000000" w14:paraId="7648580F" w14:textId="77777777">
        <w:trPr>
          <w:divId w:val="98525094"/>
          <w:trHeight w:val="225"/>
          <w:tblCellSpacing w:w="15" w:type="dxa"/>
        </w:trPr>
        <w:tc>
          <w:tcPr>
            <w:tcW w:w="0" w:type="auto"/>
            <w:vAlign w:val="center"/>
            <w:hideMark/>
          </w:tcPr>
          <w:p w14:paraId="636BA2A6"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334B9964" w14:textId="77777777" w:rsidR="00000000" w:rsidRDefault="00EB4933">
            <w:pPr>
              <w:pStyle w:val="NormalWeb"/>
              <w:spacing w:before="0" w:beforeAutospacing="0" w:after="0" w:afterAutospacing="0"/>
              <w:rPr>
                <w:sz w:val="20"/>
                <w:szCs w:val="20"/>
              </w:rPr>
            </w:pPr>
            <w:r>
              <w:rPr>
                <w:sz w:val="20"/>
                <w:szCs w:val="20"/>
              </w:rPr>
              <w:t> </w:t>
            </w:r>
          </w:p>
        </w:tc>
      </w:tr>
      <w:tr w:rsidR="00000000" w14:paraId="48C0E79B" w14:textId="77777777">
        <w:trPr>
          <w:divId w:val="98525094"/>
          <w:trHeight w:val="225"/>
          <w:tblCellSpacing w:w="15" w:type="dxa"/>
        </w:trPr>
        <w:tc>
          <w:tcPr>
            <w:tcW w:w="0" w:type="auto"/>
            <w:hideMark/>
          </w:tcPr>
          <w:p w14:paraId="50672345" w14:textId="77777777" w:rsidR="00000000" w:rsidRDefault="00EB4933">
            <w:pPr>
              <w:pStyle w:val="NormalWeb"/>
              <w:spacing w:before="0" w:beforeAutospacing="0" w:after="0" w:afterAutospacing="0"/>
              <w:rPr>
                <w:sz w:val="20"/>
                <w:szCs w:val="20"/>
              </w:rPr>
            </w:pPr>
            <w:r>
              <w:rPr>
                <w:sz w:val="20"/>
                <w:szCs w:val="20"/>
              </w:rPr>
              <w:t xml:space="preserve">7. </w:t>
            </w:r>
          </w:p>
        </w:tc>
        <w:tc>
          <w:tcPr>
            <w:tcW w:w="0" w:type="auto"/>
            <w:hideMark/>
          </w:tcPr>
          <w:p w14:paraId="1FC0F698" w14:textId="77777777" w:rsidR="00000000" w:rsidRDefault="00EB4933">
            <w:pPr>
              <w:pStyle w:val="NormalWeb"/>
              <w:spacing w:before="0" w:beforeAutospacing="0" w:after="0" w:afterAutospacing="0"/>
              <w:jc w:val="both"/>
              <w:rPr>
                <w:sz w:val="20"/>
                <w:szCs w:val="20"/>
              </w:rPr>
            </w:pPr>
            <w:r>
              <w:rPr>
                <w:sz w:val="20"/>
                <w:szCs w:val="20"/>
              </w:rPr>
              <w:t>The Group incorrectly accrued the statutory reserve and general risk reserve in accordance with the PRC regulatory requirements. As a result, under the equity section, the statutory reserve was understated by RMB7,017,00</w:t>
            </w:r>
            <w:r>
              <w:rPr>
                <w:sz w:val="20"/>
                <w:szCs w:val="20"/>
              </w:rPr>
              <w:t xml:space="preserve">0 (or RMB5,614,000 after accounted for non-controlling interests), general risk reserve was understated by RMB4,908,000 (or RMB3,926,000 after accounted for non-controlling interests) and retained earnings were overstated by RMB11,925,000 (or RMB9,540,000 </w:t>
            </w:r>
            <w:r>
              <w:rPr>
                <w:sz w:val="20"/>
                <w:szCs w:val="20"/>
              </w:rPr>
              <w:t>after accounted for non-controlling interests).</w:t>
            </w:r>
          </w:p>
        </w:tc>
      </w:tr>
      <w:tr w:rsidR="00000000" w14:paraId="6E44DF6D" w14:textId="77777777">
        <w:trPr>
          <w:divId w:val="98525094"/>
          <w:trHeight w:val="225"/>
          <w:tblCellSpacing w:w="15" w:type="dxa"/>
        </w:trPr>
        <w:tc>
          <w:tcPr>
            <w:tcW w:w="0" w:type="auto"/>
            <w:vAlign w:val="center"/>
            <w:hideMark/>
          </w:tcPr>
          <w:p w14:paraId="2B81FC9A"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34C46AE0" w14:textId="77777777" w:rsidR="00000000" w:rsidRDefault="00EB4933">
            <w:pPr>
              <w:pStyle w:val="NormalWeb"/>
              <w:spacing w:before="0" w:beforeAutospacing="0" w:after="0" w:afterAutospacing="0"/>
              <w:rPr>
                <w:sz w:val="20"/>
                <w:szCs w:val="20"/>
              </w:rPr>
            </w:pPr>
            <w:r>
              <w:rPr>
                <w:sz w:val="20"/>
                <w:szCs w:val="20"/>
              </w:rPr>
              <w:t> </w:t>
            </w:r>
          </w:p>
        </w:tc>
      </w:tr>
      <w:tr w:rsidR="00000000" w14:paraId="1059F01C" w14:textId="77777777">
        <w:trPr>
          <w:divId w:val="98525094"/>
          <w:trHeight w:val="225"/>
          <w:tblCellSpacing w:w="15" w:type="dxa"/>
        </w:trPr>
        <w:tc>
          <w:tcPr>
            <w:tcW w:w="0" w:type="auto"/>
            <w:hideMark/>
          </w:tcPr>
          <w:p w14:paraId="633C4072" w14:textId="77777777" w:rsidR="00000000" w:rsidRDefault="00EB4933">
            <w:pPr>
              <w:pStyle w:val="NormalWeb"/>
              <w:spacing w:before="0" w:beforeAutospacing="0" w:after="0" w:afterAutospacing="0"/>
              <w:rPr>
                <w:sz w:val="20"/>
                <w:szCs w:val="20"/>
              </w:rPr>
            </w:pPr>
            <w:r>
              <w:rPr>
                <w:sz w:val="20"/>
                <w:szCs w:val="20"/>
              </w:rPr>
              <w:t xml:space="preserve">8. </w:t>
            </w:r>
          </w:p>
        </w:tc>
        <w:tc>
          <w:tcPr>
            <w:tcW w:w="0" w:type="auto"/>
            <w:hideMark/>
          </w:tcPr>
          <w:p w14:paraId="19814C54" w14:textId="77777777" w:rsidR="00000000" w:rsidRDefault="00EB4933">
            <w:pPr>
              <w:pStyle w:val="NormalWeb"/>
              <w:spacing w:before="0" w:beforeAutospacing="0" w:after="0" w:afterAutospacing="0"/>
              <w:jc w:val="both"/>
              <w:rPr>
                <w:sz w:val="20"/>
                <w:szCs w:val="20"/>
              </w:rPr>
            </w:pPr>
            <w:r>
              <w:rPr>
                <w:sz w:val="20"/>
                <w:szCs w:val="20"/>
              </w:rPr>
              <w:t>The Group classified loan receivables in cash flow from investing activities as originated loan disbursement and repayments of loans from customers. However, since the Group’s principal business act</w:t>
            </w:r>
            <w:r>
              <w:rPr>
                <w:sz w:val="20"/>
                <w:szCs w:val="20"/>
              </w:rPr>
              <w:t xml:space="preserve">ivities is to provide loan to customers to earn interest income, such activities should be considered as operating activities. As a result, cash flows generated by operating activities was overstated by RMB121,040,000 and RMB213,138,000 for the year ended </w:t>
            </w:r>
            <w:r>
              <w:rPr>
                <w:sz w:val="20"/>
                <w:szCs w:val="20"/>
              </w:rPr>
              <w:t>December 31, 2017 and 2016, respectively. While cash flows used in investing activities was overstated by RMB121,040,000 and RMB213,138,000 for the year ended December 31, 2017 and 2016, respectively.</w:t>
            </w:r>
          </w:p>
        </w:tc>
      </w:tr>
      <w:tr w:rsidR="00000000" w14:paraId="193574F0" w14:textId="77777777">
        <w:trPr>
          <w:divId w:val="98525094"/>
          <w:trHeight w:val="225"/>
          <w:tblCellSpacing w:w="15" w:type="dxa"/>
        </w:trPr>
        <w:tc>
          <w:tcPr>
            <w:tcW w:w="0" w:type="auto"/>
            <w:vAlign w:val="center"/>
            <w:hideMark/>
          </w:tcPr>
          <w:p w14:paraId="655D217C"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40DA7E8B" w14:textId="77777777" w:rsidR="00000000" w:rsidRDefault="00EB4933">
            <w:pPr>
              <w:pStyle w:val="NormalWeb"/>
              <w:spacing w:before="0" w:beforeAutospacing="0" w:after="0" w:afterAutospacing="0"/>
              <w:rPr>
                <w:sz w:val="20"/>
                <w:szCs w:val="20"/>
              </w:rPr>
            </w:pPr>
            <w:r>
              <w:rPr>
                <w:sz w:val="20"/>
                <w:szCs w:val="20"/>
              </w:rPr>
              <w:t> </w:t>
            </w:r>
          </w:p>
        </w:tc>
      </w:tr>
      <w:tr w:rsidR="00000000" w14:paraId="1C6032E8" w14:textId="77777777">
        <w:trPr>
          <w:divId w:val="98525094"/>
          <w:trHeight w:val="225"/>
          <w:tblCellSpacing w:w="15" w:type="dxa"/>
        </w:trPr>
        <w:tc>
          <w:tcPr>
            <w:tcW w:w="0" w:type="auto"/>
            <w:hideMark/>
          </w:tcPr>
          <w:p w14:paraId="32D3D7E1" w14:textId="77777777" w:rsidR="00000000" w:rsidRDefault="00EB4933">
            <w:pPr>
              <w:pStyle w:val="NormalWeb"/>
              <w:spacing w:before="0" w:beforeAutospacing="0" w:after="0" w:afterAutospacing="0"/>
              <w:rPr>
                <w:sz w:val="20"/>
                <w:szCs w:val="20"/>
              </w:rPr>
            </w:pPr>
            <w:r>
              <w:rPr>
                <w:sz w:val="20"/>
                <w:szCs w:val="20"/>
              </w:rPr>
              <w:t xml:space="preserve">9. </w:t>
            </w:r>
          </w:p>
        </w:tc>
        <w:tc>
          <w:tcPr>
            <w:tcW w:w="0" w:type="auto"/>
            <w:hideMark/>
          </w:tcPr>
          <w:p w14:paraId="040DB187" w14:textId="77777777" w:rsidR="00000000" w:rsidRDefault="00EB4933">
            <w:pPr>
              <w:pStyle w:val="NormalWeb"/>
              <w:spacing w:before="0" w:beforeAutospacing="0" w:after="0" w:afterAutospacing="0"/>
              <w:jc w:val="both"/>
              <w:rPr>
                <w:sz w:val="20"/>
                <w:szCs w:val="20"/>
              </w:rPr>
            </w:pPr>
            <w:r>
              <w:rPr>
                <w:sz w:val="20"/>
                <w:szCs w:val="20"/>
              </w:rPr>
              <w:t>The Group understated proceeds received from shareholders’ loans by RMB38,600,000 and repayment of shareholders’ loans by RMB38,600,000 for the year ended December 31, 2017. The net result of both items was nil. There was no impact to the net cash generate</w:t>
            </w:r>
            <w:r>
              <w:rPr>
                <w:sz w:val="20"/>
                <w:szCs w:val="20"/>
              </w:rPr>
              <w:t xml:space="preserve">d by financing activities. </w:t>
            </w:r>
          </w:p>
        </w:tc>
      </w:tr>
      <w:tr w:rsidR="00000000" w14:paraId="61E545E1" w14:textId="77777777">
        <w:trPr>
          <w:divId w:val="98525094"/>
          <w:trHeight w:val="225"/>
          <w:tblCellSpacing w:w="15" w:type="dxa"/>
        </w:trPr>
        <w:tc>
          <w:tcPr>
            <w:tcW w:w="0" w:type="auto"/>
            <w:vAlign w:val="center"/>
            <w:hideMark/>
          </w:tcPr>
          <w:p w14:paraId="318D9DDD" w14:textId="77777777" w:rsidR="00000000" w:rsidRDefault="00EB4933">
            <w:pPr>
              <w:pStyle w:val="NormalWeb"/>
              <w:spacing w:before="0" w:beforeAutospacing="0" w:after="0" w:afterAutospacing="0"/>
              <w:ind w:firstLine="450"/>
              <w:rPr>
                <w:sz w:val="20"/>
                <w:szCs w:val="20"/>
              </w:rPr>
            </w:pPr>
            <w:r>
              <w:rPr>
                <w:sz w:val="20"/>
                <w:szCs w:val="20"/>
              </w:rPr>
              <w:t> </w:t>
            </w:r>
          </w:p>
        </w:tc>
        <w:tc>
          <w:tcPr>
            <w:tcW w:w="0" w:type="auto"/>
            <w:vAlign w:val="center"/>
            <w:hideMark/>
          </w:tcPr>
          <w:p w14:paraId="20EDE7E0" w14:textId="77777777" w:rsidR="00000000" w:rsidRDefault="00EB4933">
            <w:pPr>
              <w:pStyle w:val="NormalWeb"/>
              <w:spacing w:before="0" w:beforeAutospacing="0" w:after="0" w:afterAutospacing="0"/>
              <w:rPr>
                <w:sz w:val="20"/>
                <w:szCs w:val="20"/>
              </w:rPr>
            </w:pPr>
            <w:r>
              <w:rPr>
                <w:sz w:val="20"/>
                <w:szCs w:val="20"/>
              </w:rPr>
              <w:t> </w:t>
            </w:r>
          </w:p>
        </w:tc>
      </w:tr>
      <w:tr w:rsidR="00000000" w14:paraId="3F5B9679" w14:textId="77777777">
        <w:trPr>
          <w:divId w:val="98525094"/>
          <w:trHeight w:val="225"/>
          <w:tblCellSpacing w:w="15" w:type="dxa"/>
        </w:trPr>
        <w:tc>
          <w:tcPr>
            <w:tcW w:w="0" w:type="auto"/>
            <w:hideMark/>
          </w:tcPr>
          <w:p w14:paraId="33B6A9D9" w14:textId="77777777" w:rsidR="00000000" w:rsidRDefault="00EB4933">
            <w:pPr>
              <w:pStyle w:val="NormalWeb"/>
              <w:spacing w:before="0" w:beforeAutospacing="0" w:after="0" w:afterAutospacing="0"/>
              <w:rPr>
                <w:sz w:val="20"/>
                <w:szCs w:val="20"/>
              </w:rPr>
            </w:pPr>
            <w:r>
              <w:rPr>
                <w:sz w:val="20"/>
                <w:szCs w:val="20"/>
              </w:rPr>
              <w:lastRenderedPageBreak/>
              <w:t xml:space="preserve">10. </w:t>
            </w:r>
          </w:p>
        </w:tc>
        <w:tc>
          <w:tcPr>
            <w:tcW w:w="0" w:type="auto"/>
            <w:hideMark/>
          </w:tcPr>
          <w:p w14:paraId="019EACE6" w14:textId="77777777" w:rsidR="00000000" w:rsidRDefault="00EB4933">
            <w:pPr>
              <w:pStyle w:val="NormalWeb"/>
              <w:spacing w:before="0" w:beforeAutospacing="0" w:after="0" w:afterAutospacing="0"/>
              <w:jc w:val="both"/>
              <w:rPr>
                <w:sz w:val="20"/>
                <w:szCs w:val="20"/>
              </w:rPr>
            </w:pPr>
            <w:r>
              <w:rPr>
                <w:sz w:val="20"/>
                <w:szCs w:val="20"/>
              </w:rPr>
              <w:t>The Group understated proceeds received from shareholders’ loans by RMB48,000,000 and repayments of shareholders’ loans by RMB58,000,000 for the year ended December 31, 2016. There was no impact to the net cash genera</w:t>
            </w:r>
            <w:r>
              <w:rPr>
                <w:sz w:val="20"/>
                <w:szCs w:val="20"/>
              </w:rPr>
              <w:t>ted by financing activities</w:t>
            </w:r>
          </w:p>
        </w:tc>
      </w:tr>
    </w:tbl>
    <w:p w14:paraId="37A86C29"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34A3BC8" w14:textId="77777777" w:rsidR="00000000" w:rsidRDefault="00EB4933">
      <w:pPr>
        <w:pStyle w:val="NormalWeb"/>
        <w:spacing w:before="0" w:beforeAutospacing="0" w:after="0" w:afterAutospacing="0"/>
        <w:jc w:val="both"/>
        <w:divId w:val="98525094"/>
        <w:rPr>
          <w:sz w:val="20"/>
          <w:szCs w:val="20"/>
        </w:rPr>
      </w:pPr>
      <w:r>
        <w:rPr>
          <w:sz w:val="20"/>
          <w:szCs w:val="20"/>
        </w:rPr>
        <w:t>As a result, the financial statements for 2017 have been restated as follows:</w:t>
      </w:r>
    </w:p>
    <w:p w14:paraId="61E44E28"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BA3A41C" w14:textId="77777777">
        <w:trPr>
          <w:divId w:val="98525094"/>
          <w:trHeight w:val="225"/>
          <w:tblCellSpacing w:w="15" w:type="dxa"/>
        </w:trPr>
        <w:tc>
          <w:tcPr>
            <w:tcW w:w="0" w:type="auto"/>
            <w:vAlign w:val="center"/>
            <w:hideMark/>
          </w:tcPr>
          <w:p w14:paraId="0E9740F5" w14:textId="77777777" w:rsidR="00000000" w:rsidRDefault="00EB4933">
            <w:pPr>
              <w:rPr>
                <w:sz w:val="20"/>
                <w:szCs w:val="20"/>
              </w:rPr>
            </w:pPr>
          </w:p>
        </w:tc>
      </w:tr>
      <w:tr w:rsidR="00000000" w14:paraId="19960DBF" w14:textId="77777777">
        <w:trPr>
          <w:divId w:val="98525094"/>
          <w:trHeight w:val="225"/>
          <w:tblCellSpacing w:w="15" w:type="dxa"/>
        </w:trPr>
        <w:tc>
          <w:tcPr>
            <w:tcW w:w="0" w:type="auto"/>
            <w:tcBorders>
              <w:bottom w:val="single" w:sz="6" w:space="0" w:color="000000"/>
            </w:tcBorders>
            <w:vAlign w:val="center"/>
            <w:hideMark/>
          </w:tcPr>
          <w:p w14:paraId="2FDBAD59" w14:textId="77777777" w:rsidR="00000000" w:rsidRDefault="00EB4933">
            <w:pPr>
              <w:jc w:val="center"/>
              <w:rPr>
                <w:rFonts w:eastAsia="Times New Roman"/>
                <w:sz w:val="20"/>
                <w:szCs w:val="20"/>
              </w:rPr>
            </w:pPr>
            <w:r>
              <w:rPr>
                <w:rFonts w:eastAsia="Times New Roman"/>
                <w:sz w:val="20"/>
                <w:szCs w:val="20"/>
              </w:rPr>
              <w:t>A-1</w:t>
            </w:r>
          </w:p>
        </w:tc>
      </w:tr>
      <w:tr w:rsidR="00000000" w14:paraId="2C0277C1" w14:textId="77777777">
        <w:trPr>
          <w:divId w:val="98525094"/>
          <w:trHeight w:val="225"/>
          <w:tblCellSpacing w:w="15" w:type="dxa"/>
        </w:trPr>
        <w:tc>
          <w:tcPr>
            <w:tcW w:w="0" w:type="auto"/>
            <w:vAlign w:val="center"/>
            <w:hideMark/>
          </w:tcPr>
          <w:p w14:paraId="2C9A06C5" w14:textId="77777777" w:rsidR="00000000" w:rsidRDefault="00EB4933">
            <w:pPr>
              <w:rPr>
                <w:rFonts w:eastAsia="Times New Roman"/>
                <w:sz w:val="20"/>
                <w:szCs w:val="20"/>
              </w:rPr>
            </w:pPr>
          </w:p>
        </w:tc>
      </w:tr>
      <w:tr w:rsidR="00000000" w14:paraId="5155D121" w14:textId="77777777">
        <w:trPr>
          <w:divId w:val="98525094"/>
          <w:trHeight w:val="225"/>
          <w:tblCellSpacing w:w="15" w:type="dxa"/>
        </w:trPr>
        <w:tc>
          <w:tcPr>
            <w:tcW w:w="0" w:type="auto"/>
            <w:vAlign w:val="center"/>
            <w:hideMark/>
          </w:tcPr>
          <w:p w14:paraId="75B8E5D3" w14:textId="77777777" w:rsidR="00000000" w:rsidRDefault="00EB4933">
            <w:pPr>
              <w:rPr>
                <w:rFonts w:eastAsia="Times New Roman"/>
                <w:sz w:val="20"/>
                <w:szCs w:val="20"/>
              </w:rPr>
            </w:pPr>
          </w:p>
        </w:tc>
      </w:tr>
    </w:tbl>
    <w:p w14:paraId="6444B408"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3ABB76F7" w14:textId="77777777" w:rsidR="00000000" w:rsidRDefault="00EB4933">
      <w:pPr>
        <w:pStyle w:val="NormalWeb"/>
        <w:spacing w:before="0" w:beforeAutospacing="0" w:after="0" w:afterAutospacing="0"/>
        <w:jc w:val="right"/>
        <w:divId w:val="98525094"/>
        <w:rPr>
          <w:sz w:val="20"/>
          <w:szCs w:val="20"/>
        </w:rPr>
      </w:pPr>
      <w:r>
        <w:rPr>
          <w:sz w:val="20"/>
          <w:szCs w:val="20"/>
          <w:u w:val="single"/>
        </w:rPr>
        <w:t>Appendix 1</w:t>
      </w:r>
      <w:r>
        <w:rPr>
          <w:sz w:val="20"/>
          <w:szCs w:val="20"/>
        </w:rPr>
        <w:t xml:space="preserve"> (Cont’d)</w:t>
      </w:r>
    </w:p>
    <w:p w14:paraId="44CFB653" w14:textId="77777777" w:rsidR="00000000" w:rsidRDefault="00EB4933">
      <w:pPr>
        <w:pStyle w:val="NormalWeb"/>
        <w:spacing w:before="0" w:beforeAutospacing="0" w:after="0" w:afterAutospacing="0"/>
        <w:jc w:val="center"/>
        <w:divId w:val="98525094"/>
        <w:rPr>
          <w:sz w:val="20"/>
          <w:szCs w:val="20"/>
        </w:rPr>
      </w:pPr>
      <w:r>
        <w:rPr>
          <w:sz w:val="20"/>
          <w:szCs w:val="20"/>
        </w:rPr>
        <w:t> </w:t>
      </w:r>
    </w:p>
    <w:p w14:paraId="6F926AC3"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CONSOLIDATED STATEMENTS OF PROFIT AND OTHER COMPREHENSIVE INCOME</w:t>
      </w:r>
    </w:p>
    <w:p w14:paraId="5F16A829"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(Expressed in Thousands of Chinese Renminbi Yuan, except share and per share amounts)</w:t>
      </w:r>
    </w:p>
    <w:p w14:paraId="033E0756" w14:textId="77777777" w:rsidR="00000000" w:rsidRDefault="00EB4933">
      <w:pPr>
        <w:pStyle w:val="NormalWeb"/>
        <w:spacing w:before="0" w:beforeAutospacing="0" w:after="0" w:afterAutospacing="0"/>
        <w:jc w:val="both"/>
        <w:divId w:val="98525094"/>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5437"/>
        <w:gridCol w:w="90"/>
        <w:gridCol w:w="90"/>
        <w:gridCol w:w="1030"/>
        <w:gridCol w:w="97"/>
        <w:gridCol w:w="84"/>
        <w:gridCol w:w="136"/>
        <w:gridCol w:w="983"/>
        <w:gridCol w:w="97"/>
        <w:gridCol w:w="84"/>
        <w:gridCol w:w="90"/>
        <w:gridCol w:w="1030"/>
        <w:gridCol w:w="112"/>
      </w:tblGrid>
      <w:tr w:rsidR="00000000" w14:paraId="2B6E955B" w14:textId="77777777">
        <w:trPr>
          <w:divId w:val="98525094"/>
          <w:trHeight w:val="225"/>
          <w:tblCellSpacing w:w="15" w:type="dxa"/>
        </w:trPr>
        <w:tc>
          <w:tcPr>
            <w:tcW w:w="0" w:type="auto"/>
            <w:vAlign w:val="center"/>
            <w:hideMark/>
          </w:tcPr>
          <w:p w14:paraId="7DAC2AEE"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0F7F19C"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52FCD5E5" w14:textId="77777777" w:rsidR="00000000" w:rsidRDefault="00EB4933">
            <w:pPr>
              <w:pStyle w:val="NormalWeb"/>
              <w:spacing w:before="0" w:beforeAutospacing="0" w:after="0" w:afterAutospacing="0"/>
              <w:jc w:val="center"/>
              <w:rPr>
                <w:sz w:val="20"/>
                <w:szCs w:val="20"/>
              </w:rPr>
            </w:pPr>
            <w:r>
              <w:rPr>
                <w:rStyle w:val="Strong"/>
                <w:sz w:val="20"/>
                <w:szCs w:val="20"/>
              </w:rPr>
              <w:t xml:space="preserve">As previously </w:t>
            </w:r>
          </w:p>
          <w:p w14:paraId="48A6A56E" w14:textId="77777777" w:rsidR="00000000" w:rsidRDefault="00EB4933">
            <w:pPr>
              <w:pStyle w:val="NormalWeb"/>
              <w:spacing w:before="0" w:beforeAutospacing="0" w:after="0" w:afterAutospacing="0"/>
              <w:jc w:val="center"/>
              <w:rPr>
                <w:sz w:val="20"/>
                <w:szCs w:val="20"/>
              </w:rPr>
            </w:pPr>
            <w:r>
              <w:rPr>
                <w:rStyle w:val="Strong"/>
                <w:sz w:val="20"/>
                <w:szCs w:val="20"/>
              </w:rPr>
              <w:t>reported</w:t>
            </w:r>
          </w:p>
        </w:tc>
        <w:tc>
          <w:tcPr>
            <w:tcW w:w="0" w:type="auto"/>
            <w:noWrap/>
            <w:vAlign w:val="center"/>
            <w:hideMark/>
          </w:tcPr>
          <w:p w14:paraId="3C2554BD"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F30A01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077A6C7F" w14:textId="77777777" w:rsidR="00000000" w:rsidRDefault="00EB4933">
            <w:pPr>
              <w:rPr>
                <w:sz w:val="20"/>
                <w:szCs w:val="20"/>
              </w:rPr>
            </w:pPr>
          </w:p>
        </w:tc>
        <w:tc>
          <w:tcPr>
            <w:tcW w:w="0" w:type="auto"/>
            <w:noWrap/>
            <w:vAlign w:val="center"/>
            <w:hideMark/>
          </w:tcPr>
          <w:p w14:paraId="7EA10B64"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33EF19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20C6136E" w14:textId="77777777" w:rsidR="00000000" w:rsidRDefault="00EB4933">
            <w:pPr>
              <w:pStyle w:val="NormalWeb"/>
              <w:spacing w:before="0" w:beforeAutospacing="0" w:after="0" w:afterAutospacing="0"/>
              <w:jc w:val="center"/>
              <w:rPr>
                <w:sz w:val="20"/>
                <w:szCs w:val="20"/>
              </w:rPr>
            </w:pPr>
            <w:r>
              <w:rPr>
                <w:rStyle w:val="Strong"/>
                <w:sz w:val="20"/>
                <w:szCs w:val="20"/>
              </w:rPr>
              <w:t xml:space="preserve">As currently </w:t>
            </w:r>
          </w:p>
          <w:p w14:paraId="69E42EF0" w14:textId="77777777" w:rsidR="00000000" w:rsidRDefault="00EB4933">
            <w:pPr>
              <w:pStyle w:val="NormalWeb"/>
              <w:spacing w:before="0" w:beforeAutospacing="0" w:after="0" w:afterAutospacing="0"/>
              <w:jc w:val="center"/>
              <w:rPr>
                <w:sz w:val="20"/>
                <w:szCs w:val="20"/>
              </w:rPr>
            </w:pPr>
            <w:r>
              <w:rPr>
                <w:rStyle w:val="Strong"/>
                <w:sz w:val="20"/>
                <w:szCs w:val="20"/>
              </w:rPr>
              <w:t>reported</w:t>
            </w:r>
          </w:p>
        </w:tc>
        <w:tc>
          <w:tcPr>
            <w:tcW w:w="0" w:type="auto"/>
            <w:noWrap/>
            <w:vAlign w:val="center"/>
            <w:hideMark/>
          </w:tcPr>
          <w:p w14:paraId="71E9A512" w14:textId="77777777" w:rsidR="00000000" w:rsidRDefault="00EB4933">
            <w:pPr>
              <w:pStyle w:val="NormalWeb"/>
              <w:spacing w:before="0" w:beforeAutospacing="0" w:after="0" w:afterAutospacing="0"/>
              <w:rPr>
                <w:sz w:val="20"/>
                <w:szCs w:val="20"/>
              </w:rPr>
            </w:pPr>
            <w:r>
              <w:rPr>
                <w:sz w:val="20"/>
                <w:szCs w:val="20"/>
              </w:rPr>
              <w:t> </w:t>
            </w:r>
          </w:p>
        </w:tc>
      </w:tr>
      <w:tr w:rsidR="00000000" w14:paraId="2186140E" w14:textId="77777777">
        <w:trPr>
          <w:divId w:val="98525094"/>
          <w:trHeight w:val="225"/>
          <w:tblCellSpacing w:w="15" w:type="dxa"/>
        </w:trPr>
        <w:tc>
          <w:tcPr>
            <w:tcW w:w="0" w:type="auto"/>
            <w:vAlign w:val="center"/>
            <w:hideMark/>
          </w:tcPr>
          <w:p w14:paraId="4C649A9A"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A8BD7E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71E72145" w14:textId="77777777" w:rsidR="00000000" w:rsidRDefault="00EB4933">
            <w:pPr>
              <w:pStyle w:val="NormalWeb"/>
              <w:spacing w:before="0" w:beforeAutospacing="0" w:after="0" w:afterAutospacing="0"/>
              <w:jc w:val="center"/>
              <w:rPr>
                <w:sz w:val="20"/>
                <w:szCs w:val="20"/>
              </w:rPr>
            </w:pPr>
            <w:r>
              <w:rPr>
                <w:rStyle w:val="Strong"/>
                <w:sz w:val="20"/>
                <w:szCs w:val="20"/>
              </w:rPr>
              <w:t>2017</w:t>
            </w:r>
          </w:p>
        </w:tc>
        <w:tc>
          <w:tcPr>
            <w:tcW w:w="0" w:type="auto"/>
            <w:noWrap/>
            <w:tcMar>
              <w:top w:w="0" w:type="dxa"/>
              <w:left w:w="0" w:type="dxa"/>
              <w:bottom w:w="15" w:type="dxa"/>
              <w:right w:w="0" w:type="dxa"/>
            </w:tcMar>
            <w:vAlign w:val="center"/>
            <w:hideMark/>
          </w:tcPr>
          <w:p w14:paraId="4AF4382C"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61BBD3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41378B0D" w14:textId="77777777" w:rsidR="00000000" w:rsidRDefault="00EB4933">
            <w:pPr>
              <w:pStyle w:val="NormalWeb"/>
              <w:spacing w:before="0" w:beforeAutospacing="0" w:after="0" w:afterAutospacing="0"/>
              <w:jc w:val="center"/>
              <w:rPr>
                <w:sz w:val="20"/>
                <w:szCs w:val="20"/>
              </w:rPr>
            </w:pPr>
            <w:r>
              <w:rPr>
                <w:rStyle w:val="Strong"/>
                <w:sz w:val="20"/>
                <w:szCs w:val="20"/>
              </w:rPr>
              <w:t>Adjustments</w:t>
            </w:r>
          </w:p>
        </w:tc>
        <w:tc>
          <w:tcPr>
            <w:tcW w:w="0" w:type="auto"/>
            <w:noWrap/>
            <w:tcMar>
              <w:top w:w="0" w:type="dxa"/>
              <w:left w:w="0" w:type="dxa"/>
              <w:bottom w:w="15" w:type="dxa"/>
              <w:right w:w="0" w:type="dxa"/>
            </w:tcMar>
            <w:vAlign w:val="center"/>
            <w:hideMark/>
          </w:tcPr>
          <w:p w14:paraId="0ADE4CEA"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D3962A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6D8AA2F7" w14:textId="77777777" w:rsidR="00000000" w:rsidRDefault="00EB4933">
            <w:pPr>
              <w:pStyle w:val="NormalWeb"/>
              <w:spacing w:before="0" w:beforeAutospacing="0" w:after="0" w:afterAutospacing="0"/>
              <w:jc w:val="center"/>
              <w:rPr>
                <w:sz w:val="20"/>
                <w:szCs w:val="20"/>
              </w:rPr>
            </w:pPr>
            <w:r>
              <w:rPr>
                <w:rStyle w:val="Strong"/>
                <w:sz w:val="20"/>
                <w:szCs w:val="20"/>
              </w:rPr>
              <w:t>2017</w:t>
            </w:r>
          </w:p>
        </w:tc>
        <w:tc>
          <w:tcPr>
            <w:tcW w:w="0" w:type="auto"/>
            <w:noWrap/>
            <w:tcMar>
              <w:top w:w="0" w:type="dxa"/>
              <w:left w:w="0" w:type="dxa"/>
              <w:bottom w:w="15" w:type="dxa"/>
              <w:right w:w="0" w:type="dxa"/>
            </w:tcMar>
            <w:vAlign w:val="center"/>
            <w:hideMark/>
          </w:tcPr>
          <w:p w14:paraId="7A9AD90F" w14:textId="77777777" w:rsidR="00000000" w:rsidRDefault="00EB4933">
            <w:pPr>
              <w:pStyle w:val="NormalWeb"/>
              <w:spacing w:before="0" w:beforeAutospacing="0" w:after="0" w:afterAutospacing="0"/>
              <w:rPr>
                <w:sz w:val="20"/>
                <w:szCs w:val="20"/>
              </w:rPr>
            </w:pPr>
            <w:r>
              <w:rPr>
                <w:sz w:val="20"/>
                <w:szCs w:val="20"/>
              </w:rPr>
              <w:t> </w:t>
            </w:r>
          </w:p>
        </w:tc>
      </w:tr>
      <w:tr w:rsidR="00000000" w14:paraId="6C8313DD" w14:textId="77777777">
        <w:trPr>
          <w:divId w:val="98525094"/>
          <w:trHeight w:val="225"/>
          <w:tblCellSpacing w:w="15" w:type="dxa"/>
        </w:trPr>
        <w:tc>
          <w:tcPr>
            <w:tcW w:w="0" w:type="auto"/>
            <w:shd w:val="clear" w:color="auto" w:fill="CCEEFF"/>
            <w:hideMark/>
          </w:tcPr>
          <w:p w14:paraId="2FBC1D73" w14:textId="77777777" w:rsidR="00000000" w:rsidRDefault="00EB4933">
            <w:pPr>
              <w:pStyle w:val="NormalWeb"/>
              <w:spacing w:before="0" w:beforeAutospacing="0" w:after="0" w:afterAutospacing="0"/>
              <w:rPr>
                <w:sz w:val="20"/>
                <w:szCs w:val="20"/>
              </w:rPr>
            </w:pPr>
            <w:r>
              <w:rPr>
                <w:sz w:val="20"/>
                <w:szCs w:val="20"/>
              </w:rPr>
              <w:t>Interest income</w:t>
            </w:r>
          </w:p>
        </w:tc>
        <w:tc>
          <w:tcPr>
            <w:tcW w:w="50" w:type="pct"/>
            <w:shd w:val="clear" w:color="auto" w:fill="CCEEFF"/>
            <w:noWrap/>
            <w:vAlign w:val="center"/>
            <w:hideMark/>
          </w:tcPr>
          <w:p w14:paraId="5EC29FB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77032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FBFF14A" w14:textId="77777777" w:rsidR="00000000" w:rsidRDefault="00EB4933">
            <w:pPr>
              <w:jc w:val="right"/>
              <w:rPr>
                <w:rFonts w:eastAsia="Times New Roman"/>
                <w:sz w:val="20"/>
                <w:szCs w:val="20"/>
              </w:rPr>
            </w:pPr>
            <w:r>
              <w:rPr>
                <w:rFonts w:eastAsia="Times New Roman"/>
                <w:sz w:val="20"/>
                <w:szCs w:val="20"/>
              </w:rPr>
              <w:t>119,639</w:t>
            </w:r>
          </w:p>
        </w:tc>
        <w:tc>
          <w:tcPr>
            <w:tcW w:w="50" w:type="pct"/>
            <w:shd w:val="clear" w:color="auto" w:fill="CCEEFF"/>
            <w:noWrap/>
            <w:vAlign w:val="center"/>
            <w:hideMark/>
          </w:tcPr>
          <w:p w14:paraId="119877B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35FE3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66C0E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40227FF"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1C5143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A54CC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7E92F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2D88ACE" w14:textId="77777777" w:rsidR="00000000" w:rsidRDefault="00EB4933">
            <w:pPr>
              <w:jc w:val="right"/>
              <w:rPr>
                <w:rFonts w:eastAsia="Times New Roman"/>
                <w:sz w:val="20"/>
                <w:szCs w:val="20"/>
              </w:rPr>
            </w:pPr>
            <w:r>
              <w:rPr>
                <w:rFonts w:eastAsia="Times New Roman"/>
                <w:sz w:val="20"/>
                <w:szCs w:val="20"/>
              </w:rPr>
              <w:t>119,639</w:t>
            </w:r>
          </w:p>
        </w:tc>
        <w:tc>
          <w:tcPr>
            <w:tcW w:w="50" w:type="pct"/>
            <w:shd w:val="clear" w:color="auto" w:fill="CCEEFF"/>
            <w:noWrap/>
            <w:vAlign w:val="center"/>
            <w:hideMark/>
          </w:tcPr>
          <w:p w14:paraId="2851FDD1" w14:textId="77777777" w:rsidR="00000000" w:rsidRDefault="00EB4933">
            <w:pPr>
              <w:pStyle w:val="NormalWeb"/>
              <w:spacing w:before="0" w:beforeAutospacing="0" w:after="0" w:afterAutospacing="0"/>
              <w:rPr>
                <w:sz w:val="20"/>
                <w:szCs w:val="20"/>
              </w:rPr>
            </w:pPr>
            <w:r>
              <w:rPr>
                <w:sz w:val="20"/>
                <w:szCs w:val="20"/>
              </w:rPr>
              <w:t> </w:t>
            </w:r>
          </w:p>
        </w:tc>
      </w:tr>
      <w:tr w:rsidR="00000000" w14:paraId="5574823C" w14:textId="77777777">
        <w:trPr>
          <w:divId w:val="98525094"/>
          <w:trHeight w:val="225"/>
          <w:tblCellSpacing w:w="15" w:type="dxa"/>
        </w:trPr>
        <w:tc>
          <w:tcPr>
            <w:tcW w:w="0" w:type="auto"/>
            <w:shd w:val="clear" w:color="auto" w:fill="FFFFFF"/>
            <w:vAlign w:val="center"/>
            <w:hideMark/>
          </w:tcPr>
          <w:p w14:paraId="7B9DF66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03983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F3C0D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C38BA0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44E5C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2ECD5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89681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96B053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B3ADB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1B980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A3080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777A7B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6A1A01" w14:textId="77777777" w:rsidR="00000000" w:rsidRDefault="00EB4933">
            <w:pPr>
              <w:pStyle w:val="NormalWeb"/>
              <w:spacing w:before="0" w:beforeAutospacing="0" w:after="0" w:afterAutospacing="0"/>
              <w:rPr>
                <w:sz w:val="20"/>
                <w:szCs w:val="20"/>
              </w:rPr>
            </w:pPr>
            <w:r>
              <w:rPr>
                <w:sz w:val="20"/>
                <w:szCs w:val="20"/>
              </w:rPr>
              <w:t> </w:t>
            </w:r>
          </w:p>
        </w:tc>
      </w:tr>
      <w:tr w:rsidR="00000000" w14:paraId="38E4F42A" w14:textId="77777777">
        <w:trPr>
          <w:divId w:val="98525094"/>
          <w:trHeight w:val="225"/>
          <w:tblCellSpacing w:w="15" w:type="dxa"/>
        </w:trPr>
        <w:tc>
          <w:tcPr>
            <w:tcW w:w="0" w:type="auto"/>
            <w:shd w:val="clear" w:color="auto" w:fill="CCEEFF"/>
            <w:hideMark/>
          </w:tcPr>
          <w:p w14:paraId="71B52AE2" w14:textId="77777777" w:rsidR="00000000" w:rsidRDefault="00EB4933">
            <w:pPr>
              <w:pStyle w:val="NormalWeb"/>
              <w:spacing w:before="0" w:beforeAutospacing="0" w:after="0" w:afterAutospacing="0"/>
              <w:rPr>
                <w:sz w:val="20"/>
                <w:szCs w:val="20"/>
              </w:rPr>
            </w:pPr>
            <w:r>
              <w:rPr>
                <w:rStyle w:val="Strong"/>
                <w:sz w:val="20"/>
                <w:szCs w:val="20"/>
              </w:rPr>
              <w:t>Interest expense</w:t>
            </w:r>
          </w:p>
        </w:tc>
        <w:tc>
          <w:tcPr>
            <w:tcW w:w="50" w:type="pct"/>
            <w:shd w:val="clear" w:color="auto" w:fill="CCEEFF"/>
            <w:noWrap/>
            <w:vAlign w:val="center"/>
            <w:hideMark/>
          </w:tcPr>
          <w:p w14:paraId="4E3B204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53221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94F5FF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22370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A5609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76FC9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2C4D2C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D6A61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AF522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EF245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D5201C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1B5050" w14:textId="77777777" w:rsidR="00000000" w:rsidRDefault="00EB4933">
            <w:pPr>
              <w:pStyle w:val="NormalWeb"/>
              <w:spacing w:before="0" w:beforeAutospacing="0" w:after="0" w:afterAutospacing="0"/>
              <w:rPr>
                <w:sz w:val="20"/>
                <w:szCs w:val="20"/>
              </w:rPr>
            </w:pPr>
            <w:r>
              <w:rPr>
                <w:sz w:val="20"/>
                <w:szCs w:val="20"/>
              </w:rPr>
              <w:t> </w:t>
            </w:r>
          </w:p>
        </w:tc>
      </w:tr>
      <w:tr w:rsidR="00000000" w14:paraId="0C6E2773" w14:textId="77777777">
        <w:trPr>
          <w:divId w:val="98525094"/>
          <w:trHeight w:val="225"/>
          <w:tblCellSpacing w:w="15" w:type="dxa"/>
        </w:trPr>
        <w:tc>
          <w:tcPr>
            <w:tcW w:w="0" w:type="auto"/>
            <w:shd w:val="clear" w:color="auto" w:fill="FFFFFF"/>
            <w:hideMark/>
          </w:tcPr>
          <w:p w14:paraId="4277C6B3" w14:textId="77777777" w:rsidR="00000000" w:rsidRDefault="00EB4933">
            <w:pPr>
              <w:pStyle w:val="NormalWeb"/>
              <w:spacing w:before="0" w:beforeAutospacing="0" w:after="0" w:afterAutospacing="0"/>
              <w:rPr>
                <w:sz w:val="20"/>
                <w:szCs w:val="20"/>
              </w:rPr>
            </w:pPr>
            <w:r>
              <w:rPr>
                <w:sz w:val="20"/>
                <w:szCs w:val="20"/>
              </w:rPr>
              <w:t>Interest expenses (note 1)</w:t>
            </w:r>
          </w:p>
        </w:tc>
        <w:tc>
          <w:tcPr>
            <w:tcW w:w="50" w:type="pct"/>
            <w:shd w:val="clear" w:color="auto" w:fill="FFFFFF"/>
            <w:noWrap/>
            <w:vAlign w:val="center"/>
            <w:hideMark/>
          </w:tcPr>
          <w:p w14:paraId="080E99E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32AA0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9B0AA9A" w14:textId="77777777" w:rsidR="00000000" w:rsidRDefault="00EB4933">
            <w:pPr>
              <w:jc w:val="right"/>
              <w:rPr>
                <w:rFonts w:eastAsia="Times New Roman"/>
                <w:sz w:val="20"/>
                <w:szCs w:val="20"/>
              </w:rPr>
            </w:pPr>
            <w:r>
              <w:rPr>
                <w:rFonts w:eastAsia="Times New Roman"/>
                <w:sz w:val="20"/>
                <w:szCs w:val="20"/>
              </w:rPr>
              <w:t>(38,140</w:t>
            </w:r>
          </w:p>
        </w:tc>
        <w:tc>
          <w:tcPr>
            <w:tcW w:w="50" w:type="pct"/>
            <w:shd w:val="clear" w:color="auto" w:fill="FFFFFF"/>
            <w:noWrap/>
            <w:vAlign w:val="bottom"/>
            <w:hideMark/>
          </w:tcPr>
          <w:p w14:paraId="498D9F4D"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925202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4EF6C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05CC5EA" w14:textId="77777777" w:rsidR="00000000" w:rsidRDefault="00EB4933">
            <w:pPr>
              <w:jc w:val="right"/>
              <w:rPr>
                <w:rFonts w:eastAsia="Times New Roman"/>
                <w:sz w:val="20"/>
                <w:szCs w:val="20"/>
              </w:rPr>
            </w:pPr>
            <w:r>
              <w:rPr>
                <w:rFonts w:eastAsia="Times New Roman"/>
                <w:sz w:val="20"/>
                <w:szCs w:val="20"/>
              </w:rPr>
              <w:t>4,349</w:t>
            </w:r>
          </w:p>
        </w:tc>
        <w:tc>
          <w:tcPr>
            <w:tcW w:w="50" w:type="pct"/>
            <w:shd w:val="clear" w:color="auto" w:fill="FFFFFF"/>
            <w:noWrap/>
            <w:vAlign w:val="center"/>
            <w:hideMark/>
          </w:tcPr>
          <w:p w14:paraId="32219B9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5BDD2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3F27E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2EBD9B5" w14:textId="77777777" w:rsidR="00000000" w:rsidRDefault="00EB4933">
            <w:pPr>
              <w:jc w:val="right"/>
              <w:rPr>
                <w:rFonts w:eastAsia="Times New Roman"/>
                <w:sz w:val="20"/>
                <w:szCs w:val="20"/>
              </w:rPr>
            </w:pPr>
            <w:r>
              <w:rPr>
                <w:rFonts w:eastAsia="Times New Roman"/>
                <w:sz w:val="20"/>
                <w:szCs w:val="20"/>
              </w:rPr>
              <w:t>(33,791</w:t>
            </w:r>
          </w:p>
        </w:tc>
        <w:tc>
          <w:tcPr>
            <w:tcW w:w="50" w:type="pct"/>
            <w:shd w:val="clear" w:color="auto" w:fill="FFFFFF"/>
            <w:noWrap/>
            <w:vAlign w:val="bottom"/>
            <w:hideMark/>
          </w:tcPr>
          <w:p w14:paraId="3D0BE572" w14:textId="77777777" w:rsidR="00000000" w:rsidRDefault="00EB4933">
            <w:pPr>
              <w:rPr>
                <w:rFonts w:eastAsia="Times New Roman"/>
                <w:sz w:val="20"/>
                <w:szCs w:val="20"/>
              </w:rPr>
            </w:pPr>
            <w:r>
              <w:rPr>
                <w:rFonts w:eastAsia="Times New Roman"/>
                <w:sz w:val="20"/>
                <w:szCs w:val="20"/>
              </w:rPr>
              <w:t>)</w:t>
            </w:r>
          </w:p>
        </w:tc>
      </w:tr>
      <w:tr w:rsidR="00000000" w14:paraId="6F43F433" w14:textId="77777777">
        <w:trPr>
          <w:divId w:val="98525094"/>
          <w:trHeight w:val="225"/>
          <w:tblCellSpacing w:w="15" w:type="dxa"/>
        </w:trPr>
        <w:tc>
          <w:tcPr>
            <w:tcW w:w="0" w:type="auto"/>
            <w:shd w:val="clear" w:color="auto" w:fill="CCEEFF"/>
            <w:hideMark/>
          </w:tcPr>
          <w:p w14:paraId="78EC22DE" w14:textId="77777777" w:rsidR="00000000" w:rsidRDefault="00EB4933">
            <w:pPr>
              <w:pStyle w:val="NormalWeb"/>
              <w:spacing w:before="0" w:beforeAutospacing="0" w:after="0" w:afterAutospacing="0"/>
              <w:rPr>
                <w:sz w:val="20"/>
                <w:szCs w:val="20"/>
              </w:rPr>
            </w:pPr>
            <w:r>
              <w:rPr>
                <w:sz w:val="20"/>
                <w:szCs w:val="20"/>
              </w:rPr>
              <w:t>Business related taxes and surcharges</w:t>
            </w:r>
          </w:p>
        </w:tc>
        <w:tc>
          <w:tcPr>
            <w:tcW w:w="50" w:type="pct"/>
            <w:shd w:val="clear" w:color="auto" w:fill="CCEEFF"/>
            <w:noWrap/>
            <w:vAlign w:val="center"/>
            <w:hideMark/>
          </w:tcPr>
          <w:p w14:paraId="1602926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BB7B86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22A6E0F" w14:textId="77777777" w:rsidR="00000000" w:rsidRDefault="00EB4933">
            <w:pPr>
              <w:jc w:val="right"/>
              <w:rPr>
                <w:rFonts w:eastAsia="Times New Roman"/>
                <w:sz w:val="20"/>
                <w:szCs w:val="20"/>
              </w:rPr>
            </w:pPr>
            <w:r>
              <w:rPr>
                <w:rFonts w:eastAsia="Times New Roman"/>
                <w:sz w:val="20"/>
                <w:szCs w:val="20"/>
              </w:rPr>
              <w:t>(674</w:t>
            </w:r>
          </w:p>
        </w:tc>
        <w:tc>
          <w:tcPr>
            <w:tcW w:w="50" w:type="pct"/>
            <w:shd w:val="clear" w:color="auto" w:fill="CCEEFF"/>
            <w:noWrap/>
            <w:tcMar>
              <w:top w:w="0" w:type="dxa"/>
              <w:left w:w="0" w:type="dxa"/>
              <w:bottom w:w="15" w:type="dxa"/>
              <w:right w:w="0" w:type="dxa"/>
            </w:tcMar>
            <w:vAlign w:val="bottom"/>
            <w:hideMark/>
          </w:tcPr>
          <w:p w14:paraId="40CD0E17"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5A25DA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0EE91B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B5954CE"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1D171A3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55460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46BA40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07F75B5" w14:textId="77777777" w:rsidR="00000000" w:rsidRDefault="00EB4933">
            <w:pPr>
              <w:jc w:val="right"/>
              <w:rPr>
                <w:rFonts w:eastAsia="Times New Roman"/>
                <w:sz w:val="20"/>
                <w:szCs w:val="20"/>
              </w:rPr>
            </w:pPr>
            <w:r>
              <w:rPr>
                <w:rFonts w:eastAsia="Times New Roman"/>
                <w:sz w:val="20"/>
                <w:szCs w:val="20"/>
              </w:rPr>
              <w:t>(674</w:t>
            </w:r>
          </w:p>
        </w:tc>
        <w:tc>
          <w:tcPr>
            <w:tcW w:w="50" w:type="pct"/>
            <w:shd w:val="clear" w:color="auto" w:fill="CCEEFF"/>
            <w:noWrap/>
            <w:tcMar>
              <w:top w:w="0" w:type="dxa"/>
              <w:left w:w="0" w:type="dxa"/>
              <w:bottom w:w="15" w:type="dxa"/>
              <w:right w:w="0" w:type="dxa"/>
            </w:tcMar>
            <w:vAlign w:val="bottom"/>
            <w:hideMark/>
          </w:tcPr>
          <w:p w14:paraId="74D37532" w14:textId="77777777" w:rsidR="00000000" w:rsidRDefault="00EB4933">
            <w:pPr>
              <w:rPr>
                <w:rFonts w:eastAsia="Times New Roman"/>
                <w:sz w:val="20"/>
                <w:szCs w:val="20"/>
              </w:rPr>
            </w:pPr>
            <w:r>
              <w:rPr>
                <w:rFonts w:eastAsia="Times New Roman"/>
                <w:sz w:val="20"/>
                <w:szCs w:val="20"/>
              </w:rPr>
              <w:t>)</w:t>
            </w:r>
          </w:p>
        </w:tc>
      </w:tr>
      <w:tr w:rsidR="00000000" w14:paraId="5438E992" w14:textId="77777777">
        <w:trPr>
          <w:divId w:val="98525094"/>
          <w:trHeight w:val="225"/>
          <w:tblCellSpacing w:w="15" w:type="dxa"/>
        </w:trPr>
        <w:tc>
          <w:tcPr>
            <w:tcW w:w="0" w:type="auto"/>
            <w:shd w:val="clear" w:color="auto" w:fill="FFFFFF"/>
            <w:hideMark/>
          </w:tcPr>
          <w:p w14:paraId="1CFC3E3E" w14:textId="77777777" w:rsidR="00000000" w:rsidRDefault="00EB4933">
            <w:pPr>
              <w:pStyle w:val="NormalWeb"/>
              <w:spacing w:before="0" w:beforeAutospacing="0" w:after="0" w:afterAutospacing="0"/>
              <w:rPr>
                <w:sz w:val="20"/>
                <w:szCs w:val="20"/>
              </w:rPr>
            </w:pPr>
            <w:r>
              <w:rPr>
                <w:sz w:val="20"/>
                <w:szCs w:val="20"/>
              </w:rPr>
              <w:t>Total interest expense</w:t>
            </w:r>
          </w:p>
        </w:tc>
        <w:tc>
          <w:tcPr>
            <w:tcW w:w="50" w:type="pct"/>
            <w:shd w:val="clear" w:color="auto" w:fill="FFFFFF"/>
            <w:noWrap/>
            <w:vAlign w:val="center"/>
            <w:hideMark/>
          </w:tcPr>
          <w:p w14:paraId="13EC91C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5A1ADD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6984CC1" w14:textId="77777777" w:rsidR="00000000" w:rsidRDefault="00EB4933">
            <w:pPr>
              <w:jc w:val="right"/>
              <w:rPr>
                <w:rFonts w:eastAsia="Times New Roman"/>
                <w:sz w:val="20"/>
                <w:szCs w:val="20"/>
              </w:rPr>
            </w:pPr>
            <w:r>
              <w:rPr>
                <w:rFonts w:eastAsia="Times New Roman"/>
                <w:sz w:val="20"/>
                <w:szCs w:val="20"/>
              </w:rPr>
              <w:t>(38,814</w:t>
            </w:r>
          </w:p>
        </w:tc>
        <w:tc>
          <w:tcPr>
            <w:tcW w:w="50" w:type="pct"/>
            <w:shd w:val="clear" w:color="auto" w:fill="FFFFFF"/>
            <w:noWrap/>
            <w:tcMar>
              <w:top w:w="0" w:type="dxa"/>
              <w:left w:w="0" w:type="dxa"/>
              <w:bottom w:w="15" w:type="dxa"/>
              <w:right w:w="0" w:type="dxa"/>
            </w:tcMar>
            <w:vAlign w:val="bottom"/>
            <w:hideMark/>
          </w:tcPr>
          <w:p w14:paraId="2BC574FC"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125BE7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008A9A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76258DE" w14:textId="77777777" w:rsidR="00000000" w:rsidRDefault="00EB4933">
            <w:pPr>
              <w:jc w:val="right"/>
              <w:rPr>
                <w:rFonts w:eastAsia="Times New Roman"/>
                <w:sz w:val="20"/>
                <w:szCs w:val="20"/>
              </w:rPr>
            </w:pPr>
            <w:r>
              <w:rPr>
                <w:rFonts w:eastAsia="Times New Roman"/>
                <w:sz w:val="20"/>
                <w:szCs w:val="20"/>
              </w:rPr>
              <w:t>4,349</w:t>
            </w:r>
          </w:p>
        </w:tc>
        <w:tc>
          <w:tcPr>
            <w:tcW w:w="50" w:type="pct"/>
            <w:shd w:val="clear" w:color="auto" w:fill="FFFFFF"/>
            <w:noWrap/>
            <w:tcMar>
              <w:top w:w="0" w:type="dxa"/>
              <w:left w:w="0" w:type="dxa"/>
              <w:bottom w:w="15" w:type="dxa"/>
              <w:right w:w="0" w:type="dxa"/>
            </w:tcMar>
            <w:vAlign w:val="center"/>
            <w:hideMark/>
          </w:tcPr>
          <w:p w14:paraId="72F822A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55362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40A804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1E914E3" w14:textId="77777777" w:rsidR="00000000" w:rsidRDefault="00EB4933">
            <w:pPr>
              <w:jc w:val="right"/>
              <w:rPr>
                <w:rFonts w:eastAsia="Times New Roman"/>
                <w:sz w:val="20"/>
                <w:szCs w:val="20"/>
              </w:rPr>
            </w:pPr>
            <w:r>
              <w:rPr>
                <w:rFonts w:eastAsia="Times New Roman"/>
                <w:sz w:val="20"/>
                <w:szCs w:val="20"/>
              </w:rPr>
              <w:t>(34,465</w:t>
            </w:r>
          </w:p>
        </w:tc>
        <w:tc>
          <w:tcPr>
            <w:tcW w:w="50" w:type="pct"/>
            <w:shd w:val="clear" w:color="auto" w:fill="FFFFFF"/>
            <w:noWrap/>
            <w:tcMar>
              <w:top w:w="0" w:type="dxa"/>
              <w:left w:w="0" w:type="dxa"/>
              <w:bottom w:w="15" w:type="dxa"/>
              <w:right w:w="0" w:type="dxa"/>
            </w:tcMar>
            <w:vAlign w:val="bottom"/>
            <w:hideMark/>
          </w:tcPr>
          <w:p w14:paraId="45D33F87" w14:textId="77777777" w:rsidR="00000000" w:rsidRDefault="00EB4933">
            <w:pPr>
              <w:rPr>
                <w:rFonts w:eastAsia="Times New Roman"/>
                <w:sz w:val="20"/>
                <w:szCs w:val="20"/>
              </w:rPr>
            </w:pPr>
            <w:r>
              <w:rPr>
                <w:rFonts w:eastAsia="Times New Roman"/>
                <w:sz w:val="20"/>
                <w:szCs w:val="20"/>
              </w:rPr>
              <w:t>)</w:t>
            </w:r>
          </w:p>
        </w:tc>
      </w:tr>
      <w:tr w:rsidR="00000000" w14:paraId="6F1A3AD6" w14:textId="77777777">
        <w:trPr>
          <w:divId w:val="98525094"/>
          <w:trHeight w:val="225"/>
          <w:tblCellSpacing w:w="15" w:type="dxa"/>
        </w:trPr>
        <w:tc>
          <w:tcPr>
            <w:tcW w:w="0" w:type="auto"/>
            <w:shd w:val="clear" w:color="auto" w:fill="CCEEFF"/>
            <w:vAlign w:val="center"/>
            <w:hideMark/>
          </w:tcPr>
          <w:p w14:paraId="2665637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A6063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48CC4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9D1ECB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737E1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B97FE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6C1C8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38E501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A24F8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D0CB9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1F8E3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49FA18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04B82C" w14:textId="77777777" w:rsidR="00000000" w:rsidRDefault="00EB4933">
            <w:pPr>
              <w:pStyle w:val="NormalWeb"/>
              <w:spacing w:before="0" w:beforeAutospacing="0" w:after="0" w:afterAutospacing="0"/>
              <w:rPr>
                <w:sz w:val="20"/>
                <w:szCs w:val="20"/>
              </w:rPr>
            </w:pPr>
            <w:r>
              <w:rPr>
                <w:sz w:val="20"/>
                <w:szCs w:val="20"/>
              </w:rPr>
              <w:t> </w:t>
            </w:r>
          </w:p>
        </w:tc>
      </w:tr>
      <w:tr w:rsidR="00000000" w14:paraId="2333B964" w14:textId="77777777">
        <w:trPr>
          <w:divId w:val="98525094"/>
          <w:trHeight w:val="225"/>
          <w:tblCellSpacing w:w="15" w:type="dxa"/>
        </w:trPr>
        <w:tc>
          <w:tcPr>
            <w:tcW w:w="0" w:type="auto"/>
            <w:shd w:val="clear" w:color="auto" w:fill="FFFFFF"/>
            <w:hideMark/>
          </w:tcPr>
          <w:p w14:paraId="5C500F30" w14:textId="77777777" w:rsidR="00000000" w:rsidRDefault="00EB4933">
            <w:pPr>
              <w:pStyle w:val="NormalWeb"/>
              <w:spacing w:before="0" w:beforeAutospacing="0" w:after="0" w:afterAutospacing="0"/>
              <w:rPr>
                <w:sz w:val="20"/>
                <w:szCs w:val="20"/>
              </w:rPr>
            </w:pPr>
            <w:r>
              <w:rPr>
                <w:rStyle w:val="Strong"/>
                <w:sz w:val="20"/>
                <w:szCs w:val="20"/>
              </w:rPr>
              <w:t>Net interest income</w:t>
            </w:r>
          </w:p>
        </w:tc>
        <w:tc>
          <w:tcPr>
            <w:tcW w:w="50" w:type="pct"/>
            <w:shd w:val="clear" w:color="auto" w:fill="FFFFFF"/>
            <w:noWrap/>
            <w:vAlign w:val="center"/>
            <w:hideMark/>
          </w:tcPr>
          <w:p w14:paraId="0663909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AD9BE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3430AF2" w14:textId="77777777" w:rsidR="00000000" w:rsidRDefault="00EB4933">
            <w:pPr>
              <w:jc w:val="right"/>
              <w:rPr>
                <w:rFonts w:eastAsia="Times New Roman"/>
                <w:sz w:val="20"/>
                <w:szCs w:val="20"/>
              </w:rPr>
            </w:pPr>
            <w:r>
              <w:rPr>
                <w:rFonts w:eastAsia="Times New Roman"/>
                <w:sz w:val="20"/>
                <w:szCs w:val="20"/>
              </w:rPr>
              <w:t>80,825</w:t>
            </w:r>
          </w:p>
        </w:tc>
        <w:tc>
          <w:tcPr>
            <w:tcW w:w="50" w:type="pct"/>
            <w:shd w:val="clear" w:color="auto" w:fill="FFFFFF"/>
            <w:noWrap/>
            <w:vAlign w:val="center"/>
            <w:hideMark/>
          </w:tcPr>
          <w:p w14:paraId="3E079C7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0A3DB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EDDCE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440AB2A"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FF33FE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E74C0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5B4F9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70A8CBB" w14:textId="77777777" w:rsidR="00000000" w:rsidRDefault="00EB4933">
            <w:pPr>
              <w:jc w:val="right"/>
              <w:rPr>
                <w:rFonts w:eastAsia="Times New Roman"/>
                <w:sz w:val="20"/>
                <w:szCs w:val="20"/>
              </w:rPr>
            </w:pPr>
            <w:r>
              <w:rPr>
                <w:rFonts w:eastAsia="Times New Roman"/>
                <w:sz w:val="20"/>
                <w:szCs w:val="20"/>
              </w:rPr>
              <w:t>85,174</w:t>
            </w:r>
          </w:p>
        </w:tc>
        <w:tc>
          <w:tcPr>
            <w:tcW w:w="50" w:type="pct"/>
            <w:shd w:val="clear" w:color="auto" w:fill="FFFFFF"/>
            <w:noWrap/>
            <w:vAlign w:val="center"/>
            <w:hideMark/>
          </w:tcPr>
          <w:p w14:paraId="4AC5D972" w14:textId="77777777" w:rsidR="00000000" w:rsidRDefault="00EB4933">
            <w:pPr>
              <w:pStyle w:val="NormalWeb"/>
              <w:spacing w:before="0" w:beforeAutospacing="0" w:after="0" w:afterAutospacing="0"/>
              <w:rPr>
                <w:sz w:val="20"/>
                <w:szCs w:val="20"/>
              </w:rPr>
            </w:pPr>
            <w:r>
              <w:rPr>
                <w:sz w:val="20"/>
                <w:szCs w:val="20"/>
              </w:rPr>
              <w:t> </w:t>
            </w:r>
          </w:p>
        </w:tc>
      </w:tr>
      <w:tr w:rsidR="00000000" w14:paraId="6347ED57" w14:textId="77777777">
        <w:trPr>
          <w:divId w:val="98525094"/>
          <w:trHeight w:val="225"/>
          <w:tblCellSpacing w:w="15" w:type="dxa"/>
        </w:trPr>
        <w:tc>
          <w:tcPr>
            <w:tcW w:w="0" w:type="auto"/>
            <w:shd w:val="clear" w:color="auto" w:fill="CCEEFF"/>
            <w:hideMark/>
          </w:tcPr>
          <w:p w14:paraId="125BF60A" w14:textId="77777777" w:rsidR="00000000" w:rsidRDefault="00EB4933">
            <w:pPr>
              <w:pStyle w:val="NormalWeb"/>
              <w:spacing w:before="0" w:beforeAutospacing="0" w:after="0" w:afterAutospacing="0"/>
              <w:rPr>
                <w:sz w:val="20"/>
                <w:szCs w:val="20"/>
              </w:rPr>
            </w:pPr>
            <w:r>
              <w:rPr>
                <w:sz w:val="20"/>
                <w:szCs w:val="20"/>
              </w:rPr>
              <w:t>Credit impairment losses</w:t>
            </w:r>
          </w:p>
        </w:tc>
        <w:tc>
          <w:tcPr>
            <w:tcW w:w="50" w:type="pct"/>
            <w:shd w:val="clear" w:color="auto" w:fill="CCEEFF"/>
            <w:noWrap/>
            <w:vAlign w:val="center"/>
            <w:hideMark/>
          </w:tcPr>
          <w:p w14:paraId="6CFAA6C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6DC6B7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113B256" w14:textId="77777777" w:rsidR="00000000" w:rsidRDefault="00EB4933">
            <w:pPr>
              <w:jc w:val="right"/>
              <w:rPr>
                <w:rFonts w:eastAsia="Times New Roman"/>
                <w:sz w:val="20"/>
                <w:szCs w:val="20"/>
              </w:rPr>
            </w:pPr>
            <w:r>
              <w:rPr>
                <w:rFonts w:eastAsia="Times New Roman"/>
                <w:sz w:val="20"/>
                <w:szCs w:val="20"/>
              </w:rPr>
              <w:t>(3,580</w:t>
            </w:r>
          </w:p>
        </w:tc>
        <w:tc>
          <w:tcPr>
            <w:tcW w:w="50" w:type="pct"/>
            <w:shd w:val="clear" w:color="auto" w:fill="CCEEFF"/>
            <w:noWrap/>
            <w:tcMar>
              <w:top w:w="0" w:type="dxa"/>
              <w:left w:w="0" w:type="dxa"/>
              <w:bottom w:w="15" w:type="dxa"/>
              <w:right w:w="0" w:type="dxa"/>
            </w:tcMar>
            <w:vAlign w:val="bottom"/>
            <w:hideMark/>
          </w:tcPr>
          <w:p w14:paraId="5BAD5B9E"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4A0961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FAAB41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2CBB7FD"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2C5E326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BFD2C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E0551A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D1AC3E4" w14:textId="77777777" w:rsidR="00000000" w:rsidRDefault="00EB4933">
            <w:pPr>
              <w:jc w:val="right"/>
              <w:rPr>
                <w:rFonts w:eastAsia="Times New Roman"/>
                <w:sz w:val="20"/>
                <w:szCs w:val="20"/>
              </w:rPr>
            </w:pPr>
            <w:r>
              <w:rPr>
                <w:rFonts w:eastAsia="Times New Roman"/>
                <w:sz w:val="20"/>
                <w:szCs w:val="20"/>
              </w:rPr>
              <w:t>(3,580</w:t>
            </w:r>
          </w:p>
        </w:tc>
        <w:tc>
          <w:tcPr>
            <w:tcW w:w="50" w:type="pct"/>
            <w:shd w:val="clear" w:color="auto" w:fill="CCEEFF"/>
            <w:noWrap/>
            <w:tcMar>
              <w:top w:w="0" w:type="dxa"/>
              <w:left w:w="0" w:type="dxa"/>
              <w:bottom w:w="15" w:type="dxa"/>
              <w:right w:w="0" w:type="dxa"/>
            </w:tcMar>
            <w:vAlign w:val="bottom"/>
            <w:hideMark/>
          </w:tcPr>
          <w:p w14:paraId="36D9F990" w14:textId="77777777" w:rsidR="00000000" w:rsidRDefault="00EB4933">
            <w:pPr>
              <w:rPr>
                <w:rFonts w:eastAsia="Times New Roman"/>
                <w:sz w:val="20"/>
                <w:szCs w:val="20"/>
              </w:rPr>
            </w:pPr>
            <w:r>
              <w:rPr>
                <w:rFonts w:eastAsia="Times New Roman"/>
                <w:sz w:val="20"/>
                <w:szCs w:val="20"/>
              </w:rPr>
              <w:t>)</w:t>
            </w:r>
          </w:p>
        </w:tc>
      </w:tr>
      <w:tr w:rsidR="00000000" w14:paraId="52B099AD" w14:textId="77777777">
        <w:trPr>
          <w:divId w:val="98525094"/>
          <w:trHeight w:val="225"/>
          <w:tblCellSpacing w:w="15" w:type="dxa"/>
        </w:trPr>
        <w:tc>
          <w:tcPr>
            <w:tcW w:w="0" w:type="auto"/>
            <w:shd w:val="clear" w:color="auto" w:fill="FFFFFF"/>
            <w:hideMark/>
          </w:tcPr>
          <w:p w14:paraId="59690F40" w14:textId="77777777" w:rsidR="00000000" w:rsidRDefault="00EB4933">
            <w:pPr>
              <w:pStyle w:val="NormalWeb"/>
              <w:spacing w:before="0" w:beforeAutospacing="0" w:after="0" w:afterAutospacing="0"/>
              <w:rPr>
                <w:sz w:val="20"/>
                <w:szCs w:val="20"/>
              </w:rPr>
            </w:pPr>
            <w:r>
              <w:rPr>
                <w:rStyle w:val="Strong"/>
                <w:sz w:val="20"/>
                <w:szCs w:val="20"/>
              </w:rPr>
              <w:t>Net interest income after credit impairment losses</w:t>
            </w:r>
          </w:p>
        </w:tc>
        <w:tc>
          <w:tcPr>
            <w:tcW w:w="50" w:type="pct"/>
            <w:shd w:val="clear" w:color="auto" w:fill="FFFFFF"/>
            <w:noWrap/>
            <w:vAlign w:val="center"/>
            <w:hideMark/>
          </w:tcPr>
          <w:p w14:paraId="2E7AF2A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BABEF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03BDCB9" w14:textId="77777777" w:rsidR="00000000" w:rsidRDefault="00EB4933">
            <w:pPr>
              <w:jc w:val="right"/>
              <w:rPr>
                <w:rFonts w:eastAsia="Times New Roman"/>
                <w:sz w:val="20"/>
                <w:szCs w:val="20"/>
              </w:rPr>
            </w:pPr>
            <w:r>
              <w:rPr>
                <w:rFonts w:eastAsia="Times New Roman"/>
                <w:sz w:val="20"/>
                <w:szCs w:val="20"/>
              </w:rPr>
              <w:t>77,245</w:t>
            </w:r>
          </w:p>
        </w:tc>
        <w:tc>
          <w:tcPr>
            <w:tcW w:w="50" w:type="pct"/>
            <w:shd w:val="clear" w:color="auto" w:fill="FFFFFF"/>
            <w:noWrap/>
            <w:vAlign w:val="center"/>
            <w:hideMark/>
          </w:tcPr>
          <w:p w14:paraId="538F6F6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B0FC1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C2B62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8D29C75"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2C9076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2CC3A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5B502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71E2077" w14:textId="77777777" w:rsidR="00000000" w:rsidRDefault="00EB4933">
            <w:pPr>
              <w:jc w:val="right"/>
              <w:rPr>
                <w:rFonts w:eastAsia="Times New Roman"/>
                <w:sz w:val="20"/>
                <w:szCs w:val="20"/>
              </w:rPr>
            </w:pPr>
            <w:r>
              <w:rPr>
                <w:rFonts w:eastAsia="Times New Roman"/>
                <w:sz w:val="20"/>
                <w:szCs w:val="20"/>
              </w:rPr>
              <w:t>81,594</w:t>
            </w:r>
          </w:p>
        </w:tc>
        <w:tc>
          <w:tcPr>
            <w:tcW w:w="50" w:type="pct"/>
            <w:shd w:val="clear" w:color="auto" w:fill="FFFFFF"/>
            <w:noWrap/>
            <w:vAlign w:val="center"/>
            <w:hideMark/>
          </w:tcPr>
          <w:p w14:paraId="49D02F3A" w14:textId="77777777" w:rsidR="00000000" w:rsidRDefault="00EB4933">
            <w:pPr>
              <w:pStyle w:val="NormalWeb"/>
              <w:spacing w:before="0" w:beforeAutospacing="0" w:after="0" w:afterAutospacing="0"/>
              <w:rPr>
                <w:sz w:val="20"/>
                <w:szCs w:val="20"/>
              </w:rPr>
            </w:pPr>
            <w:r>
              <w:rPr>
                <w:sz w:val="20"/>
                <w:szCs w:val="20"/>
              </w:rPr>
              <w:t> </w:t>
            </w:r>
          </w:p>
        </w:tc>
      </w:tr>
      <w:tr w:rsidR="00000000" w14:paraId="4FCF8B8F" w14:textId="77777777">
        <w:trPr>
          <w:divId w:val="98525094"/>
          <w:trHeight w:val="225"/>
          <w:tblCellSpacing w:w="15" w:type="dxa"/>
        </w:trPr>
        <w:tc>
          <w:tcPr>
            <w:tcW w:w="0" w:type="auto"/>
            <w:shd w:val="clear" w:color="auto" w:fill="CCEEFF"/>
            <w:vAlign w:val="center"/>
            <w:hideMark/>
          </w:tcPr>
          <w:p w14:paraId="5C045CA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639EE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D4DAA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6D498A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F1E92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8B7CB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3CBE7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662CAF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12593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F5CF9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291B8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E1133A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F756F3" w14:textId="77777777" w:rsidR="00000000" w:rsidRDefault="00EB4933">
            <w:pPr>
              <w:pStyle w:val="NormalWeb"/>
              <w:spacing w:before="0" w:beforeAutospacing="0" w:after="0" w:afterAutospacing="0"/>
              <w:rPr>
                <w:sz w:val="20"/>
                <w:szCs w:val="20"/>
              </w:rPr>
            </w:pPr>
            <w:r>
              <w:rPr>
                <w:sz w:val="20"/>
                <w:szCs w:val="20"/>
              </w:rPr>
              <w:t> </w:t>
            </w:r>
          </w:p>
        </w:tc>
      </w:tr>
      <w:tr w:rsidR="00000000" w14:paraId="1295ECBF" w14:textId="77777777">
        <w:trPr>
          <w:divId w:val="98525094"/>
          <w:trHeight w:val="225"/>
          <w:tblCellSpacing w:w="15" w:type="dxa"/>
        </w:trPr>
        <w:tc>
          <w:tcPr>
            <w:tcW w:w="0" w:type="auto"/>
            <w:shd w:val="clear" w:color="auto" w:fill="FFFFFF"/>
            <w:hideMark/>
          </w:tcPr>
          <w:p w14:paraId="6829BA59" w14:textId="77777777" w:rsidR="00000000" w:rsidRDefault="00EB4933">
            <w:pPr>
              <w:pStyle w:val="NormalWeb"/>
              <w:spacing w:before="0" w:beforeAutospacing="0" w:after="0" w:afterAutospacing="0"/>
              <w:rPr>
                <w:sz w:val="20"/>
                <w:szCs w:val="20"/>
              </w:rPr>
            </w:pPr>
            <w:r>
              <w:rPr>
                <w:sz w:val="20"/>
                <w:szCs w:val="20"/>
              </w:rPr>
              <w:t>Non-interest and other income</w:t>
            </w:r>
          </w:p>
        </w:tc>
        <w:tc>
          <w:tcPr>
            <w:tcW w:w="50" w:type="pct"/>
            <w:shd w:val="clear" w:color="auto" w:fill="FFFFFF"/>
            <w:noWrap/>
            <w:vAlign w:val="center"/>
            <w:hideMark/>
          </w:tcPr>
          <w:p w14:paraId="23DEDA8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7219A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F4DEBE3" w14:textId="77777777" w:rsidR="00000000" w:rsidRDefault="00EB4933">
            <w:pPr>
              <w:jc w:val="right"/>
              <w:rPr>
                <w:rFonts w:eastAsia="Times New Roman"/>
                <w:sz w:val="20"/>
                <w:szCs w:val="20"/>
              </w:rPr>
            </w:pPr>
            <w:r>
              <w:rPr>
                <w:rFonts w:eastAsia="Times New Roman"/>
                <w:sz w:val="20"/>
                <w:szCs w:val="20"/>
              </w:rPr>
              <w:t>815</w:t>
            </w:r>
          </w:p>
        </w:tc>
        <w:tc>
          <w:tcPr>
            <w:tcW w:w="50" w:type="pct"/>
            <w:shd w:val="clear" w:color="auto" w:fill="FFFFFF"/>
            <w:noWrap/>
            <w:vAlign w:val="center"/>
            <w:hideMark/>
          </w:tcPr>
          <w:p w14:paraId="5B5F385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01F38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E8F85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C8BB0D1"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60B16E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7A284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682AF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E44691F" w14:textId="77777777" w:rsidR="00000000" w:rsidRDefault="00EB4933">
            <w:pPr>
              <w:jc w:val="right"/>
              <w:rPr>
                <w:rFonts w:eastAsia="Times New Roman"/>
                <w:sz w:val="20"/>
                <w:szCs w:val="20"/>
              </w:rPr>
            </w:pPr>
            <w:r>
              <w:rPr>
                <w:rFonts w:eastAsia="Times New Roman"/>
                <w:sz w:val="20"/>
                <w:szCs w:val="20"/>
              </w:rPr>
              <w:t>815</w:t>
            </w:r>
          </w:p>
        </w:tc>
        <w:tc>
          <w:tcPr>
            <w:tcW w:w="50" w:type="pct"/>
            <w:shd w:val="clear" w:color="auto" w:fill="FFFFFF"/>
            <w:noWrap/>
            <w:vAlign w:val="center"/>
            <w:hideMark/>
          </w:tcPr>
          <w:p w14:paraId="7181909E" w14:textId="77777777" w:rsidR="00000000" w:rsidRDefault="00EB4933">
            <w:pPr>
              <w:pStyle w:val="NormalWeb"/>
              <w:spacing w:before="0" w:beforeAutospacing="0" w:after="0" w:afterAutospacing="0"/>
              <w:rPr>
                <w:sz w:val="20"/>
                <w:szCs w:val="20"/>
              </w:rPr>
            </w:pPr>
            <w:r>
              <w:rPr>
                <w:sz w:val="20"/>
                <w:szCs w:val="20"/>
              </w:rPr>
              <w:t> </w:t>
            </w:r>
          </w:p>
        </w:tc>
      </w:tr>
      <w:tr w:rsidR="00000000" w14:paraId="287FD952" w14:textId="77777777">
        <w:trPr>
          <w:divId w:val="98525094"/>
          <w:trHeight w:val="225"/>
          <w:tblCellSpacing w:w="15" w:type="dxa"/>
        </w:trPr>
        <w:tc>
          <w:tcPr>
            <w:tcW w:w="0" w:type="auto"/>
            <w:shd w:val="clear" w:color="auto" w:fill="CCEEFF"/>
            <w:vAlign w:val="center"/>
            <w:hideMark/>
          </w:tcPr>
          <w:p w14:paraId="1CA80BD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DC0B2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A3D5C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94CA5E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84953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5DF93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12F55D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FFD6AF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FDF06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FC9BB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CEEEF2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559C16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5D472A" w14:textId="77777777" w:rsidR="00000000" w:rsidRDefault="00EB4933">
            <w:pPr>
              <w:pStyle w:val="NormalWeb"/>
              <w:spacing w:before="0" w:beforeAutospacing="0" w:after="0" w:afterAutospacing="0"/>
              <w:rPr>
                <w:sz w:val="20"/>
                <w:szCs w:val="20"/>
              </w:rPr>
            </w:pPr>
            <w:r>
              <w:rPr>
                <w:sz w:val="20"/>
                <w:szCs w:val="20"/>
              </w:rPr>
              <w:t> </w:t>
            </w:r>
          </w:p>
        </w:tc>
      </w:tr>
      <w:tr w:rsidR="00000000" w14:paraId="5A51C310" w14:textId="77777777">
        <w:trPr>
          <w:divId w:val="98525094"/>
          <w:trHeight w:val="225"/>
          <w:tblCellSpacing w:w="15" w:type="dxa"/>
        </w:trPr>
        <w:tc>
          <w:tcPr>
            <w:tcW w:w="0" w:type="auto"/>
            <w:shd w:val="clear" w:color="auto" w:fill="FFFFFF"/>
            <w:hideMark/>
          </w:tcPr>
          <w:p w14:paraId="4BC0E812" w14:textId="77777777" w:rsidR="00000000" w:rsidRDefault="00EB4933">
            <w:pPr>
              <w:pStyle w:val="NormalWeb"/>
              <w:spacing w:before="0" w:beforeAutospacing="0" w:after="0" w:afterAutospacing="0"/>
              <w:rPr>
                <w:sz w:val="20"/>
                <w:szCs w:val="20"/>
              </w:rPr>
            </w:pPr>
            <w:r>
              <w:rPr>
                <w:rStyle w:val="Strong"/>
                <w:sz w:val="20"/>
                <w:szCs w:val="20"/>
              </w:rPr>
              <w:t>Operating costs and expenses</w:t>
            </w:r>
          </w:p>
        </w:tc>
        <w:tc>
          <w:tcPr>
            <w:tcW w:w="50" w:type="pct"/>
            <w:shd w:val="clear" w:color="auto" w:fill="FFFFFF"/>
            <w:noWrap/>
            <w:vAlign w:val="center"/>
            <w:hideMark/>
          </w:tcPr>
          <w:p w14:paraId="4293C6B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3C367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301A1E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AE249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BE9BB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693DD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A75F99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F5985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E2CE3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0E418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FF4328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4258B4" w14:textId="77777777" w:rsidR="00000000" w:rsidRDefault="00EB4933">
            <w:pPr>
              <w:pStyle w:val="NormalWeb"/>
              <w:spacing w:before="0" w:beforeAutospacing="0" w:after="0" w:afterAutospacing="0"/>
              <w:rPr>
                <w:sz w:val="20"/>
                <w:szCs w:val="20"/>
              </w:rPr>
            </w:pPr>
            <w:r>
              <w:rPr>
                <w:sz w:val="20"/>
                <w:szCs w:val="20"/>
              </w:rPr>
              <w:t> </w:t>
            </w:r>
          </w:p>
        </w:tc>
      </w:tr>
      <w:tr w:rsidR="00000000" w14:paraId="4410D743" w14:textId="77777777">
        <w:trPr>
          <w:divId w:val="98525094"/>
          <w:trHeight w:val="225"/>
          <w:tblCellSpacing w:w="15" w:type="dxa"/>
        </w:trPr>
        <w:tc>
          <w:tcPr>
            <w:tcW w:w="0" w:type="auto"/>
            <w:shd w:val="clear" w:color="auto" w:fill="CCEEFF"/>
            <w:hideMark/>
          </w:tcPr>
          <w:p w14:paraId="0DB51635" w14:textId="77777777" w:rsidR="00000000" w:rsidRDefault="00EB4933">
            <w:pPr>
              <w:pStyle w:val="NormalWeb"/>
              <w:spacing w:before="0" w:beforeAutospacing="0" w:after="0" w:afterAutospacing="0"/>
              <w:rPr>
                <w:sz w:val="20"/>
                <w:szCs w:val="20"/>
              </w:rPr>
            </w:pPr>
            <w:r>
              <w:rPr>
                <w:sz w:val="20"/>
                <w:szCs w:val="20"/>
              </w:rPr>
              <w:t>Sales and marketing</w:t>
            </w:r>
          </w:p>
        </w:tc>
        <w:tc>
          <w:tcPr>
            <w:tcW w:w="50" w:type="pct"/>
            <w:shd w:val="clear" w:color="auto" w:fill="CCEEFF"/>
            <w:noWrap/>
            <w:vAlign w:val="center"/>
            <w:hideMark/>
          </w:tcPr>
          <w:p w14:paraId="7721971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AF25A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04443B9" w14:textId="77777777" w:rsidR="00000000" w:rsidRDefault="00EB4933">
            <w:pPr>
              <w:jc w:val="right"/>
              <w:rPr>
                <w:rFonts w:eastAsia="Times New Roman"/>
                <w:sz w:val="20"/>
                <w:szCs w:val="20"/>
              </w:rPr>
            </w:pPr>
            <w:r>
              <w:rPr>
                <w:rFonts w:eastAsia="Times New Roman"/>
                <w:sz w:val="20"/>
                <w:szCs w:val="20"/>
              </w:rPr>
              <w:t>(3,138</w:t>
            </w:r>
          </w:p>
        </w:tc>
        <w:tc>
          <w:tcPr>
            <w:tcW w:w="50" w:type="pct"/>
            <w:shd w:val="clear" w:color="auto" w:fill="CCEEFF"/>
            <w:noWrap/>
            <w:vAlign w:val="bottom"/>
            <w:hideMark/>
          </w:tcPr>
          <w:p w14:paraId="55E6D1B1"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3076A1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7CCC3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4B3431B"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C22369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94A87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0F381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BE6BA6C" w14:textId="77777777" w:rsidR="00000000" w:rsidRDefault="00EB4933">
            <w:pPr>
              <w:jc w:val="right"/>
              <w:rPr>
                <w:rFonts w:eastAsia="Times New Roman"/>
                <w:sz w:val="20"/>
                <w:szCs w:val="20"/>
              </w:rPr>
            </w:pPr>
            <w:r>
              <w:rPr>
                <w:rFonts w:eastAsia="Times New Roman"/>
                <w:sz w:val="20"/>
                <w:szCs w:val="20"/>
              </w:rPr>
              <w:t>(3,138</w:t>
            </w:r>
          </w:p>
        </w:tc>
        <w:tc>
          <w:tcPr>
            <w:tcW w:w="50" w:type="pct"/>
            <w:shd w:val="clear" w:color="auto" w:fill="CCEEFF"/>
            <w:noWrap/>
            <w:vAlign w:val="bottom"/>
            <w:hideMark/>
          </w:tcPr>
          <w:p w14:paraId="7D8A7754" w14:textId="77777777" w:rsidR="00000000" w:rsidRDefault="00EB4933">
            <w:pPr>
              <w:rPr>
                <w:rFonts w:eastAsia="Times New Roman"/>
                <w:sz w:val="20"/>
                <w:szCs w:val="20"/>
              </w:rPr>
            </w:pPr>
            <w:r>
              <w:rPr>
                <w:rFonts w:eastAsia="Times New Roman"/>
                <w:sz w:val="20"/>
                <w:szCs w:val="20"/>
              </w:rPr>
              <w:t>)</w:t>
            </w:r>
          </w:p>
        </w:tc>
      </w:tr>
      <w:tr w:rsidR="00000000" w14:paraId="39C8ABC4" w14:textId="77777777">
        <w:trPr>
          <w:divId w:val="98525094"/>
          <w:trHeight w:val="225"/>
          <w:tblCellSpacing w:w="15" w:type="dxa"/>
        </w:trPr>
        <w:tc>
          <w:tcPr>
            <w:tcW w:w="0" w:type="auto"/>
            <w:shd w:val="clear" w:color="auto" w:fill="FFFFFF"/>
            <w:hideMark/>
          </w:tcPr>
          <w:p w14:paraId="551F0805" w14:textId="77777777" w:rsidR="00000000" w:rsidRDefault="00EB4933">
            <w:pPr>
              <w:pStyle w:val="NormalWeb"/>
              <w:spacing w:before="0" w:beforeAutospacing="0" w:after="0" w:afterAutospacing="0"/>
              <w:rPr>
                <w:sz w:val="20"/>
                <w:szCs w:val="20"/>
              </w:rPr>
            </w:pPr>
            <w:r>
              <w:rPr>
                <w:sz w:val="20"/>
                <w:szCs w:val="20"/>
              </w:rPr>
              <w:t>General and administrative (note 2)</w:t>
            </w:r>
          </w:p>
        </w:tc>
        <w:tc>
          <w:tcPr>
            <w:tcW w:w="50" w:type="pct"/>
            <w:shd w:val="clear" w:color="auto" w:fill="FFFFFF"/>
            <w:noWrap/>
            <w:vAlign w:val="center"/>
            <w:hideMark/>
          </w:tcPr>
          <w:p w14:paraId="22838A2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B56AD1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73B1F6D" w14:textId="77777777" w:rsidR="00000000" w:rsidRDefault="00EB4933">
            <w:pPr>
              <w:jc w:val="right"/>
              <w:rPr>
                <w:rFonts w:eastAsia="Times New Roman"/>
                <w:sz w:val="20"/>
                <w:szCs w:val="20"/>
              </w:rPr>
            </w:pPr>
            <w:r>
              <w:rPr>
                <w:rFonts w:eastAsia="Times New Roman"/>
                <w:sz w:val="20"/>
                <w:szCs w:val="20"/>
              </w:rPr>
              <w:t>(26,720</w:t>
            </w:r>
          </w:p>
        </w:tc>
        <w:tc>
          <w:tcPr>
            <w:tcW w:w="50" w:type="pct"/>
            <w:shd w:val="clear" w:color="auto" w:fill="FFFFFF"/>
            <w:noWrap/>
            <w:tcMar>
              <w:top w:w="0" w:type="dxa"/>
              <w:left w:w="0" w:type="dxa"/>
              <w:bottom w:w="15" w:type="dxa"/>
              <w:right w:w="0" w:type="dxa"/>
            </w:tcMar>
            <w:vAlign w:val="bottom"/>
            <w:hideMark/>
          </w:tcPr>
          <w:p w14:paraId="72316ACB"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CDAD18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1A5E5F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474032D" w14:textId="77777777" w:rsidR="00000000" w:rsidRDefault="00EB4933">
            <w:pPr>
              <w:jc w:val="right"/>
              <w:rPr>
                <w:rFonts w:eastAsia="Times New Roman"/>
                <w:sz w:val="20"/>
                <w:szCs w:val="20"/>
              </w:rPr>
            </w:pPr>
            <w:r>
              <w:rPr>
                <w:rFonts w:eastAsia="Times New Roman"/>
                <w:sz w:val="20"/>
                <w:szCs w:val="20"/>
              </w:rPr>
              <w:t>(8,175</w:t>
            </w:r>
          </w:p>
        </w:tc>
        <w:tc>
          <w:tcPr>
            <w:tcW w:w="50" w:type="pct"/>
            <w:shd w:val="clear" w:color="auto" w:fill="FFFFFF"/>
            <w:noWrap/>
            <w:tcMar>
              <w:top w:w="0" w:type="dxa"/>
              <w:left w:w="0" w:type="dxa"/>
              <w:bottom w:w="15" w:type="dxa"/>
              <w:right w:w="0" w:type="dxa"/>
            </w:tcMar>
            <w:vAlign w:val="bottom"/>
            <w:hideMark/>
          </w:tcPr>
          <w:p w14:paraId="21AADC5F"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2D4E84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CDFB56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D3DE597" w14:textId="77777777" w:rsidR="00000000" w:rsidRDefault="00EB4933">
            <w:pPr>
              <w:jc w:val="right"/>
              <w:rPr>
                <w:rFonts w:eastAsia="Times New Roman"/>
                <w:sz w:val="20"/>
                <w:szCs w:val="20"/>
              </w:rPr>
            </w:pPr>
            <w:r>
              <w:rPr>
                <w:rFonts w:eastAsia="Times New Roman"/>
                <w:sz w:val="20"/>
                <w:szCs w:val="20"/>
              </w:rPr>
              <w:t>(34,895</w:t>
            </w:r>
          </w:p>
        </w:tc>
        <w:tc>
          <w:tcPr>
            <w:tcW w:w="50" w:type="pct"/>
            <w:shd w:val="clear" w:color="auto" w:fill="FFFFFF"/>
            <w:noWrap/>
            <w:tcMar>
              <w:top w:w="0" w:type="dxa"/>
              <w:left w:w="0" w:type="dxa"/>
              <w:bottom w:w="15" w:type="dxa"/>
              <w:right w:w="0" w:type="dxa"/>
            </w:tcMar>
            <w:vAlign w:val="bottom"/>
            <w:hideMark/>
          </w:tcPr>
          <w:p w14:paraId="6A9D90CB" w14:textId="77777777" w:rsidR="00000000" w:rsidRDefault="00EB4933">
            <w:pPr>
              <w:rPr>
                <w:rFonts w:eastAsia="Times New Roman"/>
                <w:sz w:val="20"/>
                <w:szCs w:val="20"/>
              </w:rPr>
            </w:pPr>
            <w:r>
              <w:rPr>
                <w:rFonts w:eastAsia="Times New Roman"/>
                <w:sz w:val="20"/>
                <w:szCs w:val="20"/>
              </w:rPr>
              <w:t>)</w:t>
            </w:r>
          </w:p>
        </w:tc>
      </w:tr>
      <w:tr w:rsidR="00000000" w14:paraId="17338DE9" w14:textId="77777777">
        <w:trPr>
          <w:divId w:val="98525094"/>
          <w:trHeight w:val="225"/>
          <w:tblCellSpacing w:w="15" w:type="dxa"/>
        </w:trPr>
        <w:tc>
          <w:tcPr>
            <w:tcW w:w="0" w:type="auto"/>
            <w:shd w:val="clear" w:color="auto" w:fill="CCEEFF"/>
            <w:hideMark/>
          </w:tcPr>
          <w:p w14:paraId="627246E2" w14:textId="77777777" w:rsidR="00000000" w:rsidRDefault="00EB4933">
            <w:pPr>
              <w:pStyle w:val="NormalWeb"/>
              <w:spacing w:before="0" w:beforeAutospacing="0" w:after="0" w:afterAutospacing="0"/>
              <w:rPr>
                <w:sz w:val="20"/>
                <w:szCs w:val="20"/>
              </w:rPr>
            </w:pPr>
            <w:r>
              <w:rPr>
                <w:rStyle w:val="Strong"/>
                <w:sz w:val="20"/>
                <w:szCs w:val="20"/>
              </w:rPr>
              <w:t>Total operating costs and expenses</w:t>
            </w:r>
          </w:p>
        </w:tc>
        <w:tc>
          <w:tcPr>
            <w:tcW w:w="50" w:type="pct"/>
            <w:shd w:val="clear" w:color="auto" w:fill="CCEEFF"/>
            <w:noWrap/>
            <w:vAlign w:val="center"/>
            <w:hideMark/>
          </w:tcPr>
          <w:p w14:paraId="55162D4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ED4138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8FECD62" w14:textId="77777777" w:rsidR="00000000" w:rsidRDefault="00EB4933">
            <w:pPr>
              <w:jc w:val="right"/>
              <w:rPr>
                <w:rFonts w:eastAsia="Times New Roman"/>
                <w:sz w:val="20"/>
                <w:szCs w:val="20"/>
              </w:rPr>
            </w:pPr>
            <w:r>
              <w:rPr>
                <w:rFonts w:eastAsia="Times New Roman"/>
                <w:sz w:val="20"/>
                <w:szCs w:val="20"/>
              </w:rPr>
              <w:t>(29,858</w:t>
            </w:r>
          </w:p>
        </w:tc>
        <w:tc>
          <w:tcPr>
            <w:tcW w:w="50" w:type="pct"/>
            <w:shd w:val="clear" w:color="auto" w:fill="CCEEFF"/>
            <w:noWrap/>
            <w:tcMar>
              <w:top w:w="0" w:type="dxa"/>
              <w:left w:w="0" w:type="dxa"/>
              <w:bottom w:w="15" w:type="dxa"/>
              <w:right w:w="0" w:type="dxa"/>
            </w:tcMar>
            <w:vAlign w:val="bottom"/>
            <w:hideMark/>
          </w:tcPr>
          <w:p w14:paraId="2219F52E"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8DFB19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8ADADF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9F71BEB" w14:textId="77777777" w:rsidR="00000000" w:rsidRDefault="00EB4933">
            <w:pPr>
              <w:jc w:val="right"/>
              <w:rPr>
                <w:rFonts w:eastAsia="Times New Roman"/>
                <w:sz w:val="20"/>
                <w:szCs w:val="20"/>
              </w:rPr>
            </w:pPr>
            <w:r>
              <w:rPr>
                <w:rFonts w:eastAsia="Times New Roman"/>
                <w:sz w:val="20"/>
                <w:szCs w:val="20"/>
              </w:rPr>
              <w:t>(8,175</w:t>
            </w:r>
          </w:p>
        </w:tc>
        <w:tc>
          <w:tcPr>
            <w:tcW w:w="50" w:type="pct"/>
            <w:shd w:val="clear" w:color="auto" w:fill="CCEEFF"/>
            <w:noWrap/>
            <w:tcMar>
              <w:top w:w="0" w:type="dxa"/>
              <w:left w:w="0" w:type="dxa"/>
              <w:bottom w:w="15" w:type="dxa"/>
              <w:right w:w="0" w:type="dxa"/>
            </w:tcMar>
            <w:vAlign w:val="bottom"/>
            <w:hideMark/>
          </w:tcPr>
          <w:p w14:paraId="77F6DBA3"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454F12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9B53A0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87F9029" w14:textId="77777777" w:rsidR="00000000" w:rsidRDefault="00EB4933">
            <w:pPr>
              <w:jc w:val="right"/>
              <w:rPr>
                <w:rFonts w:eastAsia="Times New Roman"/>
                <w:sz w:val="20"/>
                <w:szCs w:val="20"/>
              </w:rPr>
            </w:pPr>
            <w:r>
              <w:rPr>
                <w:rFonts w:eastAsia="Times New Roman"/>
                <w:sz w:val="20"/>
                <w:szCs w:val="20"/>
              </w:rPr>
              <w:t>(38,033</w:t>
            </w:r>
          </w:p>
        </w:tc>
        <w:tc>
          <w:tcPr>
            <w:tcW w:w="50" w:type="pct"/>
            <w:shd w:val="clear" w:color="auto" w:fill="CCEEFF"/>
            <w:noWrap/>
            <w:tcMar>
              <w:top w:w="0" w:type="dxa"/>
              <w:left w:w="0" w:type="dxa"/>
              <w:bottom w:w="15" w:type="dxa"/>
              <w:right w:w="0" w:type="dxa"/>
            </w:tcMar>
            <w:vAlign w:val="bottom"/>
            <w:hideMark/>
          </w:tcPr>
          <w:p w14:paraId="70CA2D2A" w14:textId="77777777" w:rsidR="00000000" w:rsidRDefault="00EB4933">
            <w:pPr>
              <w:rPr>
                <w:rFonts w:eastAsia="Times New Roman"/>
                <w:sz w:val="20"/>
                <w:szCs w:val="20"/>
              </w:rPr>
            </w:pPr>
            <w:r>
              <w:rPr>
                <w:rFonts w:eastAsia="Times New Roman"/>
                <w:sz w:val="20"/>
                <w:szCs w:val="20"/>
              </w:rPr>
              <w:t>)</w:t>
            </w:r>
          </w:p>
        </w:tc>
      </w:tr>
      <w:tr w:rsidR="00000000" w14:paraId="57D86223" w14:textId="77777777">
        <w:trPr>
          <w:divId w:val="98525094"/>
          <w:trHeight w:val="225"/>
          <w:tblCellSpacing w:w="15" w:type="dxa"/>
        </w:trPr>
        <w:tc>
          <w:tcPr>
            <w:tcW w:w="0" w:type="auto"/>
            <w:shd w:val="clear" w:color="auto" w:fill="FFFFFF"/>
            <w:vAlign w:val="center"/>
            <w:hideMark/>
          </w:tcPr>
          <w:p w14:paraId="2FD7DB9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110A2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C028A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DE4735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2AE22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328F2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AB237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E7D351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6ACCE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42DAF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D7CA1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46FC3D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B81A5E" w14:textId="77777777" w:rsidR="00000000" w:rsidRDefault="00EB4933">
            <w:pPr>
              <w:pStyle w:val="NormalWeb"/>
              <w:spacing w:before="0" w:beforeAutospacing="0" w:after="0" w:afterAutospacing="0"/>
              <w:rPr>
                <w:sz w:val="20"/>
                <w:szCs w:val="20"/>
              </w:rPr>
            </w:pPr>
            <w:r>
              <w:rPr>
                <w:sz w:val="20"/>
                <w:szCs w:val="20"/>
              </w:rPr>
              <w:t> </w:t>
            </w:r>
          </w:p>
        </w:tc>
      </w:tr>
      <w:tr w:rsidR="00000000" w14:paraId="6CE7E5DD" w14:textId="77777777">
        <w:trPr>
          <w:divId w:val="98525094"/>
          <w:trHeight w:val="225"/>
          <w:tblCellSpacing w:w="15" w:type="dxa"/>
        </w:trPr>
        <w:tc>
          <w:tcPr>
            <w:tcW w:w="0" w:type="auto"/>
            <w:shd w:val="clear" w:color="auto" w:fill="CCEEFF"/>
            <w:hideMark/>
          </w:tcPr>
          <w:p w14:paraId="2339B853" w14:textId="77777777" w:rsidR="00000000" w:rsidRDefault="00EB4933">
            <w:pPr>
              <w:pStyle w:val="NormalWeb"/>
              <w:spacing w:before="0" w:beforeAutospacing="0" w:after="0" w:afterAutospacing="0"/>
              <w:rPr>
                <w:sz w:val="20"/>
                <w:szCs w:val="20"/>
              </w:rPr>
            </w:pPr>
            <w:r>
              <w:rPr>
                <w:sz w:val="20"/>
                <w:szCs w:val="20"/>
              </w:rPr>
              <w:t>Profit before income taxes (notes 1 and 2)</w:t>
            </w:r>
          </w:p>
        </w:tc>
        <w:tc>
          <w:tcPr>
            <w:tcW w:w="50" w:type="pct"/>
            <w:shd w:val="clear" w:color="auto" w:fill="CCEEFF"/>
            <w:noWrap/>
            <w:vAlign w:val="center"/>
            <w:hideMark/>
          </w:tcPr>
          <w:p w14:paraId="7861194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146DF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ACAC822" w14:textId="77777777" w:rsidR="00000000" w:rsidRDefault="00EB4933">
            <w:pPr>
              <w:jc w:val="right"/>
              <w:rPr>
                <w:rFonts w:eastAsia="Times New Roman"/>
                <w:sz w:val="20"/>
                <w:szCs w:val="20"/>
              </w:rPr>
            </w:pPr>
            <w:r>
              <w:rPr>
                <w:rFonts w:eastAsia="Times New Roman"/>
                <w:sz w:val="20"/>
                <w:szCs w:val="20"/>
              </w:rPr>
              <w:t>48,202</w:t>
            </w:r>
          </w:p>
        </w:tc>
        <w:tc>
          <w:tcPr>
            <w:tcW w:w="50" w:type="pct"/>
            <w:shd w:val="clear" w:color="auto" w:fill="CCEEFF"/>
            <w:noWrap/>
            <w:vAlign w:val="center"/>
            <w:hideMark/>
          </w:tcPr>
          <w:p w14:paraId="006CBDC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B97E3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2B042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E4B361F" w14:textId="77777777" w:rsidR="00000000" w:rsidRDefault="00EB4933">
            <w:pPr>
              <w:jc w:val="right"/>
              <w:rPr>
                <w:rFonts w:eastAsia="Times New Roman"/>
                <w:sz w:val="20"/>
                <w:szCs w:val="20"/>
              </w:rPr>
            </w:pPr>
            <w:r>
              <w:rPr>
                <w:rFonts w:eastAsia="Times New Roman"/>
                <w:sz w:val="20"/>
                <w:szCs w:val="20"/>
              </w:rPr>
              <w:t>(3,826</w:t>
            </w:r>
          </w:p>
        </w:tc>
        <w:tc>
          <w:tcPr>
            <w:tcW w:w="50" w:type="pct"/>
            <w:shd w:val="clear" w:color="auto" w:fill="CCEEFF"/>
            <w:noWrap/>
            <w:vAlign w:val="bottom"/>
            <w:hideMark/>
          </w:tcPr>
          <w:p w14:paraId="7667F0BD"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C8B8CA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A0B92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0EC64D1" w14:textId="77777777" w:rsidR="00000000" w:rsidRDefault="00EB4933">
            <w:pPr>
              <w:jc w:val="right"/>
              <w:rPr>
                <w:rFonts w:eastAsia="Times New Roman"/>
                <w:sz w:val="20"/>
                <w:szCs w:val="20"/>
              </w:rPr>
            </w:pPr>
            <w:r>
              <w:rPr>
                <w:rFonts w:eastAsia="Times New Roman"/>
                <w:sz w:val="20"/>
                <w:szCs w:val="20"/>
              </w:rPr>
              <w:t>44,376</w:t>
            </w:r>
          </w:p>
        </w:tc>
        <w:tc>
          <w:tcPr>
            <w:tcW w:w="50" w:type="pct"/>
            <w:shd w:val="clear" w:color="auto" w:fill="CCEEFF"/>
            <w:noWrap/>
            <w:vAlign w:val="center"/>
            <w:hideMark/>
          </w:tcPr>
          <w:p w14:paraId="57E45042" w14:textId="77777777" w:rsidR="00000000" w:rsidRDefault="00EB4933">
            <w:pPr>
              <w:pStyle w:val="NormalWeb"/>
              <w:spacing w:before="0" w:beforeAutospacing="0" w:after="0" w:afterAutospacing="0"/>
              <w:rPr>
                <w:sz w:val="20"/>
                <w:szCs w:val="20"/>
              </w:rPr>
            </w:pPr>
            <w:r>
              <w:rPr>
                <w:sz w:val="20"/>
                <w:szCs w:val="20"/>
              </w:rPr>
              <w:t> </w:t>
            </w:r>
          </w:p>
        </w:tc>
      </w:tr>
      <w:tr w:rsidR="00000000" w14:paraId="65D3F86B" w14:textId="77777777">
        <w:trPr>
          <w:divId w:val="98525094"/>
          <w:trHeight w:val="225"/>
          <w:tblCellSpacing w:w="15" w:type="dxa"/>
        </w:trPr>
        <w:tc>
          <w:tcPr>
            <w:tcW w:w="0" w:type="auto"/>
            <w:shd w:val="clear" w:color="auto" w:fill="FFFFFF"/>
            <w:hideMark/>
          </w:tcPr>
          <w:p w14:paraId="176A5316" w14:textId="77777777" w:rsidR="00000000" w:rsidRDefault="00EB4933">
            <w:pPr>
              <w:pStyle w:val="NormalWeb"/>
              <w:spacing w:before="0" w:beforeAutospacing="0" w:after="0" w:afterAutospacing="0"/>
              <w:rPr>
                <w:sz w:val="20"/>
                <w:szCs w:val="20"/>
              </w:rPr>
            </w:pPr>
            <w:r>
              <w:rPr>
                <w:sz w:val="20"/>
                <w:szCs w:val="20"/>
              </w:rPr>
              <w:t>Income tax expense (notes 3 and 4)</w:t>
            </w:r>
          </w:p>
        </w:tc>
        <w:tc>
          <w:tcPr>
            <w:tcW w:w="50" w:type="pct"/>
            <w:shd w:val="clear" w:color="auto" w:fill="FFFFFF"/>
            <w:noWrap/>
            <w:vAlign w:val="center"/>
            <w:hideMark/>
          </w:tcPr>
          <w:p w14:paraId="650239F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175F9A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5F6E4AA" w14:textId="77777777" w:rsidR="00000000" w:rsidRDefault="00EB4933">
            <w:pPr>
              <w:jc w:val="right"/>
              <w:rPr>
                <w:rFonts w:eastAsia="Times New Roman"/>
                <w:sz w:val="20"/>
                <w:szCs w:val="20"/>
              </w:rPr>
            </w:pPr>
            <w:r>
              <w:rPr>
                <w:rFonts w:eastAsia="Times New Roman"/>
                <w:sz w:val="20"/>
                <w:szCs w:val="20"/>
              </w:rPr>
              <w:t>(14,636</w:t>
            </w:r>
          </w:p>
        </w:tc>
        <w:tc>
          <w:tcPr>
            <w:tcW w:w="50" w:type="pct"/>
            <w:shd w:val="clear" w:color="auto" w:fill="FFFFFF"/>
            <w:noWrap/>
            <w:tcMar>
              <w:top w:w="0" w:type="dxa"/>
              <w:left w:w="0" w:type="dxa"/>
              <w:bottom w:w="15" w:type="dxa"/>
              <w:right w:w="0" w:type="dxa"/>
            </w:tcMar>
            <w:vAlign w:val="bottom"/>
            <w:hideMark/>
          </w:tcPr>
          <w:p w14:paraId="2BAF30AA"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AEABA9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A05A5C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5B57245" w14:textId="77777777" w:rsidR="00000000" w:rsidRDefault="00EB4933">
            <w:pPr>
              <w:jc w:val="right"/>
              <w:rPr>
                <w:rFonts w:eastAsia="Times New Roman"/>
                <w:sz w:val="20"/>
                <w:szCs w:val="20"/>
              </w:rPr>
            </w:pPr>
            <w:r>
              <w:rPr>
                <w:rFonts w:eastAsia="Times New Roman"/>
                <w:sz w:val="20"/>
                <w:szCs w:val="20"/>
              </w:rPr>
              <w:t>(914</w:t>
            </w:r>
          </w:p>
        </w:tc>
        <w:tc>
          <w:tcPr>
            <w:tcW w:w="50" w:type="pct"/>
            <w:shd w:val="clear" w:color="auto" w:fill="FFFFFF"/>
            <w:noWrap/>
            <w:tcMar>
              <w:top w:w="0" w:type="dxa"/>
              <w:left w:w="0" w:type="dxa"/>
              <w:bottom w:w="15" w:type="dxa"/>
              <w:right w:w="0" w:type="dxa"/>
            </w:tcMar>
            <w:vAlign w:val="bottom"/>
            <w:hideMark/>
          </w:tcPr>
          <w:p w14:paraId="7CEDBCFF"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7786D1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1FEA95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1B3EE43" w14:textId="77777777" w:rsidR="00000000" w:rsidRDefault="00EB4933">
            <w:pPr>
              <w:jc w:val="right"/>
              <w:rPr>
                <w:rFonts w:eastAsia="Times New Roman"/>
                <w:sz w:val="20"/>
                <w:szCs w:val="20"/>
              </w:rPr>
            </w:pPr>
            <w:r>
              <w:rPr>
                <w:rFonts w:eastAsia="Times New Roman"/>
                <w:sz w:val="20"/>
                <w:szCs w:val="20"/>
              </w:rPr>
              <w:t>(15,550</w:t>
            </w:r>
          </w:p>
        </w:tc>
        <w:tc>
          <w:tcPr>
            <w:tcW w:w="50" w:type="pct"/>
            <w:shd w:val="clear" w:color="auto" w:fill="FFFFFF"/>
            <w:noWrap/>
            <w:tcMar>
              <w:top w:w="0" w:type="dxa"/>
              <w:left w:w="0" w:type="dxa"/>
              <w:bottom w:w="15" w:type="dxa"/>
              <w:right w:w="0" w:type="dxa"/>
            </w:tcMar>
            <w:vAlign w:val="bottom"/>
            <w:hideMark/>
          </w:tcPr>
          <w:p w14:paraId="7EC850E2" w14:textId="77777777" w:rsidR="00000000" w:rsidRDefault="00EB4933">
            <w:pPr>
              <w:rPr>
                <w:rFonts w:eastAsia="Times New Roman"/>
                <w:sz w:val="20"/>
                <w:szCs w:val="20"/>
              </w:rPr>
            </w:pPr>
            <w:r>
              <w:rPr>
                <w:rFonts w:eastAsia="Times New Roman"/>
                <w:sz w:val="20"/>
                <w:szCs w:val="20"/>
              </w:rPr>
              <w:t>)</w:t>
            </w:r>
          </w:p>
        </w:tc>
      </w:tr>
      <w:tr w:rsidR="00000000" w14:paraId="7EBD39FC" w14:textId="77777777">
        <w:trPr>
          <w:divId w:val="98525094"/>
          <w:trHeight w:val="225"/>
          <w:tblCellSpacing w:w="15" w:type="dxa"/>
        </w:trPr>
        <w:tc>
          <w:tcPr>
            <w:tcW w:w="0" w:type="auto"/>
            <w:shd w:val="clear" w:color="auto" w:fill="CCEEFF"/>
            <w:hideMark/>
          </w:tcPr>
          <w:p w14:paraId="0FEE06B4" w14:textId="77777777" w:rsidR="00000000" w:rsidRDefault="00EB4933">
            <w:pPr>
              <w:pStyle w:val="NormalWeb"/>
              <w:spacing w:before="0" w:beforeAutospacing="0" w:after="0" w:afterAutospacing="0"/>
              <w:rPr>
                <w:sz w:val="20"/>
                <w:szCs w:val="20"/>
              </w:rPr>
            </w:pPr>
            <w:r>
              <w:rPr>
                <w:rStyle w:val="Strong"/>
                <w:sz w:val="20"/>
                <w:szCs w:val="20"/>
              </w:rPr>
              <w:t>Net profit and total comprehensive income for the year</w:t>
            </w:r>
          </w:p>
        </w:tc>
        <w:tc>
          <w:tcPr>
            <w:tcW w:w="50" w:type="pct"/>
            <w:shd w:val="clear" w:color="auto" w:fill="CCEEFF"/>
            <w:noWrap/>
            <w:vAlign w:val="center"/>
            <w:hideMark/>
          </w:tcPr>
          <w:p w14:paraId="3983D51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192F24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4D657199" w14:textId="77777777" w:rsidR="00000000" w:rsidRDefault="00EB4933">
            <w:pPr>
              <w:jc w:val="right"/>
              <w:rPr>
                <w:rFonts w:eastAsia="Times New Roman"/>
                <w:sz w:val="20"/>
                <w:szCs w:val="20"/>
              </w:rPr>
            </w:pPr>
            <w:r>
              <w:rPr>
                <w:rFonts w:eastAsia="Times New Roman"/>
                <w:sz w:val="20"/>
                <w:szCs w:val="20"/>
              </w:rPr>
              <w:t>33,566</w:t>
            </w:r>
          </w:p>
        </w:tc>
        <w:tc>
          <w:tcPr>
            <w:tcW w:w="50" w:type="pct"/>
            <w:shd w:val="clear" w:color="auto" w:fill="CCEEFF"/>
            <w:noWrap/>
            <w:tcMar>
              <w:top w:w="0" w:type="dxa"/>
              <w:left w:w="0" w:type="dxa"/>
              <w:bottom w:w="45" w:type="dxa"/>
              <w:right w:w="0" w:type="dxa"/>
            </w:tcMar>
            <w:vAlign w:val="center"/>
            <w:hideMark/>
          </w:tcPr>
          <w:p w14:paraId="47C3D25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68888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B4A7CB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039FFC09" w14:textId="77777777" w:rsidR="00000000" w:rsidRDefault="00EB4933">
            <w:pPr>
              <w:jc w:val="right"/>
              <w:rPr>
                <w:rFonts w:eastAsia="Times New Roman"/>
                <w:sz w:val="20"/>
                <w:szCs w:val="20"/>
              </w:rPr>
            </w:pPr>
            <w:r>
              <w:rPr>
                <w:rFonts w:eastAsia="Times New Roman"/>
                <w:sz w:val="20"/>
                <w:szCs w:val="20"/>
              </w:rPr>
              <w:t>(4,740</w:t>
            </w:r>
          </w:p>
        </w:tc>
        <w:tc>
          <w:tcPr>
            <w:tcW w:w="50" w:type="pct"/>
            <w:shd w:val="clear" w:color="auto" w:fill="CCEEFF"/>
            <w:noWrap/>
            <w:tcMar>
              <w:top w:w="0" w:type="dxa"/>
              <w:left w:w="0" w:type="dxa"/>
              <w:bottom w:w="45" w:type="dxa"/>
              <w:right w:w="0" w:type="dxa"/>
            </w:tcMar>
            <w:vAlign w:val="bottom"/>
            <w:hideMark/>
          </w:tcPr>
          <w:p w14:paraId="2B94A08A"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FDF9B9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061827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77D7047D" w14:textId="77777777" w:rsidR="00000000" w:rsidRDefault="00EB4933">
            <w:pPr>
              <w:jc w:val="right"/>
              <w:rPr>
                <w:rFonts w:eastAsia="Times New Roman"/>
                <w:sz w:val="20"/>
                <w:szCs w:val="20"/>
              </w:rPr>
            </w:pPr>
            <w:r>
              <w:rPr>
                <w:rFonts w:eastAsia="Times New Roman"/>
                <w:sz w:val="20"/>
                <w:szCs w:val="20"/>
              </w:rPr>
              <w:t>28,826</w:t>
            </w:r>
          </w:p>
        </w:tc>
        <w:tc>
          <w:tcPr>
            <w:tcW w:w="50" w:type="pct"/>
            <w:shd w:val="clear" w:color="auto" w:fill="CCEEFF"/>
            <w:noWrap/>
            <w:tcMar>
              <w:top w:w="0" w:type="dxa"/>
              <w:left w:w="0" w:type="dxa"/>
              <w:bottom w:w="45" w:type="dxa"/>
              <w:right w:w="0" w:type="dxa"/>
            </w:tcMar>
            <w:vAlign w:val="center"/>
            <w:hideMark/>
          </w:tcPr>
          <w:p w14:paraId="0ED439E2" w14:textId="77777777" w:rsidR="00000000" w:rsidRDefault="00EB4933">
            <w:pPr>
              <w:pStyle w:val="NormalWeb"/>
              <w:spacing w:before="0" w:beforeAutospacing="0" w:after="0" w:afterAutospacing="0"/>
              <w:rPr>
                <w:sz w:val="20"/>
                <w:szCs w:val="20"/>
              </w:rPr>
            </w:pPr>
            <w:r>
              <w:rPr>
                <w:sz w:val="20"/>
                <w:szCs w:val="20"/>
              </w:rPr>
              <w:t> </w:t>
            </w:r>
          </w:p>
        </w:tc>
      </w:tr>
      <w:tr w:rsidR="00000000" w14:paraId="51FD02A3" w14:textId="77777777">
        <w:trPr>
          <w:divId w:val="98525094"/>
          <w:trHeight w:val="225"/>
          <w:tblCellSpacing w:w="15" w:type="dxa"/>
        </w:trPr>
        <w:tc>
          <w:tcPr>
            <w:tcW w:w="0" w:type="auto"/>
            <w:shd w:val="clear" w:color="auto" w:fill="FFFFFF"/>
            <w:vAlign w:val="center"/>
            <w:hideMark/>
          </w:tcPr>
          <w:p w14:paraId="3C66832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C2BD9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F05A2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FBFF75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7FB42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2EC17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C1AE4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547B9C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AED4F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2DFBF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28684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135706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267FAE" w14:textId="77777777" w:rsidR="00000000" w:rsidRDefault="00EB4933">
            <w:pPr>
              <w:pStyle w:val="NormalWeb"/>
              <w:spacing w:before="0" w:beforeAutospacing="0" w:after="0" w:afterAutospacing="0"/>
              <w:rPr>
                <w:sz w:val="20"/>
                <w:szCs w:val="20"/>
              </w:rPr>
            </w:pPr>
            <w:r>
              <w:rPr>
                <w:sz w:val="20"/>
                <w:szCs w:val="20"/>
              </w:rPr>
              <w:t> </w:t>
            </w:r>
          </w:p>
        </w:tc>
      </w:tr>
      <w:tr w:rsidR="00000000" w14:paraId="0B2D479B" w14:textId="77777777">
        <w:trPr>
          <w:divId w:val="98525094"/>
          <w:trHeight w:val="225"/>
          <w:tblCellSpacing w:w="15" w:type="dxa"/>
        </w:trPr>
        <w:tc>
          <w:tcPr>
            <w:tcW w:w="0" w:type="auto"/>
            <w:shd w:val="clear" w:color="auto" w:fill="CCEEFF"/>
            <w:hideMark/>
          </w:tcPr>
          <w:p w14:paraId="725B0B8B" w14:textId="77777777" w:rsidR="00000000" w:rsidRDefault="00EB4933">
            <w:pPr>
              <w:pStyle w:val="NormalWeb"/>
              <w:spacing w:before="0" w:beforeAutospacing="0" w:after="0" w:afterAutospacing="0"/>
              <w:rPr>
                <w:sz w:val="20"/>
                <w:szCs w:val="20"/>
              </w:rPr>
            </w:pPr>
            <w:r>
              <w:rPr>
                <w:rStyle w:val="Strong"/>
                <w:sz w:val="20"/>
                <w:szCs w:val="20"/>
              </w:rPr>
              <w:t>Net profit and total comprehensive income attributable to:</w:t>
            </w:r>
          </w:p>
        </w:tc>
        <w:tc>
          <w:tcPr>
            <w:tcW w:w="50" w:type="pct"/>
            <w:shd w:val="clear" w:color="auto" w:fill="CCEEFF"/>
            <w:noWrap/>
            <w:vAlign w:val="center"/>
            <w:hideMark/>
          </w:tcPr>
          <w:p w14:paraId="29D6B5A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039FB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F12CD0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4F689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6B6E5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7526D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160167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4BBA6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3C2C4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7BBF0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35BD5C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24ADD3" w14:textId="77777777" w:rsidR="00000000" w:rsidRDefault="00EB4933">
            <w:pPr>
              <w:pStyle w:val="NormalWeb"/>
              <w:spacing w:before="0" w:beforeAutospacing="0" w:after="0" w:afterAutospacing="0"/>
              <w:rPr>
                <w:sz w:val="20"/>
                <w:szCs w:val="20"/>
              </w:rPr>
            </w:pPr>
            <w:r>
              <w:rPr>
                <w:sz w:val="20"/>
                <w:szCs w:val="20"/>
              </w:rPr>
              <w:t> </w:t>
            </w:r>
          </w:p>
        </w:tc>
      </w:tr>
      <w:tr w:rsidR="00000000" w14:paraId="2E25F220" w14:textId="77777777">
        <w:trPr>
          <w:divId w:val="98525094"/>
          <w:trHeight w:val="225"/>
          <w:tblCellSpacing w:w="15" w:type="dxa"/>
        </w:trPr>
        <w:tc>
          <w:tcPr>
            <w:tcW w:w="0" w:type="auto"/>
            <w:shd w:val="clear" w:color="auto" w:fill="FFFFFF"/>
            <w:hideMark/>
          </w:tcPr>
          <w:p w14:paraId="6320B184" w14:textId="77777777" w:rsidR="00000000" w:rsidRDefault="00EB4933">
            <w:pPr>
              <w:pStyle w:val="NormalWeb"/>
              <w:spacing w:before="0" w:beforeAutospacing="0" w:after="0" w:afterAutospacing="0"/>
              <w:rPr>
                <w:sz w:val="20"/>
                <w:szCs w:val="20"/>
              </w:rPr>
            </w:pPr>
            <w:r>
              <w:rPr>
                <w:sz w:val="20"/>
                <w:szCs w:val="20"/>
              </w:rPr>
              <w:t>Equity holders of the Company</w:t>
            </w:r>
          </w:p>
        </w:tc>
        <w:tc>
          <w:tcPr>
            <w:tcW w:w="50" w:type="pct"/>
            <w:shd w:val="clear" w:color="auto" w:fill="FFFFFF"/>
            <w:noWrap/>
            <w:vAlign w:val="center"/>
            <w:hideMark/>
          </w:tcPr>
          <w:p w14:paraId="7846F53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3AE84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FEE7BDB" w14:textId="77777777" w:rsidR="00000000" w:rsidRDefault="00EB4933">
            <w:pPr>
              <w:jc w:val="right"/>
              <w:rPr>
                <w:rFonts w:eastAsia="Times New Roman"/>
                <w:sz w:val="20"/>
                <w:szCs w:val="20"/>
              </w:rPr>
            </w:pPr>
            <w:r>
              <w:rPr>
                <w:rFonts w:eastAsia="Times New Roman"/>
                <w:sz w:val="20"/>
                <w:szCs w:val="20"/>
              </w:rPr>
              <w:t>26,853</w:t>
            </w:r>
          </w:p>
        </w:tc>
        <w:tc>
          <w:tcPr>
            <w:tcW w:w="50" w:type="pct"/>
            <w:shd w:val="clear" w:color="auto" w:fill="FFFFFF"/>
            <w:noWrap/>
            <w:vAlign w:val="center"/>
            <w:hideMark/>
          </w:tcPr>
          <w:p w14:paraId="0B126F0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39492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B894E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934D75B" w14:textId="77777777" w:rsidR="00000000" w:rsidRDefault="00EB4933">
            <w:pPr>
              <w:jc w:val="right"/>
              <w:rPr>
                <w:rFonts w:eastAsia="Times New Roman"/>
                <w:sz w:val="20"/>
                <w:szCs w:val="20"/>
              </w:rPr>
            </w:pPr>
            <w:r>
              <w:rPr>
                <w:rFonts w:eastAsia="Times New Roman"/>
                <w:sz w:val="20"/>
                <w:szCs w:val="20"/>
              </w:rPr>
              <w:t>(3,792</w:t>
            </w:r>
          </w:p>
        </w:tc>
        <w:tc>
          <w:tcPr>
            <w:tcW w:w="50" w:type="pct"/>
            <w:shd w:val="clear" w:color="auto" w:fill="FFFFFF"/>
            <w:noWrap/>
            <w:vAlign w:val="bottom"/>
            <w:hideMark/>
          </w:tcPr>
          <w:p w14:paraId="3B368085"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4ED4C9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9F909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A7A23D5" w14:textId="77777777" w:rsidR="00000000" w:rsidRDefault="00EB4933">
            <w:pPr>
              <w:jc w:val="right"/>
              <w:rPr>
                <w:rFonts w:eastAsia="Times New Roman"/>
                <w:sz w:val="20"/>
                <w:szCs w:val="20"/>
              </w:rPr>
            </w:pPr>
            <w:r>
              <w:rPr>
                <w:rFonts w:eastAsia="Times New Roman"/>
                <w:sz w:val="20"/>
                <w:szCs w:val="20"/>
              </w:rPr>
              <w:t>23,061</w:t>
            </w:r>
          </w:p>
        </w:tc>
        <w:tc>
          <w:tcPr>
            <w:tcW w:w="50" w:type="pct"/>
            <w:shd w:val="clear" w:color="auto" w:fill="FFFFFF"/>
            <w:noWrap/>
            <w:vAlign w:val="center"/>
            <w:hideMark/>
          </w:tcPr>
          <w:p w14:paraId="5ABD6058" w14:textId="77777777" w:rsidR="00000000" w:rsidRDefault="00EB4933">
            <w:pPr>
              <w:pStyle w:val="NormalWeb"/>
              <w:spacing w:before="0" w:beforeAutospacing="0" w:after="0" w:afterAutospacing="0"/>
              <w:rPr>
                <w:sz w:val="20"/>
                <w:szCs w:val="20"/>
              </w:rPr>
            </w:pPr>
            <w:r>
              <w:rPr>
                <w:sz w:val="20"/>
                <w:szCs w:val="20"/>
              </w:rPr>
              <w:t> </w:t>
            </w:r>
          </w:p>
        </w:tc>
      </w:tr>
      <w:tr w:rsidR="00000000" w14:paraId="3809F171" w14:textId="77777777">
        <w:trPr>
          <w:divId w:val="98525094"/>
          <w:trHeight w:val="225"/>
          <w:tblCellSpacing w:w="15" w:type="dxa"/>
        </w:trPr>
        <w:tc>
          <w:tcPr>
            <w:tcW w:w="0" w:type="auto"/>
            <w:shd w:val="clear" w:color="auto" w:fill="CCEEFF"/>
            <w:hideMark/>
          </w:tcPr>
          <w:p w14:paraId="00C68D85" w14:textId="77777777" w:rsidR="00000000" w:rsidRDefault="00EB4933">
            <w:pPr>
              <w:pStyle w:val="NormalWeb"/>
              <w:spacing w:before="0" w:beforeAutospacing="0" w:after="0" w:afterAutospacing="0"/>
              <w:rPr>
                <w:sz w:val="20"/>
                <w:szCs w:val="20"/>
              </w:rPr>
            </w:pPr>
            <w:r>
              <w:rPr>
                <w:sz w:val="20"/>
                <w:szCs w:val="20"/>
              </w:rPr>
              <w:t>Non-controlling interests</w:t>
            </w:r>
          </w:p>
        </w:tc>
        <w:tc>
          <w:tcPr>
            <w:tcW w:w="50" w:type="pct"/>
            <w:shd w:val="clear" w:color="auto" w:fill="CCEEFF"/>
            <w:noWrap/>
            <w:vAlign w:val="center"/>
            <w:hideMark/>
          </w:tcPr>
          <w:p w14:paraId="5C2FDD4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3484B2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777E71D" w14:textId="77777777" w:rsidR="00000000" w:rsidRDefault="00EB4933">
            <w:pPr>
              <w:jc w:val="right"/>
              <w:rPr>
                <w:rFonts w:eastAsia="Times New Roman"/>
                <w:sz w:val="20"/>
                <w:szCs w:val="20"/>
              </w:rPr>
            </w:pPr>
            <w:r>
              <w:rPr>
                <w:rFonts w:eastAsia="Times New Roman"/>
                <w:sz w:val="20"/>
                <w:szCs w:val="20"/>
              </w:rPr>
              <w:t>6,713</w:t>
            </w:r>
          </w:p>
        </w:tc>
        <w:tc>
          <w:tcPr>
            <w:tcW w:w="50" w:type="pct"/>
            <w:shd w:val="clear" w:color="auto" w:fill="CCEEFF"/>
            <w:noWrap/>
            <w:tcMar>
              <w:top w:w="0" w:type="dxa"/>
              <w:left w:w="0" w:type="dxa"/>
              <w:bottom w:w="15" w:type="dxa"/>
              <w:right w:w="0" w:type="dxa"/>
            </w:tcMar>
            <w:vAlign w:val="center"/>
            <w:hideMark/>
          </w:tcPr>
          <w:p w14:paraId="4DEA3C7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1EA80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920E59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2E15A668" w14:textId="77777777" w:rsidR="00000000" w:rsidRDefault="00EB4933">
            <w:pPr>
              <w:jc w:val="right"/>
              <w:rPr>
                <w:rFonts w:eastAsia="Times New Roman"/>
                <w:sz w:val="20"/>
                <w:szCs w:val="20"/>
              </w:rPr>
            </w:pPr>
            <w:r>
              <w:rPr>
                <w:rFonts w:eastAsia="Times New Roman"/>
                <w:sz w:val="20"/>
                <w:szCs w:val="20"/>
              </w:rPr>
              <w:t>(948</w:t>
            </w:r>
          </w:p>
        </w:tc>
        <w:tc>
          <w:tcPr>
            <w:tcW w:w="50" w:type="pct"/>
            <w:shd w:val="clear" w:color="auto" w:fill="CCEEFF"/>
            <w:noWrap/>
            <w:tcMar>
              <w:top w:w="0" w:type="dxa"/>
              <w:left w:w="0" w:type="dxa"/>
              <w:bottom w:w="15" w:type="dxa"/>
              <w:right w:w="0" w:type="dxa"/>
            </w:tcMar>
            <w:vAlign w:val="bottom"/>
            <w:hideMark/>
          </w:tcPr>
          <w:p w14:paraId="0F9DAC9D"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EF3CBCB"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9DDEC8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1C809AE" w14:textId="77777777" w:rsidR="00000000" w:rsidRDefault="00EB4933">
            <w:pPr>
              <w:jc w:val="right"/>
              <w:rPr>
                <w:rFonts w:eastAsia="Times New Roman"/>
                <w:sz w:val="20"/>
                <w:szCs w:val="20"/>
              </w:rPr>
            </w:pPr>
            <w:r>
              <w:rPr>
                <w:rFonts w:eastAsia="Times New Roman"/>
                <w:sz w:val="20"/>
                <w:szCs w:val="20"/>
              </w:rPr>
              <w:t>5,765</w:t>
            </w:r>
          </w:p>
        </w:tc>
        <w:tc>
          <w:tcPr>
            <w:tcW w:w="50" w:type="pct"/>
            <w:shd w:val="clear" w:color="auto" w:fill="CCEEFF"/>
            <w:noWrap/>
            <w:tcMar>
              <w:top w:w="0" w:type="dxa"/>
              <w:left w:w="0" w:type="dxa"/>
              <w:bottom w:w="15" w:type="dxa"/>
              <w:right w:w="0" w:type="dxa"/>
            </w:tcMar>
            <w:vAlign w:val="center"/>
            <w:hideMark/>
          </w:tcPr>
          <w:p w14:paraId="62281DBE" w14:textId="77777777" w:rsidR="00000000" w:rsidRDefault="00EB4933">
            <w:pPr>
              <w:pStyle w:val="NormalWeb"/>
              <w:spacing w:before="0" w:beforeAutospacing="0" w:after="0" w:afterAutospacing="0"/>
              <w:rPr>
                <w:sz w:val="20"/>
                <w:szCs w:val="20"/>
              </w:rPr>
            </w:pPr>
            <w:r>
              <w:rPr>
                <w:sz w:val="20"/>
                <w:szCs w:val="20"/>
              </w:rPr>
              <w:t> </w:t>
            </w:r>
          </w:p>
        </w:tc>
      </w:tr>
      <w:tr w:rsidR="00000000" w14:paraId="725BB9FA" w14:textId="77777777">
        <w:trPr>
          <w:divId w:val="98525094"/>
          <w:trHeight w:val="225"/>
          <w:tblCellSpacing w:w="15" w:type="dxa"/>
        </w:trPr>
        <w:tc>
          <w:tcPr>
            <w:tcW w:w="0" w:type="auto"/>
            <w:shd w:val="clear" w:color="auto" w:fill="FFFFFF"/>
            <w:hideMark/>
          </w:tcPr>
          <w:p w14:paraId="708059B5" w14:textId="77777777" w:rsidR="00000000" w:rsidRDefault="00EB4933">
            <w:pPr>
              <w:pStyle w:val="NormalWeb"/>
              <w:spacing w:before="0" w:beforeAutospacing="0" w:after="0" w:afterAutospacing="0"/>
              <w:rPr>
                <w:sz w:val="20"/>
                <w:szCs w:val="20"/>
              </w:rPr>
            </w:pPr>
            <w:r>
              <w:rPr>
                <w:sz w:val="20"/>
                <w:szCs w:val="20"/>
              </w:rPr>
              <w:t>Net profit and total comprehensive income</w:t>
            </w:r>
          </w:p>
        </w:tc>
        <w:tc>
          <w:tcPr>
            <w:tcW w:w="50" w:type="pct"/>
            <w:shd w:val="clear" w:color="auto" w:fill="FFFFFF"/>
            <w:noWrap/>
            <w:vAlign w:val="center"/>
            <w:hideMark/>
          </w:tcPr>
          <w:p w14:paraId="06FE76E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6B24696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6EEBE343" w14:textId="77777777" w:rsidR="00000000" w:rsidRDefault="00EB4933">
            <w:pPr>
              <w:jc w:val="right"/>
              <w:rPr>
                <w:rFonts w:eastAsia="Times New Roman"/>
                <w:sz w:val="20"/>
                <w:szCs w:val="20"/>
              </w:rPr>
            </w:pPr>
            <w:r>
              <w:rPr>
                <w:rFonts w:eastAsia="Times New Roman"/>
                <w:sz w:val="20"/>
                <w:szCs w:val="20"/>
              </w:rPr>
              <w:t>33,566</w:t>
            </w:r>
          </w:p>
        </w:tc>
        <w:tc>
          <w:tcPr>
            <w:tcW w:w="50" w:type="pct"/>
            <w:shd w:val="clear" w:color="auto" w:fill="FFFFFF"/>
            <w:noWrap/>
            <w:tcMar>
              <w:top w:w="0" w:type="dxa"/>
              <w:left w:w="0" w:type="dxa"/>
              <w:bottom w:w="45" w:type="dxa"/>
              <w:right w:w="0" w:type="dxa"/>
            </w:tcMar>
            <w:vAlign w:val="center"/>
            <w:hideMark/>
          </w:tcPr>
          <w:p w14:paraId="6A7A7B8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E28D9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495EAAA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4FC4B522" w14:textId="77777777" w:rsidR="00000000" w:rsidRDefault="00EB4933">
            <w:pPr>
              <w:jc w:val="right"/>
              <w:rPr>
                <w:rFonts w:eastAsia="Times New Roman"/>
                <w:sz w:val="20"/>
                <w:szCs w:val="20"/>
              </w:rPr>
            </w:pPr>
            <w:r>
              <w:rPr>
                <w:rFonts w:eastAsia="Times New Roman"/>
                <w:sz w:val="20"/>
                <w:szCs w:val="20"/>
              </w:rPr>
              <w:t>(4,740</w:t>
            </w:r>
          </w:p>
        </w:tc>
        <w:tc>
          <w:tcPr>
            <w:tcW w:w="50" w:type="pct"/>
            <w:shd w:val="clear" w:color="auto" w:fill="FFFFFF"/>
            <w:noWrap/>
            <w:tcMar>
              <w:top w:w="0" w:type="dxa"/>
              <w:left w:w="0" w:type="dxa"/>
              <w:bottom w:w="45" w:type="dxa"/>
              <w:right w:w="0" w:type="dxa"/>
            </w:tcMar>
            <w:vAlign w:val="bottom"/>
            <w:hideMark/>
          </w:tcPr>
          <w:p w14:paraId="4865C09A"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29AB95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center"/>
            <w:hideMark/>
          </w:tcPr>
          <w:p w14:paraId="04C475C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FFFFFF"/>
            <w:vAlign w:val="bottom"/>
            <w:hideMark/>
          </w:tcPr>
          <w:p w14:paraId="7FE717DA" w14:textId="77777777" w:rsidR="00000000" w:rsidRDefault="00EB4933">
            <w:pPr>
              <w:jc w:val="right"/>
              <w:rPr>
                <w:rFonts w:eastAsia="Times New Roman"/>
                <w:sz w:val="20"/>
                <w:szCs w:val="20"/>
              </w:rPr>
            </w:pPr>
            <w:r>
              <w:rPr>
                <w:rFonts w:eastAsia="Times New Roman"/>
                <w:sz w:val="20"/>
                <w:szCs w:val="20"/>
              </w:rPr>
              <w:t>28,826</w:t>
            </w:r>
          </w:p>
        </w:tc>
        <w:tc>
          <w:tcPr>
            <w:tcW w:w="50" w:type="pct"/>
            <w:shd w:val="clear" w:color="auto" w:fill="FFFFFF"/>
            <w:noWrap/>
            <w:tcMar>
              <w:top w:w="0" w:type="dxa"/>
              <w:left w:w="0" w:type="dxa"/>
              <w:bottom w:w="45" w:type="dxa"/>
              <w:right w:w="0" w:type="dxa"/>
            </w:tcMar>
            <w:vAlign w:val="center"/>
            <w:hideMark/>
          </w:tcPr>
          <w:p w14:paraId="5F8AFEBE" w14:textId="77777777" w:rsidR="00000000" w:rsidRDefault="00EB4933">
            <w:pPr>
              <w:pStyle w:val="NormalWeb"/>
              <w:spacing w:before="0" w:beforeAutospacing="0" w:after="0" w:afterAutospacing="0"/>
              <w:rPr>
                <w:sz w:val="20"/>
                <w:szCs w:val="20"/>
              </w:rPr>
            </w:pPr>
            <w:r>
              <w:rPr>
                <w:sz w:val="20"/>
                <w:szCs w:val="20"/>
              </w:rPr>
              <w:t> </w:t>
            </w:r>
          </w:p>
        </w:tc>
      </w:tr>
      <w:tr w:rsidR="00000000" w14:paraId="696755FD" w14:textId="77777777">
        <w:trPr>
          <w:divId w:val="98525094"/>
          <w:trHeight w:val="225"/>
          <w:tblCellSpacing w:w="15" w:type="dxa"/>
        </w:trPr>
        <w:tc>
          <w:tcPr>
            <w:tcW w:w="0" w:type="auto"/>
            <w:shd w:val="clear" w:color="auto" w:fill="CCEEFF"/>
            <w:vAlign w:val="center"/>
            <w:hideMark/>
          </w:tcPr>
          <w:p w14:paraId="43FAAEC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108F1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4D598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B70DF3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30614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0FC26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A176F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F5E504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3B810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D0AD7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9BD7F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2B8226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0D7C53" w14:textId="77777777" w:rsidR="00000000" w:rsidRDefault="00EB4933">
            <w:pPr>
              <w:pStyle w:val="NormalWeb"/>
              <w:spacing w:before="0" w:beforeAutospacing="0" w:after="0" w:afterAutospacing="0"/>
              <w:rPr>
                <w:sz w:val="20"/>
                <w:szCs w:val="20"/>
              </w:rPr>
            </w:pPr>
            <w:r>
              <w:rPr>
                <w:sz w:val="20"/>
                <w:szCs w:val="20"/>
              </w:rPr>
              <w:t> </w:t>
            </w:r>
          </w:p>
        </w:tc>
      </w:tr>
      <w:tr w:rsidR="00000000" w14:paraId="4D1B326A" w14:textId="77777777">
        <w:trPr>
          <w:divId w:val="98525094"/>
          <w:trHeight w:val="225"/>
          <w:tblCellSpacing w:w="15" w:type="dxa"/>
        </w:trPr>
        <w:tc>
          <w:tcPr>
            <w:tcW w:w="0" w:type="auto"/>
            <w:shd w:val="clear" w:color="auto" w:fill="FFFFFF"/>
            <w:hideMark/>
          </w:tcPr>
          <w:p w14:paraId="3C5AC2F2" w14:textId="77777777" w:rsidR="00000000" w:rsidRDefault="00EB4933">
            <w:pPr>
              <w:pStyle w:val="NormalWeb"/>
              <w:spacing w:before="0" w:beforeAutospacing="0" w:after="0" w:afterAutospacing="0"/>
              <w:rPr>
                <w:sz w:val="20"/>
                <w:szCs w:val="20"/>
              </w:rPr>
            </w:pPr>
            <w:r>
              <w:rPr>
                <w:sz w:val="20"/>
                <w:szCs w:val="20"/>
              </w:rPr>
              <w:t>Basic and diluted earnings per share for the profit attributable to the equity holders of the Company during the year (expressed in RMB per share) (note 5)</w:t>
            </w:r>
          </w:p>
        </w:tc>
        <w:tc>
          <w:tcPr>
            <w:tcW w:w="50" w:type="pct"/>
            <w:shd w:val="clear" w:color="auto" w:fill="FFFFFF"/>
            <w:noWrap/>
            <w:vAlign w:val="center"/>
            <w:hideMark/>
          </w:tcPr>
          <w:p w14:paraId="00F5974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BA598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00AB511" w14:textId="77777777" w:rsidR="00000000" w:rsidRDefault="00EB4933">
            <w:pPr>
              <w:jc w:val="right"/>
              <w:rPr>
                <w:rFonts w:eastAsia="Times New Roman"/>
                <w:sz w:val="20"/>
                <w:szCs w:val="20"/>
              </w:rPr>
            </w:pPr>
            <w:r>
              <w:rPr>
                <w:rFonts w:eastAsia="Times New Roman"/>
                <w:sz w:val="20"/>
                <w:szCs w:val="20"/>
              </w:rPr>
              <w:t>0.14</w:t>
            </w:r>
          </w:p>
        </w:tc>
        <w:tc>
          <w:tcPr>
            <w:tcW w:w="50" w:type="pct"/>
            <w:shd w:val="clear" w:color="auto" w:fill="FFFFFF"/>
            <w:noWrap/>
            <w:vAlign w:val="center"/>
            <w:hideMark/>
          </w:tcPr>
          <w:p w14:paraId="45D1249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769A4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08E68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8801832" w14:textId="77777777" w:rsidR="00000000" w:rsidRDefault="00EB4933">
            <w:pPr>
              <w:jc w:val="right"/>
              <w:rPr>
                <w:rFonts w:eastAsia="Times New Roman"/>
                <w:sz w:val="20"/>
                <w:szCs w:val="20"/>
              </w:rPr>
            </w:pPr>
            <w:r>
              <w:rPr>
                <w:rFonts w:eastAsia="Times New Roman"/>
                <w:sz w:val="20"/>
                <w:szCs w:val="20"/>
              </w:rPr>
              <w:t>(0.04</w:t>
            </w:r>
          </w:p>
        </w:tc>
        <w:tc>
          <w:tcPr>
            <w:tcW w:w="50" w:type="pct"/>
            <w:shd w:val="clear" w:color="auto" w:fill="FFFFFF"/>
            <w:noWrap/>
            <w:vAlign w:val="bottom"/>
            <w:hideMark/>
          </w:tcPr>
          <w:p w14:paraId="352CD928"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493A6B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6F12B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32CFF31" w14:textId="77777777" w:rsidR="00000000" w:rsidRDefault="00EB4933">
            <w:pPr>
              <w:jc w:val="right"/>
              <w:rPr>
                <w:rFonts w:eastAsia="Times New Roman"/>
                <w:sz w:val="20"/>
                <w:szCs w:val="20"/>
              </w:rPr>
            </w:pPr>
            <w:r>
              <w:rPr>
                <w:rFonts w:eastAsia="Times New Roman"/>
                <w:sz w:val="20"/>
                <w:szCs w:val="20"/>
              </w:rPr>
              <w:t>0.10</w:t>
            </w:r>
          </w:p>
        </w:tc>
        <w:tc>
          <w:tcPr>
            <w:tcW w:w="50" w:type="pct"/>
            <w:shd w:val="clear" w:color="auto" w:fill="FFFFFF"/>
            <w:noWrap/>
            <w:vAlign w:val="center"/>
            <w:hideMark/>
          </w:tcPr>
          <w:p w14:paraId="5046F469" w14:textId="77777777" w:rsidR="00000000" w:rsidRDefault="00EB4933">
            <w:pPr>
              <w:pStyle w:val="NormalWeb"/>
              <w:spacing w:before="0" w:beforeAutospacing="0" w:after="0" w:afterAutospacing="0"/>
              <w:rPr>
                <w:sz w:val="20"/>
                <w:szCs w:val="20"/>
              </w:rPr>
            </w:pPr>
            <w:r>
              <w:rPr>
                <w:sz w:val="20"/>
                <w:szCs w:val="20"/>
              </w:rPr>
              <w:t> </w:t>
            </w:r>
          </w:p>
        </w:tc>
      </w:tr>
      <w:tr w:rsidR="00000000" w14:paraId="2B8080C6" w14:textId="77777777">
        <w:trPr>
          <w:divId w:val="98525094"/>
          <w:trHeight w:val="225"/>
          <w:tblCellSpacing w:w="15" w:type="dxa"/>
        </w:trPr>
        <w:tc>
          <w:tcPr>
            <w:tcW w:w="0" w:type="auto"/>
            <w:shd w:val="clear" w:color="auto" w:fill="CCEEFF"/>
            <w:hideMark/>
          </w:tcPr>
          <w:p w14:paraId="2769F748" w14:textId="77777777" w:rsidR="00000000" w:rsidRDefault="00EB4933">
            <w:pPr>
              <w:pStyle w:val="NormalWeb"/>
              <w:spacing w:before="0" w:beforeAutospacing="0" w:after="0" w:afterAutospacing="0"/>
              <w:rPr>
                <w:sz w:val="20"/>
                <w:szCs w:val="20"/>
              </w:rPr>
            </w:pPr>
            <w:r>
              <w:rPr>
                <w:sz w:val="20"/>
                <w:szCs w:val="20"/>
              </w:rPr>
              <w:lastRenderedPageBreak/>
              <w:t>Weighted average number of shares outstanding in the year</w:t>
            </w:r>
          </w:p>
        </w:tc>
        <w:tc>
          <w:tcPr>
            <w:tcW w:w="50" w:type="pct"/>
            <w:shd w:val="clear" w:color="auto" w:fill="CCEEFF"/>
            <w:noWrap/>
            <w:vAlign w:val="center"/>
            <w:hideMark/>
          </w:tcPr>
          <w:p w14:paraId="274058C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9A990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7EE112A" w14:textId="77777777" w:rsidR="00000000" w:rsidRDefault="00EB4933">
            <w:pPr>
              <w:jc w:val="right"/>
              <w:rPr>
                <w:rFonts w:eastAsia="Times New Roman"/>
                <w:sz w:val="20"/>
                <w:szCs w:val="20"/>
              </w:rPr>
            </w:pPr>
            <w:r>
              <w:rPr>
                <w:rFonts w:eastAsia="Times New Roman"/>
                <w:sz w:val="20"/>
                <w:szCs w:val="20"/>
              </w:rPr>
              <w:t>236,180,071</w:t>
            </w:r>
          </w:p>
        </w:tc>
        <w:tc>
          <w:tcPr>
            <w:tcW w:w="50" w:type="pct"/>
            <w:shd w:val="clear" w:color="auto" w:fill="CCEEFF"/>
            <w:noWrap/>
            <w:vAlign w:val="center"/>
            <w:hideMark/>
          </w:tcPr>
          <w:p w14:paraId="13154DC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54A24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E179D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50C3253"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FF398B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3629A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E8B3A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941BCC0" w14:textId="77777777" w:rsidR="00000000" w:rsidRDefault="00EB4933">
            <w:pPr>
              <w:jc w:val="right"/>
              <w:rPr>
                <w:rFonts w:eastAsia="Times New Roman"/>
                <w:sz w:val="20"/>
                <w:szCs w:val="20"/>
              </w:rPr>
            </w:pPr>
            <w:r>
              <w:rPr>
                <w:rFonts w:eastAsia="Times New Roman"/>
                <w:sz w:val="20"/>
                <w:szCs w:val="20"/>
              </w:rPr>
              <w:t>236,180,071</w:t>
            </w:r>
          </w:p>
        </w:tc>
        <w:tc>
          <w:tcPr>
            <w:tcW w:w="50" w:type="pct"/>
            <w:shd w:val="clear" w:color="auto" w:fill="CCEEFF"/>
            <w:noWrap/>
            <w:vAlign w:val="center"/>
            <w:hideMark/>
          </w:tcPr>
          <w:p w14:paraId="69F307D6" w14:textId="77777777" w:rsidR="00000000" w:rsidRDefault="00EB4933">
            <w:pPr>
              <w:pStyle w:val="NormalWeb"/>
              <w:spacing w:before="0" w:beforeAutospacing="0" w:after="0" w:afterAutospacing="0"/>
              <w:rPr>
                <w:sz w:val="20"/>
                <w:szCs w:val="20"/>
              </w:rPr>
            </w:pPr>
            <w:r>
              <w:rPr>
                <w:sz w:val="20"/>
                <w:szCs w:val="20"/>
              </w:rPr>
              <w:t> </w:t>
            </w:r>
          </w:p>
        </w:tc>
      </w:tr>
    </w:tbl>
    <w:p w14:paraId="7BD8F236"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5AD902A" w14:textId="77777777">
        <w:trPr>
          <w:divId w:val="98525094"/>
          <w:trHeight w:val="225"/>
          <w:tblCellSpacing w:w="15" w:type="dxa"/>
        </w:trPr>
        <w:tc>
          <w:tcPr>
            <w:tcW w:w="0" w:type="auto"/>
            <w:vAlign w:val="center"/>
            <w:hideMark/>
          </w:tcPr>
          <w:p w14:paraId="4CD0E9FE" w14:textId="77777777" w:rsidR="00000000" w:rsidRDefault="00EB4933">
            <w:pPr>
              <w:rPr>
                <w:sz w:val="20"/>
                <w:szCs w:val="20"/>
              </w:rPr>
            </w:pPr>
          </w:p>
        </w:tc>
      </w:tr>
      <w:tr w:rsidR="00000000" w14:paraId="4D3F1E1D" w14:textId="77777777">
        <w:trPr>
          <w:divId w:val="98525094"/>
          <w:trHeight w:val="225"/>
          <w:tblCellSpacing w:w="15" w:type="dxa"/>
        </w:trPr>
        <w:tc>
          <w:tcPr>
            <w:tcW w:w="0" w:type="auto"/>
            <w:tcBorders>
              <w:bottom w:val="single" w:sz="6" w:space="0" w:color="000000"/>
            </w:tcBorders>
            <w:vAlign w:val="center"/>
            <w:hideMark/>
          </w:tcPr>
          <w:p w14:paraId="6E805B65" w14:textId="77777777" w:rsidR="00000000" w:rsidRDefault="00EB4933">
            <w:pPr>
              <w:jc w:val="center"/>
              <w:rPr>
                <w:rFonts w:eastAsia="Times New Roman"/>
                <w:sz w:val="20"/>
                <w:szCs w:val="20"/>
              </w:rPr>
            </w:pPr>
            <w:r>
              <w:rPr>
                <w:rFonts w:eastAsia="Times New Roman"/>
                <w:sz w:val="20"/>
                <w:szCs w:val="20"/>
              </w:rPr>
              <w:t>A-2</w:t>
            </w:r>
          </w:p>
        </w:tc>
      </w:tr>
      <w:tr w:rsidR="00000000" w14:paraId="1E89776A" w14:textId="77777777">
        <w:trPr>
          <w:divId w:val="98525094"/>
          <w:trHeight w:val="225"/>
          <w:tblCellSpacing w:w="15" w:type="dxa"/>
        </w:trPr>
        <w:tc>
          <w:tcPr>
            <w:tcW w:w="0" w:type="auto"/>
            <w:vAlign w:val="center"/>
            <w:hideMark/>
          </w:tcPr>
          <w:p w14:paraId="09731215" w14:textId="77777777" w:rsidR="00000000" w:rsidRDefault="00EB4933">
            <w:pPr>
              <w:rPr>
                <w:rFonts w:eastAsia="Times New Roman"/>
                <w:sz w:val="20"/>
                <w:szCs w:val="20"/>
              </w:rPr>
            </w:pPr>
          </w:p>
        </w:tc>
      </w:tr>
      <w:tr w:rsidR="00000000" w14:paraId="728D6471" w14:textId="77777777">
        <w:trPr>
          <w:divId w:val="98525094"/>
          <w:trHeight w:val="225"/>
          <w:tblCellSpacing w:w="15" w:type="dxa"/>
        </w:trPr>
        <w:tc>
          <w:tcPr>
            <w:tcW w:w="0" w:type="auto"/>
            <w:vAlign w:val="center"/>
            <w:hideMark/>
          </w:tcPr>
          <w:p w14:paraId="1AB6D170" w14:textId="77777777" w:rsidR="00000000" w:rsidRDefault="00EB4933">
            <w:pPr>
              <w:rPr>
                <w:rFonts w:eastAsia="Times New Roman"/>
                <w:sz w:val="20"/>
                <w:szCs w:val="20"/>
              </w:rPr>
            </w:pPr>
          </w:p>
        </w:tc>
      </w:tr>
    </w:tbl>
    <w:p w14:paraId="35532A1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28211D0" w14:textId="77777777" w:rsidR="00000000" w:rsidRDefault="00EB4933">
      <w:pPr>
        <w:pStyle w:val="NormalWeb"/>
        <w:spacing w:before="0" w:beforeAutospacing="0" w:after="0" w:afterAutospacing="0"/>
        <w:jc w:val="right"/>
        <w:divId w:val="98525094"/>
        <w:rPr>
          <w:sz w:val="20"/>
          <w:szCs w:val="20"/>
        </w:rPr>
      </w:pPr>
      <w:r>
        <w:rPr>
          <w:sz w:val="20"/>
          <w:szCs w:val="20"/>
          <w:u w:val="single"/>
        </w:rPr>
        <w:t>Appendix 1</w:t>
      </w:r>
      <w:r>
        <w:rPr>
          <w:sz w:val="20"/>
          <w:szCs w:val="20"/>
        </w:rPr>
        <w:t xml:space="preserve"> (Cont’d)</w:t>
      </w:r>
    </w:p>
    <w:p w14:paraId="62F23C84" w14:textId="77777777" w:rsidR="00000000" w:rsidRDefault="00EB4933">
      <w:pPr>
        <w:pStyle w:val="NormalWeb"/>
        <w:spacing w:before="0" w:beforeAutospacing="0" w:after="0" w:afterAutospacing="0"/>
        <w:jc w:val="center"/>
        <w:divId w:val="98525094"/>
        <w:rPr>
          <w:sz w:val="20"/>
          <w:szCs w:val="20"/>
        </w:rPr>
      </w:pPr>
      <w:r>
        <w:rPr>
          <w:sz w:val="20"/>
          <w:szCs w:val="20"/>
        </w:rPr>
        <w:t> </w:t>
      </w:r>
    </w:p>
    <w:p w14:paraId="020879A3"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CONSOLIDATED STATEMENTS OF FINANCIAL POSITION</w:t>
      </w:r>
    </w:p>
    <w:p w14:paraId="1A2F01FD"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(Expressed in Thousands of Chinese Renminbi Yuan)</w:t>
      </w:r>
    </w:p>
    <w:p w14:paraId="186BFAFE"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752"/>
        <w:gridCol w:w="104"/>
        <w:gridCol w:w="117"/>
        <w:gridCol w:w="813"/>
        <w:gridCol w:w="98"/>
        <w:gridCol w:w="104"/>
        <w:gridCol w:w="136"/>
        <w:gridCol w:w="983"/>
        <w:gridCol w:w="104"/>
        <w:gridCol w:w="104"/>
        <w:gridCol w:w="107"/>
        <w:gridCol w:w="818"/>
        <w:gridCol w:w="120"/>
      </w:tblGrid>
      <w:tr w:rsidR="00000000" w14:paraId="44E04CF9" w14:textId="77777777">
        <w:trPr>
          <w:divId w:val="98525094"/>
          <w:trHeight w:val="225"/>
          <w:tblCellSpacing w:w="15" w:type="dxa"/>
        </w:trPr>
        <w:tc>
          <w:tcPr>
            <w:tcW w:w="0" w:type="auto"/>
            <w:vAlign w:val="center"/>
            <w:hideMark/>
          </w:tcPr>
          <w:p w14:paraId="01888F9C"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EFA030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0852F598" w14:textId="77777777" w:rsidR="00000000" w:rsidRDefault="00EB4933">
            <w:pPr>
              <w:pStyle w:val="NormalWeb"/>
              <w:spacing w:before="0" w:beforeAutospacing="0" w:after="0" w:afterAutospacing="0"/>
              <w:jc w:val="center"/>
              <w:rPr>
                <w:sz w:val="20"/>
                <w:szCs w:val="20"/>
              </w:rPr>
            </w:pPr>
            <w:r>
              <w:rPr>
                <w:rStyle w:val="Strong"/>
                <w:sz w:val="20"/>
                <w:szCs w:val="20"/>
              </w:rPr>
              <w:t xml:space="preserve">As Previously </w:t>
            </w:r>
          </w:p>
          <w:p w14:paraId="71A48356" w14:textId="77777777" w:rsidR="00000000" w:rsidRDefault="00EB4933">
            <w:pPr>
              <w:pStyle w:val="NormalWeb"/>
              <w:spacing w:before="0" w:beforeAutospacing="0" w:after="0" w:afterAutospacing="0"/>
              <w:jc w:val="center"/>
              <w:rPr>
                <w:sz w:val="20"/>
                <w:szCs w:val="20"/>
              </w:rPr>
            </w:pPr>
            <w:r>
              <w:rPr>
                <w:rStyle w:val="Strong"/>
                <w:sz w:val="20"/>
                <w:szCs w:val="20"/>
              </w:rPr>
              <w:t>reported</w:t>
            </w:r>
          </w:p>
        </w:tc>
        <w:tc>
          <w:tcPr>
            <w:tcW w:w="0" w:type="auto"/>
            <w:noWrap/>
            <w:vAlign w:val="center"/>
            <w:hideMark/>
          </w:tcPr>
          <w:p w14:paraId="4F4F6025"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328467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2B24AAC3" w14:textId="77777777" w:rsidR="00000000" w:rsidRDefault="00EB4933">
            <w:pPr>
              <w:rPr>
                <w:sz w:val="20"/>
                <w:szCs w:val="20"/>
              </w:rPr>
            </w:pPr>
          </w:p>
        </w:tc>
        <w:tc>
          <w:tcPr>
            <w:tcW w:w="0" w:type="auto"/>
            <w:noWrap/>
            <w:vAlign w:val="center"/>
            <w:hideMark/>
          </w:tcPr>
          <w:p w14:paraId="38B7B8A8"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B33D93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0F224C63" w14:textId="77777777" w:rsidR="00000000" w:rsidRDefault="00EB4933">
            <w:pPr>
              <w:pStyle w:val="NormalWeb"/>
              <w:spacing w:before="0" w:beforeAutospacing="0" w:after="0" w:afterAutospacing="0"/>
              <w:jc w:val="center"/>
              <w:rPr>
                <w:sz w:val="20"/>
                <w:szCs w:val="20"/>
              </w:rPr>
            </w:pPr>
            <w:r>
              <w:rPr>
                <w:rStyle w:val="Strong"/>
                <w:sz w:val="20"/>
                <w:szCs w:val="20"/>
              </w:rPr>
              <w:t xml:space="preserve">As currently </w:t>
            </w:r>
          </w:p>
          <w:p w14:paraId="31D9273D" w14:textId="77777777" w:rsidR="00000000" w:rsidRDefault="00EB4933">
            <w:pPr>
              <w:pStyle w:val="NormalWeb"/>
              <w:spacing w:before="0" w:beforeAutospacing="0" w:after="0" w:afterAutospacing="0"/>
              <w:jc w:val="center"/>
              <w:rPr>
                <w:sz w:val="20"/>
                <w:szCs w:val="20"/>
              </w:rPr>
            </w:pPr>
            <w:r>
              <w:rPr>
                <w:rStyle w:val="Strong"/>
                <w:sz w:val="20"/>
                <w:szCs w:val="20"/>
              </w:rPr>
              <w:t>reported</w:t>
            </w:r>
          </w:p>
        </w:tc>
        <w:tc>
          <w:tcPr>
            <w:tcW w:w="0" w:type="auto"/>
            <w:noWrap/>
            <w:vAlign w:val="center"/>
            <w:hideMark/>
          </w:tcPr>
          <w:p w14:paraId="72C32E9E" w14:textId="77777777" w:rsidR="00000000" w:rsidRDefault="00EB4933">
            <w:pPr>
              <w:pStyle w:val="NormalWeb"/>
              <w:spacing w:before="0" w:beforeAutospacing="0" w:after="0" w:afterAutospacing="0"/>
              <w:rPr>
                <w:sz w:val="20"/>
                <w:szCs w:val="20"/>
              </w:rPr>
            </w:pPr>
            <w:r>
              <w:rPr>
                <w:sz w:val="20"/>
                <w:szCs w:val="20"/>
              </w:rPr>
              <w:t> </w:t>
            </w:r>
          </w:p>
        </w:tc>
      </w:tr>
      <w:tr w:rsidR="00000000" w14:paraId="4BF9F1CD" w14:textId="77777777">
        <w:trPr>
          <w:divId w:val="98525094"/>
          <w:trHeight w:val="225"/>
          <w:tblCellSpacing w:w="15" w:type="dxa"/>
        </w:trPr>
        <w:tc>
          <w:tcPr>
            <w:tcW w:w="0" w:type="auto"/>
            <w:vAlign w:val="center"/>
            <w:hideMark/>
          </w:tcPr>
          <w:p w14:paraId="6BF5C3BF"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E6367AE"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568D4A43" w14:textId="77777777" w:rsidR="00000000" w:rsidRDefault="00EB4933">
            <w:pPr>
              <w:pStyle w:val="NormalWeb"/>
              <w:spacing w:before="0" w:beforeAutospacing="0" w:after="0" w:afterAutospacing="0"/>
              <w:jc w:val="center"/>
              <w:rPr>
                <w:sz w:val="20"/>
                <w:szCs w:val="20"/>
              </w:rPr>
            </w:pPr>
            <w:r>
              <w:rPr>
                <w:rStyle w:val="Strong"/>
                <w:sz w:val="20"/>
                <w:szCs w:val="20"/>
              </w:rPr>
              <w:t>2017</w:t>
            </w:r>
          </w:p>
        </w:tc>
        <w:tc>
          <w:tcPr>
            <w:tcW w:w="0" w:type="auto"/>
            <w:noWrap/>
            <w:vAlign w:val="center"/>
            <w:hideMark/>
          </w:tcPr>
          <w:p w14:paraId="0566D432"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4E72C3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4397768C" w14:textId="77777777" w:rsidR="00000000" w:rsidRDefault="00EB4933">
            <w:pPr>
              <w:pStyle w:val="NormalWeb"/>
              <w:spacing w:before="0" w:beforeAutospacing="0" w:after="0" w:afterAutospacing="0"/>
              <w:jc w:val="center"/>
              <w:rPr>
                <w:sz w:val="20"/>
                <w:szCs w:val="20"/>
              </w:rPr>
            </w:pPr>
            <w:r>
              <w:rPr>
                <w:rStyle w:val="Strong"/>
                <w:sz w:val="20"/>
                <w:szCs w:val="20"/>
              </w:rPr>
              <w:t>Adjustments</w:t>
            </w:r>
          </w:p>
        </w:tc>
        <w:tc>
          <w:tcPr>
            <w:tcW w:w="0" w:type="auto"/>
            <w:noWrap/>
            <w:vAlign w:val="center"/>
            <w:hideMark/>
          </w:tcPr>
          <w:p w14:paraId="24ABA06B"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735EE41"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1B021519" w14:textId="77777777" w:rsidR="00000000" w:rsidRDefault="00EB4933">
            <w:pPr>
              <w:pStyle w:val="NormalWeb"/>
              <w:spacing w:before="0" w:beforeAutospacing="0" w:after="0" w:afterAutospacing="0"/>
              <w:jc w:val="center"/>
              <w:rPr>
                <w:sz w:val="20"/>
                <w:szCs w:val="20"/>
              </w:rPr>
            </w:pPr>
            <w:r>
              <w:rPr>
                <w:rStyle w:val="Strong"/>
                <w:sz w:val="20"/>
                <w:szCs w:val="20"/>
              </w:rPr>
              <w:t>2017</w:t>
            </w:r>
          </w:p>
        </w:tc>
        <w:tc>
          <w:tcPr>
            <w:tcW w:w="0" w:type="auto"/>
            <w:noWrap/>
            <w:vAlign w:val="center"/>
            <w:hideMark/>
          </w:tcPr>
          <w:p w14:paraId="39F01F9F" w14:textId="77777777" w:rsidR="00000000" w:rsidRDefault="00EB4933">
            <w:pPr>
              <w:pStyle w:val="NormalWeb"/>
              <w:spacing w:before="0" w:beforeAutospacing="0" w:after="0" w:afterAutospacing="0"/>
              <w:rPr>
                <w:sz w:val="20"/>
                <w:szCs w:val="20"/>
              </w:rPr>
            </w:pPr>
            <w:r>
              <w:rPr>
                <w:sz w:val="20"/>
                <w:szCs w:val="20"/>
              </w:rPr>
              <w:t> </w:t>
            </w:r>
          </w:p>
        </w:tc>
      </w:tr>
      <w:tr w:rsidR="00000000" w14:paraId="6E26027F" w14:textId="77777777">
        <w:trPr>
          <w:divId w:val="98525094"/>
          <w:trHeight w:val="225"/>
          <w:tblCellSpacing w:w="15" w:type="dxa"/>
        </w:trPr>
        <w:tc>
          <w:tcPr>
            <w:tcW w:w="0" w:type="auto"/>
            <w:vAlign w:val="center"/>
            <w:hideMark/>
          </w:tcPr>
          <w:p w14:paraId="4EBE138C"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D00C60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51BA41DA"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17D2853"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980FA1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406A9E9"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EB0FE8C"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72235D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0677A7E3"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77066D6" w14:textId="77777777" w:rsidR="00000000" w:rsidRDefault="00EB4933">
            <w:pPr>
              <w:pStyle w:val="NormalWeb"/>
              <w:spacing w:before="0" w:beforeAutospacing="0" w:after="0" w:afterAutospacing="0"/>
              <w:rPr>
                <w:sz w:val="20"/>
                <w:szCs w:val="20"/>
              </w:rPr>
            </w:pPr>
            <w:r>
              <w:rPr>
                <w:sz w:val="20"/>
                <w:szCs w:val="20"/>
              </w:rPr>
              <w:t> </w:t>
            </w:r>
          </w:p>
        </w:tc>
      </w:tr>
      <w:tr w:rsidR="00000000" w14:paraId="019F6803" w14:textId="77777777">
        <w:trPr>
          <w:divId w:val="98525094"/>
          <w:trHeight w:val="225"/>
          <w:tblCellSpacing w:w="15" w:type="dxa"/>
        </w:trPr>
        <w:tc>
          <w:tcPr>
            <w:tcW w:w="0" w:type="auto"/>
            <w:hideMark/>
          </w:tcPr>
          <w:p w14:paraId="433AAB69" w14:textId="77777777" w:rsidR="00000000" w:rsidRDefault="00EB4933">
            <w:pPr>
              <w:pStyle w:val="NormalWeb"/>
              <w:spacing w:before="0" w:beforeAutospacing="0" w:after="0" w:afterAutospacing="0"/>
              <w:rPr>
                <w:sz w:val="20"/>
                <w:szCs w:val="20"/>
              </w:rPr>
            </w:pPr>
            <w:r>
              <w:rPr>
                <w:rStyle w:val="Strong"/>
                <w:sz w:val="20"/>
                <w:szCs w:val="20"/>
              </w:rPr>
              <w:t>ASSETS</w:t>
            </w:r>
          </w:p>
        </w:tc>
        <w:tc>
          <w:tcPr>
            <w:tcW w:w="50" w:type="pct"/>
            <w:noWrap/>
            <w:vAlign w:val="center"/>
            <w:hideMark/>
          </w:tcPr>
          <w:p w14:paraId="3CCEBCE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232AB82"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CEA8B25"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CE8DA04"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6C00A18B"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F424662"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C93053A"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0F3C6401"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AD53D5A" w14:textId="77777777" w:rsidR="00000000" w:rsidRDefault="00EB4933">
            <w:pPr>
              <w:pStyle w:val="NormalWeb"/>
              <w:spacing w:before="0" w:beforeAutospacing="0" w:after="0" w:afterAutospacing="0"/>
              <w:rPr>
                <w:sz w:val="20"/>
                <w:szCs w:val="20"/>
              </w:rPr>
            </w:pPr>
            <w:r>
              <w:rPr>
                <w:sz w:val="20"/>
                <w:szCs w:val="20"/>
              </w:rPr>
              <w:t> </w:t>
            </w:r>
          </w:p>
        </w:tc>
      </w:tr>
      <w:tr w:rsidR="00000000" w14:paraId="4B2E63AD" w14:textId="77777777">
        <w:trPr>
          <w:divId w:val="98525094"/>
          <w:trHeight w:val="225"/>
          <w:tblCellSpacing w:w="15" w:type="dxa"/>
        </w:trPr>
        <w:tc>
          <w:tcPr>
            <w:tcW w:w="0" w:type="auto"/>
            <w:hideMark/>
          </w:tcPr>
          <w:p w14:paraId="5B65E50C" w14:textId="77777777" w:rsidR="00000000" w:rsidRDefault="00EB4933">
            <w:pPr>
              <w:pStyle w:val="NormalWeb"/>
              <w:spacing w:before="0" w:beforeAutospacing="0" w:after="0" w:afterAutospacing="0"/>
              <w:rPr>
                <w:sz w:val="20"/>
                <w:szCs w:val="20"/>
              </w:rPr>
            </w:pPr>
            <w:r>
              <w:rPr>
                <w:rStyle w:val="Strong"/>
                <w:sz w:val="20"/>
                <w:szCs w:val="20"/>
              </w:rPr>
              <w:t>CURRENT ASSETS</w:t>
            </w:r>
          </w:p>
        </w:tc>
        <w:tc>
          <w:tcPr>
            <w:tcW w:w="50" w:type="pct"/>
            <w:noWrap/>
            <w:vAlign w:val="center"/>
            <w:hideMark/>
          </w:tcPr>
          <w:p w14:paraId="6F10F2C5"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783E6D11"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DEB2EF9"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275BB6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49A454E9"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05A4257"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61AFD95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2311733"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053D566" w14:textId="77777777" w:rsidR="00000000" w:rsidRDefault="00EB4933">
            <w:pPr>
              <w:pStyle w:val="NormalWeb"/>
              <w:spacing w:before="0" w:beforeAutospacing="0" w:after="0" w:afterAutospacing="0"/>
              <w:rPr>
                <w:sz w:val="20"/>
                <w:szCs w:val="20"/>
              </w:rPr>
            </w:pPr>
            <w:r>
              <w:rPr>
                <w:sz w:val="20"/>
                <w:szCs w:val="20"/>
              </w:rPr>
              <w:t> </w:t>
            </w:r>
          </w:p>
        </w:tc>
      </w:tr>
      <w:tr w:rsidR="00000000" w14:paraId="54E52104" w14:textId="77777777">
        <w:trPr>
          <w:divId w:val="98525094"/>
          <w:trHeight w:val="225"/>
          <w:tblCellSpacing w:w="15" w:type="dxa"/>
        </w:trPr>
        <w:tc>
          <w:tcPr>
            <w:tcW w:w="0" w:type="auto"/>
            <w:shd w:val="clear" w:color="auto" w:fill="CCEEFF"/>
            <w:hideMark/>
          </w:tcPr>
          <w:p w14:paraId="4DB2B179" w14:textId="77777777" w:rsidR="00000000" w:rsidRDefault="00EB4933">
            <w:pPr>
              <w:pStyle w:val="NormalWeb"/>
              <w:spacing w:before="0" w:beforeAutospacing="0" w:after="0" w:afterAutospacing="0"/>
              <w:rPr>
                <w:sz w:val="20"/>
                <w:szCs w:val="20"/>
              </w:rPr>
            </w:pPr>
            <w:r>
              <w:rPr>
                <w:sz w:val="20"/>
                <w:szCs w:val="20"/>
              </w:rPr>
              <w:t>Cash and cash equivalents</w:t>
            </w:r>
          </w:p>
        </w:tc>
        <w:tc>
          <w:tcPr>
            <w:tcW w:w="50" w:type="pct"/>
            <w:shd w:val="clear" w:color="auto" w:fill="CCEEFF"/>
            <w:noWrap/>
            <w:vAlign w:val="center"/>
            <w:hideMark/>
          </w:tcPr>
          <w:p w14:paraId="5B4F4FB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B0FFE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D555EFC" w14:textId="77777777" w:rsidR="00000000" w:rsidRDefault="00EB4933">
            <w:pPr>
              <w:jc w:val="right"/>
              <w:rPr>
                <w:rFonts w:eastAsia="Times New Roman"/>
                <w:sz w:val="20"/>
                <w:szCs w:val="20"/>
              </w:rPr>
            </w:pPr>
            <w:r>
              <w:rPr>
                <w:rFonts w:eastAsia="Times New Roman"/>
                <w:sz w:val="20"/>
                <w:szCs w:val="20"/>
              </w:rPr>
              <w:t>21,717</w:t>
            </w:r>
          </w:p>
        </w:tc>
        <w:tc>
          <w:tcPr>
            <w:tcW w:w="50" w:type="pct"/>
            <w:shd w:val="clear" w:color="auto" w:fill="CCEEFF"/>
            <w:noWrap/>
            <w:vAlign w:val="center"/>
            <w:hideMark/>
          </w:tcPr>
          <w:p w14:paraId="4F29DA3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A6373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A0354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F27F261"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A8A3F1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A2422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CF7C0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5D5C713" w14:textId="77777777" w:rsidR="00000000" w:rsidRDefault="00EB4933">
            <w:pPr>
              <w:jc w:val="right"/>
              <w:rPr>
                <w:rFonts w:eastAsia="Times New Roman"/>
                <w:sz w:val="20"/>
                <w:szCs w:val="20"/>
              </w:rPr>
            </w:pPr>
            <w:r>
              <w:rPr>
                <w:rFonts w:eastAsia="Times New Roman"/>
                <w:sz w:val="20"/>
                <w:szCs w:val="20"/>
              </w:rPr>
              <w:t>21,717</w:t>
            </w:r>
          </w:p>
        </w:tc>
        <w:tc>
          <w:tcPr>
            <w:tcW w:w="50" w:type="pct"/>
            <w:shd w:val="clear" w:color="auto" w:fill="CCEEFF"/>
            <w:noWrap/>
            <w:vAlign w:val="center"/>
            <w:hideMark/>
          </w:tcPr>
          <w:p w14:paraId="6542F606" w14:textId="77777777" w:rsidR="00000000" w:rsidRDefault="00EB4933">
            <w:pPr>
              <w:pStyle w:val="NormalWeb"/>
              <w:spacing w:before="0" w:beforeAutospacing="0" w:after="0" w:afterAutospacing="0"/>
              <w:rPr>
                <w:sz w:val="20"/>
                <w:szCs w:val="20"/>
              </w:rPr>
            </w:pPr>
            <w:r>
              <w:rPr>
                <w:sz w:val="20"/>
                <w:szCs w:val="20"/>
              </w:rPr>
              <w:t> </w:t>
            </w:r>
          </w:p>
        </w:tc>
      </w:tr>
      <w:tr w:rsidR="00000000" w14:paraId="1884E63C" w14:textId="77777777">
        <w:trPr>
          <w:divId w:val="98525094"/>
          <w:trHeight w:val="225"/>
          <w:tblCellSpacing w:w="15" w:type="dxa"/>
        </w:trPr>
        <w:tc>
          <w:tcPr>
            <w:tcW w:w="0" w:type="auto"/>
            <w:shd w:val="clear" w:color="auto" w:fill="FFFFFF"/>
            <w:hideMark/>
          </w:tcPr>
          <w:p w14:paraId="75307250" w14:textId="77777777" w:rsidR="00000000" w:rsidRDefault="00EB4933">
            <w:pPr>
              <w:pStyle w:val="NormalWeb"/>
              <w:spacing w:before="0" w:beforeAutospacing="0" w:after="0" w:afterAutospacing="0"/>
              <w:rPr>
                <w:sz w:val="20"/>
                <w:szCs w:val="20"/>
              </w:rPr>
            </w:pPr>
            <w:r>
              <w:rPr>
                <w:sz w:val="20"/>
                <w:szCs w:val="20"/>
              </w:rPr>
              <w:t>Interest receivables, net of credit impairment losses</w:t>
            </w:r>
          </w:p>
        </w:tc>
        <w:tc>
          <w:tcPr>
            <w:tcW w:w="50" w:type="pct"/>
            <w:shd w:val="clear" w:color="auto" w:fill="FFFFFF"/>
            <w:noWrap/>
            <w:vAlign w:val="center"/>
            <w:hideMark/>
          </w:tcPr>
          <w:p w14:paraId="5E9E5B6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2641E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2BA5A69" w14:textId="77777777" w:rsidR="00000000" w:rsidRDefault="00EB4933">
            <w:pPr>
              <w:jc w:val="right"/>
              <w:rPr>
                <w:rFonts w:eastAsia="Times New Roman"/>
                <w:sz w:val="20"/>
                <w:szCs w:val="20"/>
              </w:rPr>
            </w:pPr>
            <w:r>
              <w:rPr>
                <w:rFonts w:eastAsia="Times New Roman"/>
                <w:sz w:val="20"/>
                <w:szCs w:val="20"/>
              </w:rPr>
              <w:t>39,628</w:t>
            </w:r>
          </w:p>
        </w:tc>
        <w:tc>
          <w:tcPr>
            <w:tcW w:w="50" w:type="pct"/>
            <w:shd w:val="clear" w:color="auto" w:fill="FFFFFF"/>
            <w:noWrap/>
            <w:vAlign w:val="center"/>
            <w:hideMark/>
          </w:tcPr>
          <w:p w14:paraId="222B49C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BA5D1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930B1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51E0877"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C37882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6F58F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B423C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CCCE699" w14:textId="77777777" w:rsidR="00000000" w:rsidRDefault="00EB4933">
            <w:pPr>
              <w:jc w:val="right"/>
              <w:rPr>
                <w:rFonts w:eastAsia="Times New Roman"/>
                <w:sz w:val="20"/>
                <w:szCs w:val="20"/>
              </w:rPr>
            </w:pPr>
            <w:r>
              <w:rPr>
                <w:rFonts w:eastAsia="Times New Roman"/>
                <w:sz w:val="20"/>
                <w:szCs w:val="20"/>
              </w:rPr>
              <w:t>39,628</w:t>
            </w:r>
          </w:p>
        </w:tc>
        <w:tc>
          <w:tcPr>
            <w:tcW w:w="50" w:type="pct"/>
            <w:shd w:val="clear" w:color="auto" w:fill="FFFFFF"/>
            <w:noWrap/>
            <w:vAlign w:val="center"/>
            <w:hideMark/>
          </w:tcPr>
          <w:p w14:paraId="0BB7780B" w14:textId="77777777" w:rsidR="00000000" w:rsidRDefault="00EB4933">
            <w:pPr>
              <w:pStyle w:val="NormalWeb"/>
              <w:spacing w:before="0" w:beforeAutospacing="0" w:after="0" w:afterAutospacing="0"/>
              <w:rPr>
                <w:sz w:val="20"/>
                <w:szCs w:val="20"/>
              </w:rPr>
            </w:pPr>
            <w:r>
              <w:rPr>
                <w:sz w:val="20"/>
                <w:szCs w:val="20"/>
              </w:rPr>
              <w:t> </w:t>
            </w:r>
          </w:p>
        </w:tc>
      </w:tr>
      <w:tr w:rsidR="00000000" w14:paraId="08614ED0" w14:textId="77777777">
        <w:trPr>
          <w:divId w:val="98525094"/>
          <w:trHeight w:val="225"/>
          <w:tblCellSpacing w:w="15" w:type="dxa"/>
        </w:trPr>
        <w:tc>
          <w:tcPr>
            <w:tcW w:w="0" w:type="auto"/>
            <w:shd w:val="clear" w:color="auto" w:fill="CCEEFF"/>
            <w:hideMark/>
          </w:tcPr>
          <w:p w14:paraId="3D815407" w14:textId="77777777" w:rsidR="00000000" w:rsidRDefault="00EB4933">
            <w:pPr>
              <w:pStyle w:val="NormalWeb"/>
              <w:spacing w:before="0" w:beforeAutospacing="0" w:after="0" w:afterAutospacing="0"/>
              <w:rPr>
                <w:sz w:val="20"/>
                <w:szCs w:val="20"/>
              </w:rPr>
            </w:pPr>
            <w:r>
              <w:rPr>
                <w:sz w:val="20"/>
                <w:szCs w:val="20"/>
              </w:rPr>
              <w:t>Loans receivable, net of credit impairment losses</w:t>
            </w:r>
          </w:p>
        </w:tc>
        <w:tc>
          <w:tcPr>
            <w:tcW w:w="50" w:type="pct"/>
            <w:shd w:val="clear" w:color="auto" w:fill="CCEEFF"/>
            <w:noWrap/>
            <w:vAlign w:val="center"/>
            <w:hideMark/>
          </w:tcPr>
          <w:p w14:paraId="25816E4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707C8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366F023" w14:textId="77777777" w:rsidR="00000000" w:rsidRDefault="00EB4933">
            <w:pPr>
              <w:jc w:val="right"/>
              <w:rPr>
                <w:rFonts w:eastAsia="Times New Roman"/>
                <w:sz w:val="20"/>
                <w:szCs w:val="20"/>
              </w:rPr>
            </w:pPr>
            <w:r>
              <w:rPr>
                <w:rFonts w:eastAsia="Times New Roman"/>
                <w:sz w:val="20"/>
                <w:szCs w:val="20"/>
              </w:rPr>
              <w:t>791,390</w:t>
            </w:r>
          </w:p>
        </w:tc>
        <w:tc>
          <w:tcPr>
            <w:tcW w:w="50" w:type="pct"/>
            <w:shd w:val="clear" w:color="auto" w:fill="CCEEFF"/>
            <w:noWrap/>
            <w:vAlign w:val="center"/>
            <w:hideMark/>
          </w:tcPr>
          <w:p w14:paraId="1F172A2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B835C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F36AC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C53640D"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6321CF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B8E0C3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76933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6F954AF" w14:textId="77777777" w:rsidR="00000000" w:rsidRDefault="00EB4933">
            <w:pPr>
              <w:jc w:val="right"/>
              <w:rPr>
                <w:rFonts w:eastAsia="Times New Roman"/>
                <w:sz w:val="20"/>
                <w:szCs w:val="20"/>
              </w:rPr>
            </w:pPr>
            <w:r>
              <w:rPr>
                <w:rFonts w:eastAsia="Times New Roman"/>
                <w:sz w:val="20"/>
                <w:szCs w:val="20"/>
              </w:rPr>
              <w:t>791,390</w:t>
            </w:r>
          </w:p>
        </w:tc>
        <w:tc>
          <w:tcPr>
            <w:tcW w:w="50" w:type="pct"/>
            <w:shd w:val="clear" w:color="auto" w:fill="CCEEFF"/>
            <w:noWrap/>
            <w:vAlign w:val="center"/>
            <w:hideMark/>
          </w:tcPr>
          <w:p w14:paraId="7632728C" w14:textId="77777777" w:rsidR="00000000" w:rsidRDefault="00EB4933">
            <w:pPr>
              <w:pStyle w:val="NormalWeb"/>
              <w:spacing w:before="0" w:beforeAutospacing="0" w:after="0" w:afterAutospacing="0"/>
              <w:rPr>
                <w:sz w:val="20"/>
                <w:szCs w:val="20"/>
              </w:rPr>
            </w:pPr>
            <w:r>
              <w:rPr>
                <w:sz w:val="20"/>
                <w:szCs w:val="20"/>
              </w:rPr>
              <w:t> </w:t>
            </w:r>
          </w:p>
        </w:tc>
      </w:tr>
      <w:tr w:rsidR="00000000" w14:paraId="0D2C8818" w14:textId="77777777">
        <w:trPr>
          <w:divId w:val="98525094"/>
          <w:trHeight w:val="225"/>
          <w:tblCellSpacing w:w="15" w:type="dxa"/>
        </w:trPr>
        <w:tc>
          <w:tcPr>
            <w:tcW w:w="0" w:type="auto"/>
            <w:shd w:val="clear" w:color="auto" w:fill="FFFFFF"/>
            <w:hideMark/>
          </w:tcPr>
          <w:p w14:paraId="18192F0C" w14:textId="77777777" w:rsidR="00000000" w:rsidRDefault="00EB4933">
            <w:pPr>
              <w:pStyle w:val="NormalWeb"/>
              <w:spacing w:before="0" w:beforeAutospacing="0" w:after="0" w:afterAutospacing="0"/>
              <w:rPr>
                <w:sz w:val="20"/>
                <w:szCs w:val="20"/>
              </w:rPr>
            </w:pPr>
            <w:r>
              <w:rPr>
                <w:sz w:val="20"/>
                <w:szCs w:val="20"/>
              </w:rPr>
              <w:t>Prepaid expenses and others (note 6)</w:t>
            </w:r>
          </w:p>
        </w:tc>
        <w:tc>
          <w:tcPr>
            <w:tcW w:w="50" w:type="pct"/>
            <w:shd w:val="clear" w:color="auto" w:fill="FFFFFF"/>
            <w:noWrap/>
            <w:vAlign w:val="center"/>
            <w:hideMark/>
          </w:tcPr>
          <w:p w14:paraId="192E9CA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C3C7C7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7800493" w14:textId="77777777" w:rsidR="00000000" w:rsidRDefault="00EB4933">
            <w:pPr>
              <w:jc w:val="right"/>
              <w:rPr>
                <w:rFonts w:eastAsia="Times New Roman"/>
                <w:sz w:val="20"/>
                <w:szCs w:val="20"/>
              </w:rPr>
            </w:pPr>
            <w:r>
              <w:rPr>
                <w:rFonts w:eastAsia="Times New Roman"/>
                <w:sz w:val="20"/>
                <w:szCs w:val="20"/>
              </w:rPr>
              <w:t>15,411</w:t>
            </w:r>
          </w:p>
        </w:tc>
        <w:tc>
          <w:tcPr>
            <w:tcW w:w="50" w:type="pct"/>
            <w:shd w:val="clear" w:color="auto" w:fill="FFFFFF"/>
            <w:noWrap/>
            <w:tcMar>
              <w:top w:w="0" w:type="dxa"/>
              <w:left w:w="0" w:type="dxa"/>
              <w:bottom w:w="15" w:type="dxa"/>
              <w:right w:w="0" w:type="dxa"/>
            </w:tcMar>
            <w:vAlign w:val="center"/>
            <w:hideMark/>
          </w:tcPr>
          <w:p w14:paraId="753C545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7C7EC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1174A0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57F531F" w14:textId="77777777" w:rsidR="00000000" w:rsidRDefault="00EB4933">
            <w:pPr>
              <w:jc w:val="right"/>
              <w:rPr>
                <w:rFonts w:eastAsia="Times New Roman"/>
                <w:sz w:val="20"/>
                <w:szCs w:val="20"/>
              </w:rPr>
            </w:pPr>
            <w:r>
              <w:rPr>
                <w:rFonts w:eastAsia="Times New Roman"/>
                <w:sz w:val="20"/>
                <w:szCs w:val="20"/>
              </w:rPr>
              <w:t>(14,928</w:t>
            </w:r>
          </w:p>
        </w:tc>
        <w:tc>
          <w:tcPr>
            <w:tcW w:w="50" w:type="pct"/>
            <w:shd w:val="clear" w:color="auto" w:fill="FFFFFF"/>
            <w:noWrap/>
            <w:tcMar>
              <w:top w:w="0" w:type="dxa"/>
              <w:left w:w="0" w:type="dxa"/>
              <w:bottom w:w="15" w:type="dxa"/>
              <w:right w:w="0" w:type="dxa"/>
            </w:tcMar>
            <w:vAlign w:val="bottom"/>
            <w:hideMark/>
          </w:tcPr>
          <w:p w14:paraId="40A493AB"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4C1E4E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D78683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F41B83B" w14:textId="77777777" w:rsidR="00000000" w:rsidRDefault="00EB4933">
            <w:pPr>
              <w:jc w:val="right"/>
              <w:rPr>
                <w:rFonts w:eastAsia="Times New Roman"/>
                <w:sz w:val="20"/>
                <w:szCs w:val="20"/>
              </w:rPr>
            </w:pPr>
            <w:r>
              <w:rPr>
                <w:rFonts w:eastAsia="Times New Roman"/>
                <w:sz w:val="20"/>
                <w:szCs w:val="20"/>
              </w:rPr>
              <w:t>483</w:t>
            </w:r>
          </w:p>
        </w:tc>
        <w:tc>
          <w:tcPr>
            <w:tcW w:w="50" w:type="pct"/>
            <w:shd w:val="clear" w:color="auto" w:fill="FFFFFF"/>
            <w:noWrap/>
            <w:tcMar>
              <w:top w:w="0" w:type="dxa"/>
              <w:left w:w="0" w:type="dxa"/>
              <w:bottom w:w="15" w:type="dxa"/>
              <w:right w:w="0" w:type="dxa"/>
            </w:tcMar>
            <w:vAlign w:val="center"/>
            <w:hideMark/>
          </w:tcPr>
          <w:p w14:paraId="07456B28" w14:textId="77777777" w:rsidR="00000000" w:rsidRDefault="00EB4933">
            <w:pPr>
              <w:pStyle w:val="NormalWeb"/>
              <w:spacing w:before="0" w:beforeAutospacing="0" w:after="0" w:afterAutospacing="0"/>
              <w:rPr>
                <w:sz w:val="20"/>
                <w:szCs w:val="20"/>
              </w:rPr>
            </w:pPr>
            <w:r>
              <w:rPr>
                <w:sz w:val="20"/>
                <w:szCs w:val="20"/>
              </w:rPr>
              <w:t> </w:t>
            </w:r>
          </w:p>
        </w:tc>
      </w:tr>
      <w:tr w:rsidR="00000000" w14:paraId="159F6F24" w14:textId="77777777">
        <w:trPr>
          <w:divId w:val="98525094"/>
          <w:trHeight w:val="225"/>
          <w:tblCellSpacing w:w="15" w:type="dxa"/>
        </w:trPr>
        <w:tc>
          <w:tcPr>
            <w:tcW w:w="0" w:type="auto"/>
            <w:shd w:val="clear" w:color="auto" w:fill="CCEEFF"/>
            <w:hideMark/>
          </w:tcPr>
          <w:p w14:paraId="006DBACB" w14:textId="77777777" w:rsidR="00000000" w:rsidRDefault="00EB4933">
            <w:pPr>
              <w:pStyle w:val="NormalWeb"/>
              <w:spacing w:before="0" w:beforeAutospacing="0" w:after="0" w:afterAutospacing="0"/>
              <w:rPr>
                <w:sz w:val="20"/>
                <w:szCs w:val="20"/>
              </w:rPr>
            </w:pPr>
            <w:r>
              <w:rPr>
                <w:rStyle w:val="Strong"/>
                <w:sz w:val="20"/>
                <w:szCs w:val="20"/>
              </w:rPr>
              <w:t>Total current assets</w:t>
            </w:r>
          </w:p>
        </w:tc>
        <w:tc>
          <w:tcPr>
            <w:tcW w:w="50" w:type="pct"/>
            <w:shd w:val="clear" w:color="auto" w:fill="CCEEFF"/>
            <w:noWrap/>
            <w:vAlign w:val="center"/>
            <w:hideMark/>
          </w:tcPr>
          <w:p w14:paraId="0CA3A87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D825882"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C8A6DED" w14:textId="77777777" w:rsidR="00000000" w:rsidRDefault="00EB4933">
            <w:pPr>
              <w:jc w:val="right"/>
              <w:rPr>
                <w:rFonts w:eastAsia="Times New Roman"/>
                <w:sz w:val="20"/>
                <w:szCs w:val="20"/>
              </w:rPr>
            </w:pPr>
            <w:r>
              <w:rPr>
                <w:rFonts w:eastAsia="Times New Roman"/>
                <w:sz w:val="20"/>
                <w:szCs w:val="20"/>
              </w:rPr>
              <w:t>868,146</w:t>
            </w:r>
          </w:p>
        </w:tc>
        <w:tc>
          <w:tcPr>
            <w:tcW w:w="50" w:type="pct"/>
            <w:shd w:val="clear" w:color="auto" w:fill="CCEEFF"/>
            <w:noWrap/>
            <w:tcMar>
              <w:top w:w="0" w:type="dxa"/>
              <w:left w:w="0" w:type="dxa"/>
              <w:bottom w:w="15" w:type="dxa"/>
              <w:right w:w="0" w:type="dxa"/>
            </w:tcMar>
            <w:vAlign w:val="center"/>
            <w:hideMark/>
          </w:tcPr>
          <w:p w14:paraId="35A7CE2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9D6D3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F739AC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1061FFB" w14:textId="77777777" w:rsidR="00000000" w:rsidRDefault="00EB4933">
            <w:pPr>
              <w:jc w:val="right"/>
              <w:rPr>
                <w:rFonts w:eastAsia="Times New Roman"/>
                <w:sz w:val="20"/>
                <w:szCs w:val="20"/>
              </w:rPr>
            </w:pPr>
            <w:r>
              <w:rPr>
                <w:rFonts w:eastAsia="Times New Roman"/>
                <w:sz w:val="20"/>
                <w:szCs w:val="20"/>
              </w:rPr>
              <w:t>(14,928</w:t>
            </w:r>
          </w:p>
        </w:tc>
        <w:tc>
          <w:tcPr>
            <w:tcW w:w="50" w:type="pct"/>
            <w:shd w:val="clear" w:color="auto" w:fill="CCEEFF"/>
            <w:noWrap/>
            <w:tcMar>
              <w:top w:w="0" w:type="dxa"/>
              <w:left w:w="0" w:type="dxa"/>
              <w:bottom w:w="15" w:type="dxa"/>
              <w:right w:w="0" w:type="dxa"/>
            </w:tcMar>
            <w:vAlign w:val="bottom"/>
            <w:hideMark/>
          </w:tcPr>
          <w:p w14:paraId="4305DB67"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2BEE04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FAEBFC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E0154FE" w14:textId="77777777" w:rsidR="00000000" w:rsidRDefault="00EB4933">
            <w:pPr>
              <w:jc w:val="right"/>
              <w:rPr>
                <w:rFonts w:eastAsia="Times New Roman"/>
                <w:sz w:val="20"/>
                <w:szCs w:val="20"/>
              </w:rPr>
            </w:pPr>
            <w:r>
              <w:rPr>
                <w:rFonts w:eastAsia="Times New Roman"/>
                <w:sz w:val="20"/>
                <w:szCs w:val="20"/>
              </w:rPr>
              <w:t>853,218</w:t>
            </w:r>
          </w:p>
        </w:tc>
        <w:tc>
          <w:tcPr>
            <w:tcW w:w="50" w:type="pct"/>
            <w:shd w:val="clear" w:color="auto" w:fill="CCEEFF"/>
            <w:noWrap/>
            <w:tcMar>
              <w:top w:w="0" w:type="dxa"/>
              <w:left w:w="0" w:type="dxa"/>
              <w:bottom w:w="15" w:type="dxa"/>
              <w:right w:w="0" w:type="dxa"/>
            </w:tcMar>
            <w:vAlign w:val="center"/>
            <w:hideMark/>
          </w:tcPr>
          <w:p w14:paraId="44268A96" w14:textId="77777777" w:rsidR="00000000" w:rsidRDefault="00EB4933">
            <w:pPr>
              <w:pStyle w:val="NormalWeb"/>
              <w:spacing w:before="0" w:beforeAutospacing="0" w:after="0" w:afterAutospacing="0"/>
              <w:rPr>
                <w:sz w:val="20"/>
                <w:szCs w:val="20"/>
              </w:rPr>
            </w:pPr>
            <w:r>
              <w:rPr>
                <w:sz w:val="20"/>
                <w:szCs w:val="20"/>
              </w:rPr>
              <w:t> </w:t>
            </w:r>
          </w:p>
        </w:tc>
      </w:tr>
      <w:tr w:rsidR="00000000" w14:paraId="45DFFAAB" w14:textId="77777777">
        <w:trPr>
          <w:divId w:val="98525094"/>
          <w:trHeight w:val="225"/>
          <w:tblCellSpacing w:w="15" w:type="dxa"/>
        </w:trPr>
        <w:tc>
          <w:tcPr>
            <w:tcW w:w="0" w:type="auto"/>
            <w:shd w:val="clear" w:color="auto" w:fill="FFFFFF"/>
            <w:vAlign w:val="center"/>
            <w:hideMark/>
          </w:tcPr>
          <w:p w14:paraId="207778F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68811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2DDFC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0EF59A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4FD6A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EB97B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2844C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EE2BB4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37E69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9701F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33D81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5F4F4D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62C9AF" w14:textId="77777777" w:rsidR="00000000" w:rsidRDefault="00EB4933">
            <w:pPr>
              <w:pStyle w:val="NormalWeb"/>
              <w:spacing w:before="0" w:beforeAutospacing="0" w:after="0" w:afterAutospacing="0"/>
              <w:rPr>
                <w:sz w:val="20"/>
                <w:szCs w:val="20"/>
              </w:rPr>
            </w:pPr>
            <w:r>
              <w:rPr>
                <w:sz w:val="20"/>
                <w:szCs w:val="20"/>
              </w:rPr>
              <w:t> </w:t>
            </w:r>
          </w:p>
        </w:tc>
      </w:tr>
      <w:tr w:rsidR="00000000" w14:paraId="7DADCC32" w14:textId="77777777">
        <w:trPr>
          <w:divId w:val="98525094"/>
          <w:trHeight w:val="225"/>
          <w:tblCellSpacing w:w="15" w:type="dxa"/>
        </w:trPr>
        <w:tc>
          <w:tcPr>
            <w:tcW w:w="0" w:type="auto"/>
            <w:shd w:val="clear" w:color="auto" w:fill="CCEEFF"/>
            <w:hideMark/>
          </w:tcPr>
          <w:p w14:paraId="3CA03F86" w14:textId="77777777" w:rsidR="00000000" w:rsidRDefault="00EB4933">
            <w:pPr>
              <w:pStyle w:val="NormalWeb"/>
              <w:spacing w:before="0" w:beforeAutospacing="0" w:after="0" w:afterAutospacing="0"/>
              <w:rPr>
                <w:sz w:val="20"/>
                <w:szCs w:val="20"/>
              </w:rPr>
            </w:pPr>
            <w:r>
              <w:rPr>
                <w:rStyle w:val="Strong"/>
                <w:sz w:val="20"/>
                <w:szCs w:val="20"/>
              </w:rPr>
              <w:t>NON-CURRENT ASSETS</w:t>
            </w:r>
          </w:p>
        </w:tc>
        <w:tc>
          <w:tcPr>
            <w:tcW w:w="50" w:type="pct"/>
            <w:shd w:val="clear" w:color="auto" w:fill="CCEEFF"/>
            <w:noWrap/>
            <w:vAlign w:val="center"/>
            <w:hideMark/>
          </w:tcPr>
          <w:p w14:paraId="6AB1CEF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5DF16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9022F0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D2944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9044B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A9B65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EC408F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9970E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8E3BF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9E727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E99A72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AF5DC9" w14:textId="77777777" w:rsidR="00000000" w:rsidRDefault="00EB4933">
            <w:pPr>
              <w:pStyle w:val="NormalWeb"/>
              <w:spacing w:before="0" w:beforeAutospacing="0" w:after="0" w:afterAutospacing="0"/>
              <w:rPr>
                <w:sz w:val="20"/>
                <w:szCs w:val="20"/>
              </w:rPr>
            </w:pPr>
            <w:r>
              <w:rPr>
                <w:sz w:val="20"/>
                <w:szCs w:val="20"/>
              </w:rPr>
              <w:t> </w:t>
            </w:r>
          </w:p>
        </w:tc>
      </w:tr>
      <w:tr w:rsidR="00000000" w14:paraId="398BF8E5" w14:textId="77777777">
        <w:trPr>
          <w:divId w:val="98525094"/>
          <w:trHeight w:val="225"/>
          <w:tblCellSpacing w:w="15" w:type="dxa"/>
        </w:trPr>
        <w:tc>
          <w:tcPr>
            <w:tcW w:w="0" w:type="auto"/>
            <w:shd w:val="clear" w:color="auto" w:fill="FFFFFF"/>
            <w:hideMark/>
          </w:tcPr>
          <w:p w14:paraId="0F7F94C0" w14:textId="77777777" w:rsidR="00000000" w:rsidRDefault="00EB4933">
            <w:pPr>
              <w:pStyle w:val="NormalWeb"/>
              <w:spacing w:before="0" w:beforeAutospacing="0" w:after="0" w:afterAutospacing="0"/>
              <w:rPr>
                <w:sz w:val="20"/>
                <w:szCs w:val="20"/>
              </w:rPr>
            </w:pPr>
            <w:r>
              <w:rPr>
                <w:sz w:val="20"/>
                <w:szCs w:val="20"/>
              </w:rPr>
              <w:t>Property and equipment, net</w:t>
            </w:r>
          </w:p>
        </w:tc>
        <w:tc>
          <w:tcPr>
            <w:tcW w:w="50" w:type="pct"/>
            <w:shd w:val="clear" w:color="auto" w:fill="FFFFFF"/>
            <w:noWrap/>
            <w:vAlign w:val="center"/>
            <w:hideMark/>
          </w:tcPr>
          <w:p w14:paraId="2C7A438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7D20E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063303C" w14:textId="77777777" w:rsidR="00000000" w:rsidRDefault="00EB4933">
            <w:pPr>
              <w:jc w:val="right"/>
              <w:rPr>
                <w:rFonts w:eastAsia="Times New Roman"/>
                <w:sz w:val="20"/>
                <w:szCs w:val="20"/>
              </w:rPr>
            </w:pPr>
            <w:r>
              <w:rPr>
                <w:rFonts w:eastAsia="Times New Roman"/>
                <w:sz w:val="20"/>
                <w:szCs w:val="20"/>
              </w:rPr>
              <w:t>338</w:t>
            </w:r>
          </w:p>
        </w:tc>
        <w:tc>
          <w:tcPr>
            <w:tcW w:w="50" w:type="pct"/>
            <w:shd w:val="clear" w:color="auto" w:fill="FFFFFF"/>
            <w:noWrap/>
            <w:vAlign w:val="center"/>
            <w:hideMark/>
          </w:tcPr>
          <w:p w14:paraId="783E0EC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C94C0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773E4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19DF700"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4198B7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087DF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D4705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BE6F274" w14:textId="77777777" w:rsidR="00000000" w:rsidRDefault="00EB4933">
            <w:pPr>
              <w:jc w:val="right"/>
              <w:rPr>
                <w:rFonts w:eastAsia="Times New Roman"/>
                <w:sz w:val="20"/>
                <w:szCs w:val="20"/>
              </w:rPr>
            </w:pPr>
            <w:r>
              <w:rPr>
                <w:rFonts w:eastAsia="Times New Roman"/>
                <w:sz w:val="20"/>
                <w:szCs w:val="20"/>
              </w:rPr>
              <w:t>338</w:t>
            </w:r>
          </w:p>
        </w:tc>
        <w:tc>
          <w:tcPr>
            <w:tcW w:w="50" w:type="pct"/>
            <w:shd w:val="clear" w:color="auto" w:fill="FFFFFF"/>
            <w:noWrap/>
            <w:vAlign w:val="center"/>
            <w:hideMark/>
          </w:tcPr>
          <w:p w14:paraId="15F02A1B" w14:textId="77777777" w:rsidR="00000000" w:rsidRDefault="00EB4933">
            <w:pPr>
              <w:pStyle w:val="NormalWeb"/>
              <w:spacing w:before="0" w:beforeAutospacing="0" w:after="0" w:afterAutospacing="0"/>
              <w:rPr>
                <w:sz w:val="20"/>
                <w:szCs w:val="20"/>
              </w:rPr>
            </w:pPr>
            <w:r>
              <w:rPr>
                <w:sz w:val="20"/>
                <w:szCs w:val="20"/>
              </w:rPr>
              <w:t> </w:t>
            </w:r>
          </w:p>
        </w:tc>
      </w:tr>
      <w:tr w:rsidR="00000000" w14:paraId="7B7E1AA8" w14:textId="77777777">
        <w:trPr>
          <w:divId w:val="98525094"/>
          <w:trHeight w:val="225"/>
          <w:tblCellSpacing w:w="15" w:type="dxa"/>
        </w:trPr>
        <w:tc>
          <w:tcPr>
            <w:tcW w:w="0" w:type="auto"/>
            <w:shd w:val="clear" w:color="auto" w:fill="CCEEFF"/>
            <w:hideMark/>
          </w:tcPr>
          <w:p w14:paraId="49D82DAD" w14:textId="77777777" w:rsidR="00000000" w:rsidRDefault="00EB4933">
            <w:pPr>
              <w:pStyle w:val="NormalWeb"/>
              <w:spacing w:before="0" w:beforeAutospacing="0" w:after="0" w:afterAutospacing="0"/>
              <w:rPr>
                <w:sz w:val="20"/>
                <w:szCs w:val="20"/>
              </w:rPr>
            </w:pPr>
            <w:r>
              <w:rPr>
                <w:sz w:val="20"/>
                <w:szCs w:val="20"/>
              </w:rPr>
              <w:t>Prepayment for a property (note 6)</w:t>
            </w:r>
          </w:p>
        </w:tc>
        <w:tc>
          <w:tcPr>
            <w:tcW w:w="50" w:type="pct"/>
            <w:shd w:val="clear" w:color="auto" w:fill="CCEEFF"/>
            <w:noWrap/>
            <w:vAlign w:val="center"/>
            <w:hideMark/>
          </w:tcPr>
          <w:p w14:paraId="055D207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B2335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F6780F8"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0CB7C1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63671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76280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0E9A1FA" w14:textId="77777777" w:rsidR="00000000" w:rsidRDefault="00EB4933">
            <w:pPr>
              <w:jc w:val="right"/>
              <w:rPr>
                <w:rFonts w:eastAsia="Times New Roman"/>
                <w:sz w:val="20"/>
                <w:szCs w:val="20"/>
              </w:rPr>
            </w:pPr>
            <w:r>
              <w:rPr>
                <w:rFonts w:eastAsia="Times New Roman"/>
                <w:sz w:val="20"/>
                <w:szCs w:val="20"/>
              </w:rPr>
              <w:t>14,928</w:t>
            </w:r>
          </w:p>
        </w:tc>
        <w:tc>
          <w:tcPr>
            <w:tcW w:w="50" w:type="pct"/>
            <w:shd w:val="clear" w:color="auto" w:fill="CCEEFF"/>
            <w:noWrap/>
            <w:vAlign w:val="center"/>
            <w:hideMark/>
          </w:tcPr>
          <w:p w14:paraId="7DF7D81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292C1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8D4A7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D6DB3F5" w14:textId="77777777" w:rsidR="00000000" w:rsidRDefault="00EB4933">
            <w:pPr>
              <w:jc w:val="right"/>
              <w:rPr>
                <w:rFonts w:eastAsia="Times New Roman"/>
                <w:sz w:val="20"/>
                <w:szCs w:val="20"/>
              </w:rPr>
            </w:pPr>
            <w:r>
              <w:rPr>
                <w:rFonts w:eastAsia="Times New Roman"/>
                <w:sz w:val="20"/>
                <w:szCs w:val="20"/>
              </w:rPr>
              <w:t>14,928</w:t>
            </w:r>
          </w:p>
        </w:tc>
        <w:tc>
          <w:tcPr>
            <w:tcW w:w="50" w:type="pct"/>
            <w:shd w:val="clear" w:color="auto" w:fill="CCEEFF"/>
            <w:noWrap/>
            <w:vAlign w:val="center"/>
            <w:hideMark/>
          </w:tcPr>
          <w:p w14:paraId="149D8EDB" w14:textId="77777777" w:rsidR="00000000" w:rsidRDefault="00EB4933">
            <w:pPr>
              <w:pStyle w:val="NormalWeb"/>
              <w:spacing w:before="0" w:beforeAutospacing="0" w:after="0" w:afterAutospacing="0"/>
              <w:rPr>
                <w:sz w:val="20"/>
                <w:szCs w:val="20"/>
              </w:rPr>
            </w:pPr>
            <w:r>
              <w:rPr>
                <w:sz w:val="20"/>
                <w:szCs w:val="20"/>
              </w:rPr>
              <w:t> </w:t>
            </w:r>
          </w:p>
        </w:tc>
      </w:tr>
      <w:tr w:rsidR="00000000" w14:paraId="1DD23A20" w14:textId="77777777">
        <w:trPr>
          <w:divId w:val="98525094"/>
          <w:trHeight w:val="225"/>
          <w:tblCellSpacing w:w="15" w:type="dxa"/>
        </w:trPr>
        <w:tc>
          <w:tcPr>
            <w:tcW w:w="0" w:type="auto"/>
            <w:shd w:val="clear" w:color="auto" w:fill="FFFFFF"/>
            <w:hideMark/>
          </w:tcPr>
          <w:p w14:paraId="2FD19A97" w14:textId="77777777" w:rsidR="00000000" w:rsidRDefault="00EB4933">
            <w:pPr>
              <w:pStyle w:val="NormalWeb"/>
              <w:spacing w:before="0" w:beforeAutospacing="0" w:after="0" w:afterAutospacing="0"/>
              <w:rPr>
                <w:sz w:val="20"/>
                <w:szCs w:val="20"/>
              </w:rPr>
            </w:pPr>
            <w:r>
              <w:rPr>
                <w:sz w:val="20"/>
                <w:szCs w:val="20"/>
              </w:rPr>
              <w:t>Deferred tax asset (note 5)</w:t>
            </w:r>
          </w:p>
        </w:tc>
        <w:tc>
          <w:tcPr>
            <w:tcW w:w="50" w:type="pct"/>
            <w:shd w:val="clear" w:color="auto" w:fill="FFFFFF"/>
            <w:noWrap/>
            <w:vAlign w:val="center"/>
            <w:hideMark/>
          </w:tcPr>
          <w:p w14:paraId="17245A9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8B319A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9EB3518" w14:textId="77777777" w:rsidR="00000000" w:rsidRDefault="00EB4933">
            <w:pPr>
              <w:jc w:val="right"/>
              <w:rPr>
                <w:rFonts w:eastAsia="Times New Roman"/>
                <w:sz w:val="20"/>
                <w:szCs w:val="20"/>
              </w:rPr>
            </w:pPr>
            <w:r>
              <w:rPr>
                <w:rFonts w:eastAsia="Times New Roman"/>
                <w:sz w:val="20"/>
                <w:szCs w:val="20"/>
              </w:rPr>
              <w:t>645</w:t>
            </w:r>
          </w:p>
        </w:tc>
        <w:tc>
          <w:tcPr>
            <w:tcW w:w="50" w:type="pct"/>
            <w:shd w:val="clear" w:color="auto" w:fill="FFFFFF"/>
            <w:noWrap/>
            <w:tcMar>
              <w:top w:w="0" w:type="dxa"/>
              <w:left w:w="0" w:type="dxa"/>
              <w:bottom w:w="15" w:type="dxa"/>
              <w:right w:w="0" w:type="dxa"/>
            </w:tcMar>
            <w:vAlign w:val="center"/>
            <w:hideMark/>
          </w:tcPr>
          <w:p w14:paraId="0F609A0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0112B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C380E70"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D8EA03F" w14:textId="77777777" w:rsidR="00000000" w:rsidRDefault="00EB4933">
            <w:pPr>
              <w:jc w:val="right"/>
              <w:rPr>
                <w:rFonts w:eastAsia="Times New Roman"/>
                <w:sz w:val="20"/>
                <w:szCs w:val="20"/>
              </w:rPr>
            </w:pPr>
            <w:r>
              <w:rPr>
                <w:rFonts w:eastAsia="Times New Roman"/>
                <w:sz w:val="20"/>
                <w:szCs w:val="20"/>
              </w:rPr>
              <w:t>(645</w:t>
            </w:r>
          </w:p>
        </w:tc>
        <w:tc>
          <w:tcPr>
            <w:tcW w:w="50" w:type="pct"/>
            <w:shd w:val="clear" w:color="auto" w:fill="FFFFFF"/>
            <w:noWrap/>
            <w:tcMar>
              <w:top w:w="0" w:type="dxa"/>
              <w:left w:w="0" w:type="dxa"/>
              <w:bottom w:w="15" w:type="dxa"/>
              <w:right w:w="0" w:type="dxa"/>
            </w:tcMar>
            <w:vAlign w:val="bottom"/>
            <w:hideMark/>
          </w:tcPr>
          <w:p w14:paraId="63A68E9D"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7BA157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8D58C4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3738625"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01EDE0B5" w14:textId="77777777" w:rsidR="00000000" w:rsidRDefault="00EB4933">
            <w:pPr>
              <w:pStyle w:val="NormalWeb"/>
              <w:spacing w:before="0" w:beforeAutospacing="0" w:after="0" w:afterAutospacing="0"/>
              <w:rPr>
                <w:sz w:val="20"/>
                <w:szCs w:val="20"/>
              </w:rPr>
            </w:pPr>
            <w:r>
              <w:rPr>
                <w:sz w:val="20"/>
                <w:szCs w:val="20"/>
              </w:rPr>
              <w:t> </w:t>
            </w:r>
          </w:p>
        </w:tc>
      </w:tr>
      <w:tr w:rsidR="00000000" w14:paraId="45750BCB" w14:textId="77777777">
        <w:trPr>
          <w:divId w:val="98525094"/>
          <w:trHeight w:val="225"/>
          <w:tblCellSpacing w:w="15" w:type="dxa"/>
        </w:trPr>
        <w:tc>
          <w:tcPr>
            <w:tcW w:w="0" w:type="auto"/>
            <w:shd w:val="clear" w:color="auto" w:fill="CCEEFF"/>
            <w:hideMark/>
          </w:tcPr>
          <w:p w14:paraId="250CA436" w14:textId="77777777" w:rsidR="00000000" w:rsidRDefault="00EB4933">
            <w:pPr>
              <w:pStyle w:val="NormalWeb"/>
              <w:spacing w:before="0" w:beforeAutospacing="0" w:after="0" w:afterAutospacing="0"/>
              <w:rPr>
                <w:sz w:val="20"/>
                <w:szCs w:val="20"/>
              </w:rPr>
            </w:pPr>
            <w:r>
              <w:rPr>
                <w:rStyle w:val="Strong"/>
                <w:sz w:val="20"/>
                <w:szCs w:val="20"/>
              </w:rPr>
              <w:t>Total non-current assets</w:t>
            </w:r>
          </w:p>
        </w:tc>
        <w:tc>
          <w:tcPr>
            <w:tcW w:w="50" w:type="pct"/>
            <w:shd w:val="clear" w:color="auto" w:fill="CCEEFF"/>
            <w:noWrap/>
            <w:vAlign w:val="center"/>
            <w:hideMark/>
          </w:tcPr>
          <w:p w14:paraId="71047A2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3CE9EB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8AB4153" w14:textId="77777777" w:rsidR="00000000" w:rsidRDefault="00EB4933">
            <w:pPr>
              <w:jc w:val="right"/>
              <w:rPr>
                <w:rFonts w:eastAsia="Times New Roman"/>
                <w:sz w:val="20"/>
                <w:szCs w:val="20"/>
              </w:rPr>
            </w:pPr>
            <w:r>
              <w:rPr>
                <w:rFonts w:eastAsia="Times New Roman"/>
                <w:sz w:val="20"/>
                <w:szCs w:val="20"/>
              </w:rPr>
              <w:t>983</w:t>
            </w:r>
          </w:p>
        </w:tc>
        <w:tc>
          <w:tcPr>
            <w:tcW w:w="50" w:type="pct"/>
            <w:shd w:val="clear" w:color="auto" w:fill="CCEEFF"/>
            <w:noWrap/>
            <w:tcMar>
              <w:top w:w="0" w:type="dxa"/>
              <w:left w:w="0" w:type="dxa"/>
              <w:bottom w:w="15" w:type="dxa"/>
              <w:right w:w="0" w:type="dxa"/>
            </w:tcMar>
            <w:vAlign w:val="center"/>
            <w:hideMark/>
          </w:tcPr>
          <w:p w14:paraId="1CF5D02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3EB76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A0E47A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0DFA0B7" w14:textId="77777777" w:rsidR="00000000" w:rsidRDefault="00EB4933">
            <w:pPr>
              <w:jc w:val="right"/>
              <w:rPr>
                <w:rFonts w:eastAsia="Times New Roman"/>
                <w:sz w:val="20"/>
                <w:szCs w:val="20"/>
              </w:rPr>
            </w:pPr>
            <w:r>
              <w:rPr>
                <w:rFonts w:eastAsia="Times New Roman"/>
                <w:sz w:val="20"/>
                <w:szCs w:val="20"/>
              </w:rPr>
              <w:t>14,283</w:t>
            </w:r>
          </w:p>
        </w:tc>
        <w:tc>
          <w:tcPr>
            <w:tcW w:w="50" w:type="pct"/>
            <w:shd w:val="clear" w:color="auto" w:fill="CCEEFF"/>
            <w:noWrap/>
            <w:tcMar>
              <w:top w:w="0" w:type="dxa"/>
              <w:left w:w="0" w:type="dxa"/>
              <w:bottom w:w="15" w:type="dxa"/>
              <w:right w:w="0" w:type="dxa"/>
            </w:tcMar>
            <w:vAlign w:val="center"/>
            <w:hideMark/>
          </w:tcPr>
          <w:p w14:paraId="7E257E8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739FA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1C2080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BBA5CA4" w14:textId="77777777" w:rsidR="00000000" w:rsidRDefault="00EB4933">
            <w:pPr>
              <w:jc w:val="right"/>
              <w:rPr>
                <w:rFonts w:eastAsia="Times New Roman"/>
                <w:sz w:val="20"/>
                <w:szCs w:val="20"/>
              </w:rPr>
            </w:pPr>
            <w:r>
              <w:rPr>
                <w:rFonts w:eastAsia="Times New Roman"/>
                <w:sz w:val="20"/>
                <w:szCs w:val="20"/>
              </w:rPr>
              <w:t>15,266</w:t>
            </w:r>
          </w:p>
        </w:tc>
        <w:tc>
          <w:tcPr>
            <w:tcW w:w="50" w:type="pct"/>
            <w:shd w:val="clear" w:color="auto" w:fill="CCEEFF"/>
            <w:noWrap/>
            <w:tcMar>
              <w:top w:w="0" w:type="dxa"/>
              <w:left w:w="0" w:type="dxa"/>
              <w:bottom w:w="15" w:type="dxa"/>
              <w:right w:w="0" w:type="dxa"/>
            </w:tcMar>
            <w:vAlign w:val="center"/>
            <w:hideMark/>
          </w:tcPr>
          <w:p w14:paraId="1780DB98" w14:textId="77777777" w:rsidR="00000000" w:rsidRDefault="00EB4933">
            <w:pPr>
              <w:pStyle w:val="NormalWeb"/>
              <w:spacing w:before="0" w:beforeAutospacing="0" w:after="0" w:afterAutospacing="0"/>
              <w:rPr>
                <w:sz w:val="20"/>
                <w:szCs w:val="20"/>
              </w:rPr>
            </w:pPr>
            <w:r>
              <w:rPr>
                <w:sz w:val="20"/>
                <w:szCs w:val="20"/>
              </w:rPr>
              <w:t> </w:t>
            </w:r>
          </w:p>
        </w:tc>
      </w:tr>
      <w:tr w:rsidR="00000000" w14:paraId="0D7D4BDA" w14:textId="77777777">
        <w:trPr>
          <w:divId w:val="98525094"/>
          <w:trHeight w:val="225"/>
          <w:tblCellSpacing w:w="15" w:type="dxa"/>
        </w:trPr>
        <w:tc>
          <w:tcPr>
            <w:tcW w:w="0" w:type="auto"/>
            <w:shd w:val="clear" w:color="auto" w:fill="FFFFFF"/>
            <w:vAlign w:val="center"/>
            <w:hideMark/>
          </w:tcPr>
          <w:p w14:paraId="36523FB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63289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1841C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49F655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FFF82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E09EF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3ED0D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3DF2FB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361DE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25F72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87F4B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CC36D3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40B56F" w14:textId="77777777" w:rsidR="00000000" w:rsidRDefault="00EB4933">
            <w:pPr>
              <w:pStyle w:val="NormalWeb"/>
              <w:spacing w:before="0" w:beforeAutospacing="0" w:after="0" w:afterAutospacing="0"/>
              <w:rPr>
                <w:sz w:val="20"/>
                <w:szCs w:val="20"/>
              </w:rPr>
            </w:pPr>
            <w:r>
              <w:rPr>
                <w:sz w:val="20"/>
                <w:szCs w:val="20"/>
              </w:rPr>
              <w:t> </w:t>
            </w:r>
          </w:p>
        </w:tc>
      </w:tr>
      <w:tr w:rsidR="00000000" w14:paraId="2A59C9F6" w14:textId="77777777">
        <w:trPr>
          <w:divId w:val="98525094"/>
          <w:trHeight w:val="225"/>
          <w:tblCellSpacing w:w="15" w:type="dxa"/>
        </w:trPr>
        <w:tc>
          <w:tcPr>
            <w:tcW w:w="0" w:type="auto"/>
            <w:shd w:val="clear" w:color="auto" w:fill="CCEEFF"/>
            <w:hideMark/>
          </w:tcPr>
          <w:p w14:paraId="1AD3AC96" w14:textId="77777777" w:rsidR="00000000" w:rsidRDefault="00EB4933">
            <w:pPr>
              <w:pStyle w:val="NormalWeb"/>
              <w:spacing w:before="0" w:beforeAutospacing="0" w:after="0" w:afterAutospacing="0"/>
              <w:rPr>
                <w:sz w:val="20"/>
                <w:szCs w:val="20"/>
              </w:rPr>
            </w:pPr>
            <w:r>
              <w:rPr>
                <w:rStyle w:val="Strong"/>
                <w:sz w:val="20"/>
                <w:szCs w:val="20"/>
              </w:rPr>
              <w:t>Total assets</w:t>
            </w:r>
          </w:p>
        </w:tc>
        <w:tc>
          <w:tcPr>
            <w:tcW w:w="50" w:type="pct"/>
            <w:shd w:val="clear" w:color="auto" w:fill="CCEEFF"/>
            <w:noWrap/>
            <w:vAlign w:val="center"/>
            <w:hideMark/>
          </w:tcPr>
          <w:p w14:paraId="4590A76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973A52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4494084F" w14:textId="77777777" w:rsidR="00000000" w:rsidRDefault="00EB4933">
            <w:pPr>
              <w:jc w:val="right"/>
              <w:rPr>
                <w:rFonts w:eastAsia="Times New Roman"/>
                <w:sz w:val="20"/>
                <w:szCs w:val="20"/>
              </w:rPr>
            </w:pPr>
            <w:r>
              <w:rPr>
                <w:rFonts w:eastAsia="Times New Roman"/>
                <w:sz w:val="20"/>
                <w:szCs w:val="20"/>
              </w:rPr>
              <w:t>869,129</w:t>
            </w:r>
          </w:p>
        </w:tc>
        <w:tc>
          <w:tcPr>
            <w:tcW w:w="50" w:type="pct"/>
            <w:shd w:val="clear" w:color="auto" w:fill="CCEEFF"/>
            <w:noWrap/>
            <w:tcMar>
              <w:top w:w="0" w:type="dxa"/>
              <w:left w:w="0" w:type="dxa"/>
              <w:bottom w:w="45" w:type="dxa"/>
              <w:right w:w="0" w:type="dxa"/>
            </w:tcMar>
            <w:vAlign w:val="center"/>
            <w:hideMark/>
          </w:tcPr>
          <w:p w14:paraId="7E0FA68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753F9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2168CD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16267C16" w14:textId="77777777" w:rsidR="00000000" w:rsidRDefault="00EB4933">
            <w:pPr>
              <w:jc w:val="right"/>
              <w:rPr>
                <w:rFonts w:eastAsia="Times New Roman"/>
                <w:sz w:val="20"/>
                <w:szCs w:val="20"/>
              </w:rPr>
            </w:pPr>
            <w:r>
              <w:rPr>
                <w:rFonts w:eastAsia="Times New Roman"/>
                <w:sz w:val="20"/>
                <w:szCs w:val="20"/>
              </w:rPr>
              <w:t>(645</w:t>
            </w:r>
          </w:p>
        </w:tc>
        <w:tc>
          <w:tcPr>
            <w:tcW w:w="50" w:type="pct"/>
            <w:shd w:val="clear" w:color="auto" w:fill="CCEEFF"/>
            <w:noWrap/>
            <w:tcMar>
              <w:top w:w="0" w:type="dxa"/>
              <w:left w:w="0" w:type="dxa"/>
              <w:bottom w:w="45" w:type="dxa"/>
              <w:right w:w="0" w:type="dxa"/>
            </w:tcMar>
            <w:vAlign w:val="bottom"/>
            <w:hideMark/>
          </w:tcPr>
          <w:p w14:paraId="5D731941"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39CB47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DC441F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7D23DA40" w14:textId="77777777" w:rsidR="00000000" w:rsidRDefault="00EB4933">
            <w:pPr>
              <w:jc w:val="right"/>
              <w:rPr>
                <w:rFonts w:eastAsia="Times New Roman"/>
                <w:sz w:val="20"/>
                <w:szCs w:val="20"/>
              </w:rPr>
            </w:pPr>
            <w:r>
              <w:rPr>
                <w:rFonts w:eastAsia="Times New Roman"/>
                <w:sz w:val="20"/>
                <w:szCs w:val="20"/>
              </w:rPr>
              <w:t>868,484</w:t>
            </w:r>
          </w:p>
        </w:tc>
        <w:tc>
          <w:tcPr>
            <w:tcW w:w="50" w:type="pct"/>
            <w:shd w:val="clear" w:color="auto" w:fill="CCEEFF"/>
            <w:noWrap/>
            <w:tcMar>
              <w:top w:w="0" w:type="dxa"/>
              <w:left w:w="0" w:type="dxa"/>
              <w:bottom w:w="45" w:type="dxa"/>
              <w:right w:w="0" w:type="dxa"/>
            </w:tcMar>
            <w:vAlign w:val="center"/>
            <w:hideMark/>
          </w:tcPr>
          <w:p w14:paraId="6378BF8F" w14:textId="77777777" w:rsidR="00000000" w:rsidRDefault="00EB4933">
            <w:pPr>
              <w:pStyle w:val="NormalWeb"/>
              <w:spacing w:before="0" w:beforeAutospacing="0" w:after="0" w:afterAutospacing="0"/>
              <w:rPr>
                <w:sz w:val="20"/>
                <w:szCs w:val="20"/>
              </w:rPr>
            </w:pPr>
            <w:r>
              <w:rPr>
                <w:sz w:val="20"/>
                <w:szCs w:val="20"/>
              </w:rPr>
              <w:t> </w:t>
            </w:r>
          </w:p>
        </w:tc>
      </w:tr>
      <w:tr w:rsidR="00000000" w14:paraId="3A3FA471" w14:textId="77777777">
        <w:trPr>
          <w:divId w:val="98525094"/>
          <w:trHeight w:val="225"/>
          <w:tblCellSpacing w:w="15" w:type="dxa"/>
        </w:trPr>
        <w:tc>
          <w:tcPr>
            <w:tcW w:w="0" w:type="auto"/>
            <w:shd w:val="clear" w:color="auto" w:fill="FFFFFF"/>
            <w:vAlign w:val="center"/>
            <w:hideMark/>
          </w:tcPr>
          <w:p w14:paraId="51A5A34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74D9F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DBB5E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ADDFD1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44231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03163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78861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5BBE93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EF58F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35087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91DBE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4ADE24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CE3122" w14:textId="77777777" w:rsidR="00000000" w:rsidRDefault="00EB4933">
            <w:pPr>
              <w:pStyle w:val="NormalWeb"/>
              <w:spacing w:before="0" w:beforeAutospacing="0" w:after="0" w:afterAutospacing="0"/>
              <w:rPr>
                <w:sz w:val="20"/>
                <w:szCs w:val="20"/>
              </w:rPr>
            </w:pPr>
            <w:r>
              <w:rPr>
                <w:sz w:val="20"/>
                <w:szCs w:val="20"/>
              </w:rPr>
              <w:t> </w:t>
            </w:r>
          </w:p>
        </w:tc>
      </w:tr>
      <w:tr w:rsidR="00000000" w14:paraId="4E1F7483" w14:textId="77777777">
        <w:trPr>
          <w:divId w:val="98525094"/>
          <w:trHeight w:val="225"/>
          <w:tblCellSpacing w:w="15" w:type="dxa"/>
        </w:trPr>
        <w:tc>
          <w:tcPr>
            <w:tcW w:w="0" w:type="auto"/>
            <w:shd w:val="clear" w:color="auto" w:fill="FFFFFF"/>
            <w:hideMark/>
          </w:tcPr>
          <w:p w14:paraId="36945AA5" w14:textId="77777777" w:rsidR="00000000" w:rsidRDefault="00EB4933">
            <w:pPr>
              <w:pStyle w:val="NormalWeb"/>
              <w:spacing w:before="0" w:beforeAutospacing="0" w:after="0" w:afterAutospacing="0"/>
              <w:rPr>
                <w:sz w:val="20"/>
                <w:szCs w:val="20"/>
              </w:rPr>
            </w:pPr>
            <w:r>
              <w:rPr>
                <w:rStyle w:val="Strong"/>
                <w:sz w:val="20"/>
                <w:szCs w:val="20"/>
              </w:rPr>
              <w:t>CURRENT LIABILITIES</w:t>
            </w:r>
          </w:p>
        </w:tc>
        <w:tc>
          <w:tcPr>
            <w:tcW w:w="50" w:type="pct"/>
            <w:shd w:val="clear" w:color="auto" w:fill="FFFFFF"/>
            <w:noWrap/>
            <w:vAlign w:val="center"/>
            <w:hideMark/>
          </w:tcPr>
          <w:p w14:paraId="74662C6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C1672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C9FC60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7D83A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2FF6C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1B261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D90BBC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80E4C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D5D9E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150F1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4F0CA9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989F2D" w14:textId="77777777" w:rsidR="00000000" w:rsidRDefault="00EB4933">
            <w:pPr>
              <w:pStyle w:val="NormalWeb"/>
              <w:spacing w:before="0" w:beforeAutospacing="0" w:after="0" w:afterAutospacing="0"/>
              <w:rPr>
                <w:sz w:val="20"/>
                <w:szCs w:val="20"/>
              </w:rPr>
            </w:pPr>
            <w:r>
              <w:rPr>
                <w:sz w:val="20"/>
                <w:szCs w:val="20"/>
              </w:rPr>
              <w:t> </w:t>
            </w:r>
          </w:p>
        </w:tc>
      </w:tr>
      <w:tr w:rsidR="00000000" w14:paraId="103D6E74" w14:textId="77777777">
        <w:trPr>
          <w:divId w:val="98525094"/>
          <w:trHeight w:val="225"/>
          <w:tblCellSpacing w:w="15" w:type="dxa"/>
        </w:trPr>
        <w:tc>
          <w:tcPr>
            <w:tcW w:w="0" w:type="auto"/>
            <w:shd w:val="clear" w:color="auto" w:fill="CCEEFF"/>
            <w:hideMark/>
          </w:tcPr>
          <w:p w14:paraId="27C5A666" w14:textId="77777777" w:rsidR="00000000" w:rsidRDefault="00EB4933">
            <w:pPr>
              <w:pStyle w:val="NormalWeb"/>
              <w:spacing w:before="0" w:beforeAutospacing="0" w:after="0" w:afterAutospacing="0"/>
              <w:rPr>
                <w:sz w:val="20"/>
                <w:szCs w:val="20"/>
              </w:rPr>
            </w:pPr>
            <w:r>
              <w:rPr>
                <w:sz w:val="20"/>
                <w:szCs w:val="20"/>
              </w:rPr>
              <w:t>Loans payable</w:t>
            </w:r>
          </w:p>
        </w:tc>
        <w:tc>
          <w:tcPr>
            <w:tcW w:w="50" w:type="pct"/>
            <w:shd w:val="clear" w:color="auto" w:fill="CCEEFF"/>
            <w:noWrap/>
            <w:vAlign w:val="center"/>
            <w:hideMark/>
          </w:tcPr>
          <w:p w14:paraId="648D649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59681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3FA6B9B" w14:textId="77777777" w:rsidR="00000000" w:rsidRDefault="00EB4933">
            <w:pPr>
              <w:jc w:val="right"/>
              <w:rPr>
                <w:rFonts w:eastAsia="Times New Roman"/>
                <w:sz w:val="20"/>
                <w:szCs w:val="20"/>
              </w:rPr>
            </w:pPr>
            <w:r>
              <w:rPr>
                <w:rFonts w:eastAsia="Times New Roman"/>
                <w:sz w:val="20"/>
                <w:szCs w:val="20"/>
              </w:rPr>
              <w:t>226,370</w:t>
            </w:r>
          </w:p>
        </w:tc>
        <w:tc>
          <w:tcPr>
            <w:tcW w:w="50" w:type="pct"/>
            <w:shd w:val="clear" w:color="auto" w:fill="CCEEFF"/>
            <w:noWrap/>
            <w:vAlign w:val="center"/>
            <w:hideMark/>
          </w:tcPr>
          <w:p w14:paraId="78FEF6D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4FA42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58C86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30DE526"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71CBDB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4A615C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9F45E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34935A9" w14:textId="77777777" w:rsidR="00000000" w:rsidRDefault="00EB4933">
            <w:pPr>
              <w:jc w:val="right"/>
              <w:rPr>
                <w:rFonts w:eastAsia="Times New Roman"/>
                <w:sz w:val="20"/>
                <w:szCs w:val="20"/>
              </w:rPr>
            </w:pPr>
            <w:r>
              <w:rPr>
                <w:rFonts w:eastAsia="Times New Roman"/>
                <w:sz w:val="20"/>
                <w:szCs w:val="20"/>
              </w:rPr>
              <w:t>226,370</w:t>
            </w:r>
          </w:p>
        </w:tc>
        <w:tc>
          <w:tcPr>
            <w:tcW w:w="50" w:type="pct"/>
            <w:shd w:val="clear" w:color="auto" w:fill="CCEEFF"/>
            <w:noWrap/>
            <w:vAlign w:val="center"/>
            <w:hideMark/>
          </w:tcPr>
          <w:p w14:paraId="6A9C7B92" w14:textId="77777777" w:rsidR="00000000" w:rsidRDefault="00EB4933">
            <w:pPr>
              <w:pStyle w:val="NormalWeb"/>
              <w:spacing w:before="0" w:beforeAutospacing="0" w:after="0" w:afterAutospacing="0"/>
              <w:rPr>
                <w:sz w:val="20"/>
                <w:szCs w:val="20"/>
              </w:rPr>
            </w:pPr>
            <w:r>
              <w:rPr>
                <w:sz w:val="20"/>
                <w:szCs w:val="20"/>
              </w:rPr>
              <w:t> </w:t>
            </w:r>
          </w:p>
        </w:tc>
      </w:tr>
      <w:tr w:rsidR="00000000" w14:paraId="5CAB0445" w14:textId="77777777">
        <w:trPr>
          <w:divId w:val="98525094"/>
          <w:trHeight w:val="225"/>
          <w:tblCellSpacing w:w="15" w:type="dxa"/>
        </w:trPr>
        <w:tc>
          <w:tcPr>
            <w:tcW w:w="0" w:type="auto"/>
            <w:shd w:val="clear" w:color="auto" w:fill="FFFFFF"/>
            <w:hideMark/>
          </w:tcPr>
          <w:p w14:paraId="1FC30686" w14:textId="77777777" w:rsidR="00000000" w:rsidRDefault="00EB4933">
            <w:pPr>
              <w:pStyle w:val="NormalWeb"/>
              <w:spacing w:before="0" w:beforeAutospacing="0" w:after="0" w:afterAutospacing="0"/>
              <w:rPr>
                <w:sz w:val="20"/>
                <w:szCs w:val="20"/>
              </w:rPr>
            </w:pPr>
            <w:r>
              <w:rPr>
                <w:sz w:val="20"/>
                <w:szCs w:val="20"/>
              </w:rPr>
              <w:t>Advance from customers</w:t>
            </w:r>
          </w:p>
        </w:tc>
        <w:tc>
          <w:tcPr>
            <w:tcW w:w="50" w:type="pct"/>
            <w:shd w:val="clear" w:color="auto" w:fill="FFFFFF"/>
            <w:noWrap/>
            <w:vAlign w:val="center"/>
            <w:hideMark/>
          </w:tcPr>
          <w:p w14:paraId="17DE06D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BA315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10497E5" w14:textId="77777777" w:rsidR="00000000" w:rsidRDefault="00EB4933">
            <w:pPr>
              <w:jc w:val="right"/>
              <w:rPr>
                <w:rFonts w:eastAsia="Times New Roman"/>
                <w:sz w:val="20"/>
                <w:szCs w:val="20"/>
              </w:rPr>
            </w:pPr>
            <w:r>
              <w:rPr>
                <w:rFonts w:eastAsia="Times New Roman"/>
                <w:sz w:val="20"/>
                <w:szCs w:val="20"/>
              </w:rPr>
              <w:t>142</w:t>
            </w:r>
          </w:p>
        </w:tc>
        <w:tc>
          <w:tcPr>
            <w:tcW w:w="50" w:type="pct"/>
            <w:shd w:val="clear" w:color="auto" w:fill="FFFFFF"/>
            <w:noWrap/>
            <w:vAlign w:val="center"/>
            <w:hideMark/>
          </w:tcPr>
          <w:p w14:paraId="5844279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AFF8B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E5600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0A25E7D"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00FA8D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CC37B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83110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B30D1F8" w14:textId="77777777" w:rsidR="00000000" w:rsidRDefault="00EB4933">
            <w:pPr>
              <w:jc w:val="right"/>
              <w:rPr>
                <w:rFonts w:eastAsia="Times New Roman"/>
                <w:sz w:val="20"/>
                <w:szCs w:val="20"/>
              </w:rPr>
            </w:pPr>
            <w:r>
              <w:rPr>
                <w:rFonts w:eastAsia="Times New Roman"/>
                <w:sz w:val="20"/>
                <w:szCs w:val="20"/>
              </w:rPr>
              <w:t>142</w:t>
            </w:r>
          </w:p>
        </w:tc>
        <w:tc>
          <w:tcPr>
            <w:tcW w:w="50" w:type="pct"/>
            <w:shd w:val="clear" w:color="auto" w:fill="FFFFFF"/>
            <w:noWrap/>
            <w:vAlign w:val="center"/>
            <w:hideMark/>
          </w:tcPr>
          <w:p w14:paraId="5AF3F92C" w14:textId="77777777" w:rsidR="00000000" w:rsidRDefault="00EB4933">
            <w:pPr>
              <w:pStyle w:val="NormalWeb"/>
              <w:spacing w:before="0" w:beforeAutospacing="0" w:after="0" w:afterAutospacing="0"/>
              <w:rPr>
                <w:sz w:val="20"/>
                <w:szCs w:val="20"/>
              </w:rPr>
            </w:pPr>
            <w:r>
              <w:rPr>
                <w:sz w:val="20"/>
                <w:szCs w:val="20"/>
              </w:rPr>
              <w:t> </w:t>
            </w:r>
          </w:p>
        </w:tc>
      </w:tr>
      <w:tr w:rsidR="00000000" w14:paraId="3A2CE035" w14:textId="77777777">
        <w:trPr>
          <w:divId w:val="98525094"/>
          <w:trHeight w:val="225"/>
          <w:tblCellSpacing w:w="15" w:type="dxa"/>
        </w:trPr>
        <w:tc>
          <w:tcPr>
            <w:tcW w:w="0" w:type="auto"/>
            <w:shd w:val="clear" w:color="auto" w:fill="CCEEFF"/>
            <w:hideMark/>
          </w:tcPr>
          <w:p w14:paraId="27CFAB80" w14:textId="77777777" w:rsidR="00000000" w:rsidRDefault="00EB4933">
            <w:pPr>
              <w:pStyle w:val="NormalWeb"/>
              <w:spacing w:before="0" w:beforeAutospacing="0" w:after="0" w:afterAutospacing="0"/>
              <w:rPr>
                <w:sz w:val="20"/>
                <w:szCs w:val="20"/>
              </w:rPr>
            </w:pPr>
            <w:r>
              <w:rPr>
                <w:sz w:val="20"/>
                <w:szCs w:val="20"/>
              </w:rPr>
              <w:t>Salary and benefit payable</w:t>
            </w:r>
          </w:p>
        </w:tc>
        <w:tc>
          <w:tcPr>
            <w:tcW w:w="50" w:type="pct"/>
            <w:shd w:val="clear" w:color="auto" w:fill="CCEEFF"/>
            <w:noWrap/>
            <w:vAlign w:val="center"/>
            <w:hideMark/>
          </w:tcPr>
          <w:p w14:paraId="64F31E9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E8B56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38445FA" w14:textId="77777777" w:rsidR="00000000" w:rsidRDefault="00EB4933">
            <w:pPr>
              <w:jc w:val="right"/>
              <w:rPr>
                <w:rFonts w:eastAsia="Times New Roman"/>
                <w:sz w:val="20"/>
                <w:szCs w:val="20"/>
              </w:rPr>
            </w:pPr>
            <w:r>
              <w:rPr>
                <w:rFonts w:eastAsia="Times New Roman"/>
                <w:sz w:val="20"/>
                <w:szCs w:val="20"/>
              </w:rPr>
              <w:t>3,423</w:t>
            </w:r>
          </w:p>
        </w:tc>
        <w:tc>
          <w:tcPr>
            <w:tcW w:w="50" w:type="pct"/>
            <w:shd w:val="clear" w:color="auto" w:fill="CCEEFF"/>
            <w:noWrap/>
            <w:vAlign w:val="center"/>
            <w:hideMark/>
          </w:tcPr>
          <w:p w14:paraId="447D509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88FF8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C0B07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B3FBDAC"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75C388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F1E3C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BCBEB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4EC148B" w14:textId="77777777" w:rsidR="00000000" w:rsidRDefault="00EB4933">
            <w:pPr>
              <w:jc w:val="right"/>
              <w:rPr>
                <w:rFonts w:eastAsia="Times New Roman"/>
                <w:sz w:val="20"/>
                <w:szCs w:val="20"/>
              </w:rPr>
            </w:pPr>
            <w:r>
              <w:rPr>
                <w:rFonts w:eastAsia="Times New Roman"/>
                <w:sz w:val="20"/>
                <w:szCs w:val="20"/>
              </w:rPr>
              <w:t>3,423</w:t>
            </w:r>
          </w:p>
        </w:tc>
        <w:tc>
          <w:tcPr>
            <w:tcW w:w="50" w:type="pct"/>
            <w:shd w:val="clear" w:color="auto" w:fill="CCEEFF"/>
            <w:noWrap/>
            <w:vAlign w:val="center"/>
            <w:hideMark/>
          </w:tcPr>
          <w:p w14:paraId="5FDCF196" w14:textId="77777777" w:rsidR="00000000" w:rsidRDefault="00EB4933">
            <w:pPr>
              <w:pStyle w:val="NormalWeb"/>
              <w:spacing w:before="0" w:beforeAutospacing="0" w:after="0" w:afterAutospacing="0"/>
              <w:rPr>
                <w:sz w:val="20"/>
                <w:szCs w:val="20"/>
              </w:rPr>
            </w:pPr>
            <w:r>
              <w:rPr>
                <w:sz w:val="20"/>
                <w:szCs w:val="20"/>
              </w:rPr>
              <w:t> </w:t>
            </w:r>
          </w:p>
        </w:tc>
      </w:tr>
      <w:tr w:rsidR="00000000" w14:paraId="70B41226" w14:textId="77777777">
        <w:trPr>
          <w:divId w:val="98525094"/>
          <w:trHeight w:val="225"/>
          <w:tblCellSpacing w:w="15" w:type="dxa"/>
        </w:trPr>
        <w:tc>
          <w:tcPr>
            <w:tcW w:w="0" w:type="auto"/>
            <w:shd w:val="clear" w:color="auto" w:fill="FFFFFF"/>
            <w:hideMark/>
          </w:tcPr>
          <w:p w14:paraId="66A22D7D" w14:textId="77777777" w:rsidR="00000000" w:rsidRDefault="00EB4933">
            <w:pPr>
              <w:pStyle w:val="NormalWeb"/>
              <w:spacing w:before="0" w:beforeAutospacing="0" w:after="0" w:afterAutospacing="0"/>
              <w:rPr>
                <w:sz w:val="20"/>
                <w:szCs w:val="20"/>
              </w:rPr>
            </w:pPr>
            <w:r>
              <w:rPr>
                <w:sz w:val="20"/>
                <w:szCs w:val="20"/>
              </w:rPr>
              <w:t>Income taxes payable (note 3)</w:t>
            </w:r>
          </w:p>
        </w:tc>
        <w:tc>
          <w:tcPr>
            <w:tcW w:w="50" w:type="pct"/>
            <w:shd w:val="clear" w:color="auto" w:fill="FFFFFF"/>
            <w:noWrap/>
            <w:vAlign w:val="center"/>
            <w:hideMark/>
          </w:tcPr>
          <w:p w14:paraId="76B8054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AE573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754D9A3" w14:textId="77777777" w:rsidR="00000000" w:rsidRDefault="00EB4933">
            <w:pPr>
              <w:jc w:val="right"/>
              <w:rPr>
                <w:rFonts w:eastAsia="Times New Roman"/>
                <w:sz w:val="20"/>
                <w:szCs w:val="20"/>
              </w:rPr>
            </w:pPr>
            <w:r>
              <w:rPr>
                <w:rFonts w:eastAsia="Times New Roman"/>
                <w:sz w:val="20"/>
                <w:szCs w:val="20"/>
              </w:rPr>
              <w:t>14,851</w:t>
            </w:r>
          </w:p>
        </w:tc>
        <w:tc>
          <w:tcPr>
            <w:tcW w:w="50" w:type="pct"/>
            <w:shd w:val="clear" w:color="auto" w:fill="FFFFFF"/>
            <w:noWrap/>
            <w:vAlign w:val="center"/>
            <w:hideMark/>
          </w:tcPr>
          <w:p w14:paraId="2D2DF0F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82411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0912B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D209349" w14:textId="77777777" w:rsidR="00000000" w:rsidRDefault="00EB4933">
            <w:pPr>
              <w:jc w:val="right"/>
              <w:rPr>
                <w:rFonts w:eastAsia="Times New Roman"/>
                <w:sz w:val="20"/>
                <w:szCs w:val="20"/>
              </w:rPr>
            </w:pPr>
            <w:r>
              <w:rPr>
                <w:rFonts w:eastAsia="Times New Roman"/>
                <w:sz w:val="20"/>
                <w:szCs w:val="20"/>
              </w:rPr>
              <w:t>269</w:t>
            </w:r>
          </w:p>
        </w:tc>
        <w:tc>
          <w:tcPr>
            <w:tcW w:w="50" w:type="pct"/>
            <w:shd w:val="clear" w:color="auto" w:fill="FFFFFF"/>
            <w:noWrap/>
            <w:vAlign w:val="center"/>
            <w:hideMark/>
          </w:tcPr>
          <w:p w14:paraId="05BF1AF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79EEC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C98CC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62B65C4" w14:textId="77777777" w:rsidR="00000000" w:rsidRDefault="00EB4933">
            <w:pPr>
              <w:jc w:val="right"/>
              <w:rPr>
                <w:rFonts w:eastAsia="Times New Roman"/>
                <w:sz w:val="20"/>
                <w:szCs w:val="20"/>
              </w:rPr>
            </w:pPr>
            <w:r>
              <w:rPr>
                <w:rFonts w:eastAsia="Times New Roman"/>
                <w:sz w:val="20"/>
                <w:szCs w:val="20"/>
              </w:rPr>
              <w:t>15,120</w:t>
            </w:r>
          </w:p>
        </w:tc>
        <w:tc>
          <w:tcPr>
            <w:tcW w:w="50" w:type="pct"/>
            <w:shd w:val="clear" w:color="auto" w:fill="FFFFFF"/>
            <w:noWrap/>
            <w:vAlign w:val="center"/>
            <w:hideMark/>
          </w:tcPr>
          <w:p w14:paraId="79EC1379" w14:textId="77777777" w:rsidR="00000000" w:rsidRDefault="00EB4933">
            <w:pPr>
              <w:pStyle w:val="NormalWeb"/>
              <w:spacing w:before="0" w:beforeAutospacing="0" w:after="0" w:afterAutospacing="0"/>
              <w:rPr>
                <w:sz w:val="20"/>
                <w:szCs w:val="20"/>
              </w:rPr>
            </w:pPr>
            <w:r>
              <w:rPr>
                <w:sz w:val="20"/>
                <w:szCs w:val="20"/>
              </w:rPr>
              <w:t> </w:t>
            </w:r>
          </w:p>
        </w:tc>
      </w:tr>
      <w:tr w:rsidR="00000000" w14:paraId="70369FBC" w14:textId="77777777">
        <w:trPr>
          <w:divId w:val="98525094"/>
          <w:trHeight w:val="225"/>
          <w:tblCellSpacing w:w="15" w:type="dxa"/>
        </w:trPr>
        <w:tc>
          <w:tcPr>
            <w:tcW w:w="0" w:type="auto"/>
            <w:shd w:val="clear" w:color="auto" w:fill="CCEEFF"/>
            <w:hideMark/>
          </w:tcPr>
          <w:p w14:paraId="47292C1F" w14:textId="77777777" w:rsidR="00000000" w:rsidRDefault="00EB4933">
            <w:pPr>
              <w:pStyle w:val="NormalWeb"/>
              <w:spacing w:before="0" w:beforeAutospacing="0" w:after="0" w:afterAutospacing="0"/>
              <w:rPr>
                <w:sz w:val="20"/>
                <w:szCs w:val="20"/>
              </w:rPr>
            </w:pPr>
            <w:r>
              <w:rPr>
                <w:sz w:val="20"/>
                <w:szCs w:val="20"/>
              </w:rPr>
              <w:t>Interest payable (note 1)</w:t>
            </w:r>
          </w:p>
        </w:tc>
        <w:tc>
          <w:tcPr>
            <w:tcW w:w="50" w:type="pct"/>
            <w:shd w:val="clear" w:color="auto" w:fill="CCEEFF"/>
            <w:noWrap/>
            <w:vAlign w:val="center"/>
            <w:hideMark/>
          </w:tcPr>
          <w:p w14:paraId="118E85E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B3537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196F68B" w14:textId="77777777" w:rsidR="00000000" w:rsidRDefault="00EB4933">
            <w:pPr>
              <w:jc w:val="right"/>
              <w:rPr>
                <w:rFonts w:eastAsia="Times New Roman"/>
                <w:sz w:val="20"/>
                <w:szCs w:val="20"/>
              </w:rPr>
            </w:pPr>
            <w:r>
              <w:rPr>
                <w:rFonts w:eastAsia="Times New Roman"/>
                <w:sz w:val="20"/>
                <w:szCs w:val="20"/>
              </w:rPr>
              <w:t>4,560</w:t>
            </w:r>
          </w:p>
        </w:tc>
        <w:tc>
          <w:tcPr>
            <w:tcW w:w="50" w:type="pct"/>
            <w:shd w:val="clear" w:color="auto" w:fill="CCEEFF"/>
            <w:noWrap/>
            <w:vAlign w:val="center"/>
            <w:hideMark/>
          </w:tcPr>
          <w:p w14:paraId="077D104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E76A0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DCA69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EF04408" w14:textId="77777777" w:rsidR="00000000" w:rsidRDefault="00EB4933">
            <w:pPr>
              <w:jc w:val="right"/>
              <w:rPr>
                <w:rFonts w:eastAsia="Times New Roman"/>
                <w:sz w:val="20"/>
                <w:szCs w:val="20"/>
              </w:rPr>
            </w:pPr>
            <w:r>
              <w:rPr>
                <w:rFonts w:eastAsia="Times New Roman"/>
                <w:sz w:val="20"/>
                <w:szCs w:val="20"/>
              </w:rPr>
              <w:t>(731</w:t>
            </w:r>
          </w:p>
        </w:tc>
        <w:tc>
          <w:tcPr>
            <w:tcW w:w="50" w:type="pct"/>
            <w:shd w:val="clear" w:color="auto" w:fill="CCEEFF"/>
            <w:noWrap/>
            <w:vAlign w:val="bottom"/>
            <w:hideMark/>
          </w:tcPr>
          <w:p w14:paraId="326E9177"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6CF62A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08E4D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93F8764" w14:textId="77777777" w:rsidR="00000000" w:rsidRDefault="00EB4933">
            <w:pPr>
              <w:jc w:val="right"/>
              <w:rPr>
                <w:rFonts w:eastAsia="Times New Roman"/>
                <w:sz w:val="20"/>
                <w:szCs w:val="20"/>
              </w:rPr>
            </w:pPr>
            <w:r>
              <w:rPr>
                <w:rFonts w:eastAsia="Times New Roman"/>
                <w:sz w:val="20"/>
                <w:szCs w:val="20"/>
              </w:rPr>
              <w:t>3,829</w:t>
            </w:r>
          </w:p>
        </w:tc>
        <w:tc>
          <w:tcPr>
            <w:tcW w:w="50" w:type="pct"/>
            <w:shd w:val="clear" w:color="auto" w:fill="CCEEFF"/>
            <w:noWrap/>
            <w:vAlign w:val="center"/>
            <w:hideMark/>
          </w:tcPr>
          <w:p w14:paraId="6539A9DE" w14:textId="77777777" w:rsidR="00000000" w:rsidRDefault="00EB4933">
            <w:pPr>
              <w:pStyle w:val="NormalWeb"/>
              <w:spacing w:before="0" w:beforeAutospacing="0" w:after="0" w:afterAutospacing="0"/>
              <w:rPr>
                <w:sz w:val="20"/>
                <w:szCs w:val="20"/>
              </w:rPr>
            </w:pPr>
            <w:r>
              <w:rPr>
                <w:sz w:val="20"/>
                <w:szCs w:val="20"/>
              </w:rPr>
              <w:t> </w:t>
            </w:r>
          </w:p>
        </w:tc>
      </w:tr>
      <w:tr w:rsidR="00000000" w14:paraId="2B326049" w14:textId="77777777">
        <w:trPr>
          <w:divId w:val="98525094"/>
          <w:trHeight w:val="225"/>
          <w:tblCellSpacing w:w="15" w:type="dxa"/>
        </w:trPr>
        <w:tc>
          <w:tcPr>
            <w:tcW w:w="0" w:type="auto"/>
            <w:shd w:val="clear" w:color="auto" w:fill="FFFFFF"/>
            <w:hideMark/>
          </w:tcPr>
          <w:p w14:paraId="7A9AD353" w14:textId="77777777" w:rsidR="00000000" w:rsidRDefault="00EB4933">
            <w:pPr>
              <w:pStyle w:val="NormalWeb"/>
              <w:spacing w:before="0" w:beforeAutospacing="0" w:after="0" w:afterAutospacing="0"/>
              <w:rPr>
                <w:sz w:val="20"/>
                <w:szCs w:val="20"/>
              </w:rPr>
            </w:pPr>
            <w:r>
              <w:rPr>
                <w:sz w:val="20"/>
                <w:szCs w:val="20"/>
              </w:rPr>
              <w:t>Other payable (notes 1 and 2)</w:t>
            </w:r>
          </w:p>
        </w:tc>
        <w:tc>
          <w:tcPr>
            <w:tcW w:w="50" w:type="pct"/>
            <w:shd w:val="clear" w:color="auto" w:fill="FFFFFF"/>
            <w:noWrap/>
            <w:vAlign w:val="center"/>
            <w:hideMark/>
          </w:tcPr>
          <w:p w14:paraId="20AA03E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563716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303669F" w14:textId="77777777" w:rsidR="00000000" w:rsidRDefault="00EB4933">
            <w:pPr>
              <w:jc w:val="right"/>
              <w:rPr>
                <w:rFonts w:eastAsia="Times New Roman"/>
                <w:sz w:val="20"/>
                <w:szCs w:val="20"/>
              </w:rPr>
            </w:pPr>
            <w:r>
              <w:rPr>
                <w:rFonts w:eastAsia="Times New Roman"/>
                <w:sz w:val="20"/>
                <w:szCs w:val="20"/>
              </w:rPr>
              <w:t>15,730</w:t>
            </w:r>
          </w:p>
        </w:tc>
        <w:tc>
          <w:tcPr>
            <w:tcW w:w="50" w:type="pct"/>
            <w:shd w:val="clear" w:color="auto" w:fill="FFFFFF"/>
            <w:noWrap/>
            <w:tcMar>
              <w:top w:w="0" w:type="dxa"/>
              <w:left w:w="0" w:type="dxa"/>
              <w:bottom w:w="15" w:type="dxa"/>
              <w:right w:w="0" w:type="dxa"/>
            </w:tcMar>
            <w:vAlign w:val="center"/>
            <w:hideMark/>
          </w:tcPr>
          <w:p w14:paraId="7484BD8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68914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D994BF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D035AE0" w14:textId="77777777" w:rsidR="00000000" w:rsidRDefault="00EB4933">
            <w:pPr>
              <w:jc w:val="right"/>
              <w:rPr>
                <w:rFonts w:eastAsia="Times New Roman"/>
                <w:sz w:val="20"/>
                <w:szCs w:val="20"/>
              </w:rPr>
            </w:pPr>
            <w:r>
              <w:rPr>
                <w:rFonts w:eastAsia="Times New Roman"/>
                <w:sz w:val="20"/>
                <w:szCs w:val="20"/>
              </w:rPr>
              <w:t>10,986</w:t>
            </w:r>
          </w:p>
        </w:tc>
        <w:tc>
          <w:tcPr>
            <w:tcW w:w="50" w:type="pct"/>
            <w:shd w:val="clear" w:color="auto" w:fill="FFFFFF"/>
            <w:noWrap/>
            <w:tcMar>
              <w:top w:w="0" w:type="dxa"/>
              <w:left w:w="0" w:type="dxa"/>
              <w:bottom w:w="15" w:type="dxa"/>
              <w:right w:w="0" w:type="dxa"/>
            </w:tcMar>
            <w:vAlign w:val="center"/>
            <w:hideMark/>
          </w:tcPr>
          <w:p w14:paraId="04C24D2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1745F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0E3B1F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A2EB155" w14:textId="77777777" w:rsidR="00000000" w:rsidRDefault="00EB4933">
            <w:pPr>
              <w:jc w:val="right"/>
              <w:rPr>
                <w:rFonts w:eastAsia="Times New Roman"/>
                <w:sz w:val="20"/>
                <w:szCs w:val="20"/>
              </w:rPr>
            </w:pPr>
            <w:r>
              <w:rPr>
                <w:rFonts w:eastAsia="Times New Roman"/>
                <w:sz w:val="20"/>
                <w:szCs w:val="20"/>
              </w:rPr>
              <w:t>26,716</w:t>
            </w:r>
          </w:p>
        </w:tc>
        <w:tc>
          <w:tcPr>
            <w:tcW w:w="50" w:type="pct"/>
            <w:shd w:val="clear" w:color="auto" w:fill="FFFFFF"/>
            <w:noWrap/>
            <w:tcMar>
              <w:top w:w="0" w:type="dxa"/>
              <w:left w:w="0" w:type="dxa"/>
              <w:bottom w:w="15" w:type="dxa"/>
              <w:right w:w="0" w:type="dxa"/>
            </w:tcMar>
            <w:vAlign w:val="center"/>
            <w:hideMark/>
          </w:tcPr>
          <w:p w14:paraId="1C56060A" w14:textId="77777777" w:rsidR="00000000" w:rsidRDefault="00EB4933">
            <w:pPr>
              <w:pStyle w:val="NormalWeb"/>
              <w:spacing w:before="0" w:beforeAutospacing="0" w:after="0" w:afterAutospacing="0"/>
              <w:rPr>
                <w:sz w:val="20"/>
                <w:szCs w:val="20"/>
              </w:rPr>
            </w:pPr>
            <w:r>
              <w:rPr>
                <w:sz w:val="20"/>
                <w:szCs w:val="20"/>
              </w:rPr>
              <w:t> </w:t>
            </w:r>
          </w:p>
        </w:tc>
      </w:tr>
      <w:tr w:rsidR="00000000" w14:paraId="604981DC" w14:textId="77777777">
        <w:trPr>
          <w:divId w:val="98525094"/>
          <w:trHeight w:val="225"/>
          <w:tblCellSpacing w:w="15" w:type="dxa"/>
        </w:trPr>
        <w:tc>
          <w:tcPr>
            <w:tcW w:w="0" w:type="auto"/>
            <w:shd w:val="clear" w:color="auto" w:fill="CCEEFF"/>
            <w:hideMark/>
          </w:tcPr>
          <w:p w14:paraId="46A4A244" w14:textId="77777777" w:rsidR="00000000" w:rsidRDefault="00EB4933">
            <w:pPr>
              <w:pStyle w:val="NormalWeb"/>
              <w:spacing w:before="0" w:beforeAutospacing="0" w:after="0" w:afterAutospacing="0"/>
              <w:rPr>
                <w:sz w:val="20"/>
                <w:szCs w:val="20"/>
              </w:rPr>
            </w:pPr>
            <w:r>
              <w:rPr>
                <w:rStyle w:val="Strong"/>
                <w:sz w:val="20"/>
                <w:szCs w:val="20"/>
              </w:rPr>
              <w:t>Total current liabilities</w:t>
            </w:r>
          </w:p>
        </w:tc>
        <w:tc>
          <w:tcPr>
            <w:tcW w:w="50" w:type="pct"/>
            <w:shd w:val="clear" w:color="auto" w:fill="CCEEFF"/>
            <w:noWrap/>
            <w:vAlign w:val="center"/>
            <w:hideMark/>
          </w:tcPr>
          <w:p w14:paraId="34F1EB1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FD38EE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21E9980" w14:textId="77777777" w:rsidR="00000000" w:rsidRDefault="00EB4933">
            <w:pPr>
              <w:jc w:val="right"/>
              <w:rPr>
                <w:rFonts w:eastAsia="Times New Roman"/>
                <w:sz w:val="20"/>
                <w:szCs w:val="20"/>
              </w:rPr>
            </w:pPr>
            <w:r>
              <w:rPr>
                <w:rFonts w:eastAsia="Times New Roman"/>
                <w:sz w:val="20"/>
                <w:szCs w:val="20"/>
              </w:rPr>
              <w:t>265,076</w:t>
            </w:r>
          </w:p>
        </w:tc>
        <w:tc>
          <w:tcPr>
            <w:tcW w:w="50" w:type="pct"/>
            <w:shd w:val="clear" w:color="auto" w:fill="CCEEFF"/>
            <w:noWrap/>
            <w:tcMar>
              <w:top w:w="0" w:type="dxa"/>
              <w:left w:w="0" w:type="dxa"/>
              <w:bottom w:w="15" w:type="dxa"/>
              <w:right w:w="0" w:type="dxa"/>
            </w:tcMar>
            <w:vAlign w:val="center"/>
            <w:hideMark/>
          </w:tcPr>
          <w:p w14:paraId="5AF38BF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4D024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15D5A8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5679742" w14:textId="77777777" w:rsidR="00000000" w:rsidRDefault="00EB4933">
            <w:pPr>
              <w:jc w:val="right"/>
              <w:rPr>
                <w:rFonts w:eastAsia="Times New Roman"/>
                <w:sz w:val="20"/>
                <w:szCs w:val="20"/>
              </w:rPr>
            </w:pPr>
            <w:r>
              <w:rPr>
                <w:rFonts w:eastAsia="Times New Roman"/>
                <w:sz w:val="20"/>
                <w:szCs w:val="20"/>
              </w:rPr>
              <w:t>10,524</w:t>
            </w:r>
          </w:p>
        </w:tc>
        <w:tc>
          <w:tcPr>
            <w:tcW w:w="50" w:type="pct"/>
            <w:shd w:val="clear" w:color="auto" w:fill="CCEEFF"/>
            <w:noWrap/>
            <w:tcMar>
              <w:top w:w="0" w:type="dxa"/>
              <w:left w:w="0" w:type="dxa"/>
              <w:bottom w:w="15" w:type="dxa"/>
              <w:right w:w="0" w:type="dxa"/>
            </w:tcMar>
            <w:vAlign w:val="center"/>
            <w:hideMark/>
          </w:tcPr>
          <w:p w14:paraId="6222961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E5E04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4D8F1E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1C53863" w14:textId="77777777" w:rsidR="00000000" w:rsidRDefault="00EB4933">
            <w:pPr>
              <w:jc w:val="right"/>
              <w:rPr>
                <w:rFonts w:eastAsia="Times New Roman"/>
                <w:sz w:val="20"/>
                <w:szCs w:val="20"/>
              </w:rPr>
            </w:pPr>
            <w:r>
              <w:rPr>
                <w:rFonts w:eastAsia="Times New Roman"/>
                <w:sz w:val="20"/>
                <w:szCs w:val="20"/>
              </w:rPr>
              <w:t>275,600</w:t>
            </w:r>
          </w:p>
        </w:tc>
        <w:tc>
          <w:tcPr>
            <w:tcW w:w="50" w:type="pct"/>
            <w:shd w:val="clear" w:color="auto" w:fill="CCEEFF"/>
            <w:noWrap/>
            <w:tcMar>
              <w:top w:w="0" w:type="dxa"/>
              <w:left w:w="0" w:type="dxa"/>
              <w:bottom w:w="15" w:type="dxa"/>
              <w:right w:w="0" w:type="dxa"/>
            </w:tcMar>
            <w:vAlign w:val="center"/>
            <w:hideMark/>
          </w:tcPr>
          <w:p w14:paraId="5610DF0B" w14:textId="77777777" w:rsidR="00000000" w:rsidRDefault="00EB4933">
            <w:pPr>
              <w:pStyle w:val="NormalWeb"/>
              <w:spacing w:before="0" w:beforeAutospacing="0" w:after="0" w:afterAutospacing="0"/>
              <w:rPr>
                <w:sz w:val="20"/>
                <w:szCs w:val="20"/>
              </w:rPr>
            </w:pPr>
            <w:r>
              <w:rPr>
                <w:sz w:val="20"/>
                <w:szCs w:val="20"/>
              </w:rPr>
              <w:t> </w:t>
            </w:r>
          </w:p>
        </w:tc>
      </w:tr>
      <w:tr w:rsidR="00000000" w14:paraId="70579ED2" w14:textId="77777777">
        <w:trPr>
          <w:divId w:val="98525094"/>
          <w:trHeight w:val="225"/>
          <w:tblCellSpacing w:w="15" w:type="dxa"/>
        </w:trPr>
        <w:tc>
          <w:tcPr>
            <w:tcW w:w="0" w:type="auto"/>
            <w:shd w:val="clear" w:color="auto" w:fill="FFFFFF"/>
            <w:vAlign w:val="center"/>
            <w:hideMark/>
          </w:tcPr>
          <w:p w14:paraId="7F07BF1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3AE45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55E72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F91499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C1D75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6EED2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8C2AF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C58F1A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3AE4F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6F918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2EDD2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CE71DB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6B3186" w14:textId="77777777" w:rsidR="00000000" w:rsidRDefault="00EB4933">
            <w:pPr>
              <w:pStyle w:val="NormalWeb"/>
              <w:spacing w:before="0" w:beforeAutospacing="0" w:after="0" w:afterAutospacing="0"/>
              <w:rPr>
                <w:sz w:val="20"/>
                <w:szCs w:val="20"/>
              </w:rPr>
            </w:pPr>
            <w:r>
              <w:rPr>
                <w:sz w:val="20"/>
                <w:szCs w:val="20"/>
              </w:rPr>
              <w:t> </w:t>
            </w:r>
          </w:p>
        </w:tc>
      </w:tr>
      <w:tr w:rsidR="00000000" w14:paraId="2F3B8F5C" w14:textId="77777777">
        <w:trPr>
          <w:divId w:val="98525094"/>
          <w:trHeight w:val="225"/>
          <w:tblCellSpacing w:w="15" w:type="dxa"/>
        </w:trPr>
        <w:tc>
          <w:tcPr>
            <w:tcW w:w="0" w:type="auto"/>
            <w:shd w:val="clear" w:color="auto" w:fill="CCEEFF"/>
            <w:hideMark/>
          </w:tcPr>
          <w:p w14:paraId="6C74C085" w14:textId="77777777" w:rsidR="00000000" w:rsidRDefault="00EB4933">
            <w:pPr>
              <w:pStyle w:val="NormalWeb"/>
              <w:spacing w:before="0" w:beforeAutospacing="0" w:after="0" w:afterAutospacing="0"/>
              <w:rPr>
                <w:sz w:val="20"/>
                <w:szCs w:val="20"/>
              </w:rPr>
            </w:pPr>
            <w:r>
              <w:rPr>
                <w:rStyle w:val="Strong"/>
                <w:sz w:val="20"/>
                <w:szCs w:val="20"/>
              </w:rPr>
              <w:t>SHAREHOLDERS’ EQUITY</w:t>
            </w:r>
          </w:p>
        </w:tc>
        <w:tc>
          <w:tcPr>
            <w:tcW w:w="50" w:type="pct"/>
            <w:shd w:val="clear" w:color="auto" w:fill="CCEEFF"/>
            <w:noWrap/>
            <w:vAlign w:val="center"/>
            <w:hideMark/>
          </w:tcPr>
          <w:p w14:paraId="560A8D4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D9AF7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32DFCB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44DC3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C0D46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A0D2D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EC4C1F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520E5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FD629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BB46A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991E60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33972E" w14:textId="77777777" w:rsidR="00000000" w:rsidRDefault="00EB4933">
            <w:pPr>
              <w:pStyle w:val="NormalWeb"/>
              <w:spacing w:before="0" w:beforeAutospacing="0" w:after="0" w:afterAutospacing="0"/>
              <w:rPr>
                <w:sz w:val="20"/>
                <w:szCs w:val="20"/>
              </w:rPr>
            </w:pPr>
            <w:r>
              <w:rPr>
                <w:sz w:val="20"/>
                <w:szCs w:val="20"/>
              </w:rPr>
              <w:t> </w:t>
            </w:r>
          </w:p>
        </w:tc>
      </w:tr>
      <w:tr w:rsidR="00000000" w14:paraId="39FE4CD2" w14:textId="77777777">
        <w:trPr>
          <w:divId w:val="98525094"/>
          <w:trHeight w:val="225"/>
          <w:tblCellSpacing w:w="15" w:type="dxa"/>
        </w:trPr>
        <w:tc>
          <w:tcPr>
            <w:tcW w:w="0" w:type="auto"/>
            <w:shd w:val="clear" w:color="auto" w:fill="FFFFFF"/>
            <w:hideMark/>
          </w:tcPr>
          <w:p w14:paraId="1AF7997C" w14:textId="77777777" w:rsidR="00000000" w:rsidRDefault="00EB4933">
            <w:pPr>
              <w:pStyle w:val="NormalWeb"/>
              <w:spacing w:before="0" w:beforeAutospacing="0" w:after="0" w:afterAutospacing="0"/>
              <w:rPr>
                <w:sz w:val="20"/>
                <w:szCs w:val="20"/>
              </w:rPr>
            </w:pPr>
            <w:r>
              <w:rPr>
                <w:sz w:val="20"/>
                <w:szCs w:val="20"/>
              </w:rPr>
              <w:t>Capital and reserve attributable to equity holders of the Company</w:t>
            </w:r>
          </w:p>
        </w:tc>
        <w:tc>
          <w:tcPr>
            <w:tcW w:w="50" w:type="pct"/>
            <w:shd w:val="clear" w:color="auto" w:fill="FFFFFF"/>
            <w:noWrap/>
            <w:vAlign w:val="center"/>
            <w:hideMark/>
          </w:tcPr>
          <w:p w14:paraId="27C7F47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F9C7C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571FBA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CF1D4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A2820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626B6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FC0399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6E65D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246D3F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3F385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E60909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987CF4" w14:textId="77777777" w:rsidR="00000000" w:rsidRDefault="00EB4933">
            <w:pPr>
              <w:pStyle w:val="NormalWeb"/>
              <w:spacing w:before="0" w:beforeAutospacing="0" w:after="0" w:afterAutospacing="0"/>
              <w:rPr>
                <w:sz w:val="20"/>
                <w:szCs w:val="20"/>
              </w:rPr>
            </w:pPr>
            <w:r>
              <w:rPr>
                <w:sz w:val="20"/>
                <w:szCs w:val="20"/>
              </w:rPr>
              <w:t> </w:t>
            </w:r>
          </w:p>
        </w:tc>
      </w:tr>
      <w:tr w:rsidR="00000000" w14:paraId="04ED5623" w14:textId="77777777">
        <w:trPr>
          <w:divId w:val="98525094"/>
          <w:trHeight w:val="225"/>
          <w:tblCellSpacing w:w="15" w:type="dxa"/>
        </w:trPr>
        <w:tc>
          <w:tcPr>
            <w:tcW w:w="0" w:type="auto"/>
            <w:shd w:val="clear" w:color="auto" w:fill="CCEEFF"/>
            <w:hideMark/>
          </w:tcPr>
          <w:p w14:paraId="6BD5E642" w14:textId="77777777" w:rsidR="00000000" w:rsidRDefault="00EB4933">
            <w:pPr>
              <w:pStyle w:val="NormalWeb"/>
              <w:spacing w:before="0" w:beforeAutospacing="0" w:after="0" w:afterAutospacing="0"/>
              <w:rPr>
                <w:sz w:val="20"/>
                <w:szCs w:val="20"/>
              </w:rPr>
            </w:pPr>
            <w:r>
              <w:rPr>
                <w:sz w:val="20"/>
                <w:szCs w:val="20"/>
              </w:rPr>
              <w:t>Share capital</w:t>
            </w:r>
          </w:p>
        </w:tc>
        <w:tc>
          <w:tcPr>
            <w:tcW w:w="50" w:type="pct"/>
            <w:shd w:val="clear" w:color="auto" w:fill="CCEEFF"/>
            <w:noWrap/>
            <w:vAlign w:val="center"/>
            <w:hideMark/>
          </w:tcPr>
          <w:p w14:paraId="07EF673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58735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A4DA4D4" w14:textId="77777777" w:rsidR="00000000" w:rsidRDefault="00EB4933">
            <w:pPr>
              <w:jc w:val="right"/>
              <w:rPr>
                <w:rFonts w:eastAsia="Times New Roman"/>
                <w:sz w:val="20"/>
                <w:szCs w:val="20"/>
              </w:rPr>
            </w:pPr>
            <w:r>
              <w:rPr>
                <w:rFonts w:eastAsia="Times New Roman"/>
                <w:sz w:val="20"/>
                <w:szCs w:val="20"/>
              </w:rPr>
              <w:t>325</w:t>
            </w:r>
          </w:p>
        </w:tc>
        <w:tc>
          <w:tcPr>
            <w:tcW w:w="50" w:type="pct"/>
            <w:shd w:val="clear" w:color="auto" w:fill="CCEEFF"/>
            <w:noWrap/>
            <w:vAlign w:val="center"/>
            <w:hideMark/>
          </w:tcPr>
          <w:p w14:paraId="5FB912C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12849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75209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F713B19"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5F4DE9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0B01C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50AD8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D1DD348" w14:textId="77777777" w:rsidR="00000000" w:rsidRDefault="00EB4933">
            <w:pPr>
              <w:jc w:val="right"/>
              <w:rPr>
                <w:rFonts w:eastAsia="Times New Roman"/>
                <w:sz w:val="20"/>
                <w:szCs w:val="20"/>
              </w:rPr>
            </w:pPr>
            <w:r>
              <w:rPr>
                <w:rFonts w:eastAsia="Times New Roman"/>
                <w:sz w:val="20"/>
                <w:szCs w:val="20"/>
              </w:rPr>
              <w:t>325</w:t>
            </w:r>
          </w:p>
        </w:tc>
        <w:tc>
          <w:tcPr>
            <w:tcW w:w="50" w:type="pct"/>
            <w:shd w:val="clear" w:color="auto" w:fill="CCEEFF"/>
            <w:noWrap/>
            <w:vAlign w:val="center"/>
            <w:hideMark/>
          </w:tcPr>
          <w:p w14:paraId="5C3F56AF" w14:textId="77777777" w:rsidR="00000000" w:rsidRDefault="00EB4933">
            <w:pPr>
              <w:pStyle w:val="NormalWeb"/>
              <w:spacing w:before="0" w:beforeAutospacing="0" w:after="0" w:afterAutospacing="0"/>
              <w:rPr>
                <w:sz w:val="20"/>
                <w:szCs w:val="20"/>
              </w:rPr>
            </w:pPr>
            <w:r>
              <w:rPr>
                <w:sz w:val="20"/>
                <w:szCs w:val="20"/>
              </w:rPr>
              <w:t> </w:t>
            </w:r>
          </w:p>
        </w:tc>
      </w:tr>
      <w:tr w:rsidR="00000000" w14:paraId="0D261507" w14:textId="77777777">
        <w:trPr>
          <w:divId w:val="98525094"/>
          <w:trHeight w:val="225"/>
          <w:tblCellSpacing w:w="15" w:type="dxa"/>
        </w:trPr>
        <w:tc>
          <w:tcPr>
            <w:tcW w:w="0" w:type="auto"/>
            <w:shd w:val="clear" w:color="auto" w:fill="FFFFFF"/>
            <w:hideMark/>
          </w:tcPr>
          <w:p w14:paraId="200E3909" w14:textId="77777777" w:rsidR="00000000" w:rsidRDefault="00EB4933">
            <w:pPr>
              <w:pStyle w:val="NormalWeb"/>
              <w:spacing w:before="0" w:beforeAutospacing="0" w:after="0" w:afterAutospacing="0"/>
              <w:rPr>
                <w:sz w:val="20"/>
                <w:szCs w:val="20"/>
              </w:rPr>
            </w:pPr>
            <w:r>
              <w:rPr>
                <w:sz w:val="20"/>
                <w:szCs w:val="20"/>
              </w:rPr>
              <w:t>Additional paid-in capital (note 2)</w:t>
            </w:r>
          </w:p>
        </w:tc>
        <w:tc>
          <w:tcPr>
            <w:tcW w:w="50" w:type="pct"/>
            <w:shd w:val="clear" w:color="auto" w:fill="FFFFFF"/>
            <w:noWrap/>
            <w:vAlign w:val="center"/>
            <w:hideMark/>
          </w:tcPr>
          <w:p w14:paraId="5CAECA3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8905F7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5AA6C7D" w14:textId="77777777" w:rsidR="00000000" w:rsidRDefault="00EB4933">
            <w:pPr>
              <w:jc w:val="right"/>
              <w:rPr>
                <w:rFonts w:eastAsia="Times New Roman"/>
                <w:sz w:val="20"/>
                <w:szCs w:val="20"/>
              </w:rPr>
            </w:pPr>
            <w:r>
              <w:rPr>
                <w:rFonts w:eastAsia="Times New Roman"/>
                <w:sz w:val="20"/>
                <w:szCs w:val="20"/>
              </w:rPr>
              <w:t>388,317</w:t>
            </w:r>
          </w:p>
        </w:tc>
        <w:tc>
          <w:tcPr>
            <w:tcW w:w="50" w:type="pct"/>
            <w:shd w:val="clear" w:color="auto" w:fill="FFFFFF"/>
            <w:noWrap/>
            <w:vAlign w:val="center"/>
            <w:hideMark/>
          </w:tcPr>
          <w:p w14:paraId="4610A33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53655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631F4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6B2F559" w14:textId="77777777" w:rsidR="00000000" w:rsidRDefault="00EB4933">
            <w:pPr>
              <w:jc w:val="right"/>
              <w:rPr>
                <w:rFonts w:eastAsia="Times New Roman"/>
                <w:sz w:val="20"/>
                <w:szCs w:val="20"/>
              </w:rPr>
            </w:pPr>
            <w:r>
              <w:rPr>
                <w:rFonts w:eastAsia="Times New Roman"/>
                <w:sz w:val="20"/>
                <w:szCs w:val="20"/>
              </w:rPr>
              <w:t>(5,143</w:t>
            </w:r>
          </w:p>
        </w:tc>
        <w:tc>
          <w:tcPr>
            <w:tcW w:w="50" w:type="pct"/>
            <w:shd w:val="clear" w:color="auto" w:fill="FFFFFF"/>
            <w:noWrap/>
            <w:vAlign w:val="bottom"/>
            <w:hideMark/>
          </w:tcPr>
          <w:p w14:paraId="7A7B5762"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8D434B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F698A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24B58DF" w14:textId="77777777" w:rsidR="00000000" w:rsidRDefault="00EB4933">
            <w:pPr>
              <w:jc w:val="right"/>
              <w:rPr>
                <w:rFonts w:eastAsia="Times New Roman"/>
                <w:sz w:val="20"/>
                <w:szCs w:val="20"/>
              </w:rPr>
            </w:pPr>
            <w:r>
              <w:rPr>
                <w:rFonts w:eastAsia="Times New Roman"/>
                <w:sz w:val="20"/>
                <w:szCs w:val="20"/>
              </w:rPr>
              <w:t>383,174</w:t>
            </w:r>
          </w:p>
        </w:tc>
        <w:tc>
          <w:tcPr>
            <w:tcW w:w="50" w:type="pct"/>
            <w:shd w:val="clear" w:color="auto" w:fill="FFFFFF"/>
            <w:noWrap/>
            <w:vAlign w:val="center"/>
            <w:hideMark/>
          </w:tcPr>
          <w:p w14:paraId="3F9D35CF" w14:textId="77777777" w:rsidR="00000000" w:rsidRDefault="00EB4933">
            <w:pPr>
              <w:pStyle w:val="NormalWeb"/>
              <w:spacing w:before="0" w:beforeAutospacing="0" w:after="0" w:afterAutospacing="0"/>
              <w:rPr>
                <w:sz w:val="20"/>
                <w:szCs w:val="20"/>
              </w:rPr>
            </w:pPr>
            <w:r>
              <w:rPr>
                <w:sz w:val="20"/>
                <w:szCs w:val="20"/>
              </w:rPr>
              <w:t> </w:t>
            </w:r>
          </w:p>
        </w:tc>
      </w:tr>
      <w:tr w:rsidR="00000000" w14:paraId="44F71EFC" w14:textId="77777777">
        <w:trPr>
          <w:divId w:val="98525094"/>
          <w:trHeight w:val="225"/>
          <w:tblCellSpacing w:w="15" w:type="dxa"/>
        </w:trPr>
        <w:tc>
          <w:tcPr>
            <w:tcW w:w="0" w:type="auto"/>
            <w:shd w:val="clear" w:color="auto" w:fill="CCEEFF"/>
            <w:hideMark/>
          </w:tcPr>
          <w:p w14:paraId="09016452" w14:textId="77777777" w:rsidR="00000000" w:rsidRDefault="00EB4933">
            <w:pPr>
              <w:pStyle w:val="NormalWeb"/>
              <w:spacing w:before="0" w:beforeAutospacing="0" w:after="0" w:afterAutospacing="0"/>
              <w:rPr>
                <w:sz w:val="20"/>
                <w:szCs w:val="20"/>
              </w:rPr>
            </w:pPr>
            <w:r>
              <w:rPr>
                <w:sz w:val="20"/>
                <w:szCs w:val="20"/>
              </w:rPr>
              <w:t>Statutory reserve (note 7)</w:t>
            </w:r>
          </w:p>
        </w:tc>
        <w:tc>
          <w:tcPr>
            <w:tcW w:w="50" w:type="pct"/>
            <w:shd w:val="clear" w:color="auto" w:fill="CCEEFF"/>
            <w:noWrap/>
            <w:vAlign w:val="center"/>
            <w:hideMark/>
          </w:tcPr>
          <w:p w14:paraId="157248C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5F9DF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B3CD19E" w14:textId="77777777" w:rsidR="00000000" w:rsidRDefault="00EB4933">
            <w:pPr>
              <w:jc w:val="right"/>
              <w:rPr>
                <w:rFonts w:eastAsia="Times New Roman"/>
                <w:sz w:val="20"/>
                <w:szCs w:val="20"/>
              </w:rPr>
            </w:pPr>
            <w:r>
              <w:rPr>
                <w:rFonts w:eastAsia="Times New Roman"/>
                <w:sz w:val="20"/>
                <w:szCs w:val="20"/>
              </w:rPr>
              <w:t>7,751</w:t>
            </w:r>
          </w:p>
        </w:tc>
        <w:tc>
          <w:tcPr>
            <w:tcW w:w="50" w:type="pct"/>
            <w:shd w:val="clear" w:color="auto" w:fill="CCEEFF"/>
            <w:noWrap/>
            <w:vAlign w:val="center"/>
            <w:hideMark/>
          </w:tcPr>
          <w:p w14:paraId="47428B0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DBF28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F3988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A2F666F" w14:textId="77777777" w:rsidR="00000000" w:rsidRDefault="00EB4933">
            <w:pPr>
              <w:jc w:val="right"/>
              <w:rPr>
                <w:rFonts w:eastAsia="Times New Roman"/>
                <w:sz w:val="20"/>
                <w:szCs w:val="20"/>
              </w:rPr>
            </w:pPr>
            <w:r>
              <w:rPr>
                <w:rFonts w:eastAsia="Times New Roman"/>
                <w:sz w:val="20"/>
                <w:szCs w:val="20"/>
              </w:rPr>
              <w:t>5,614</w:t>
            </w:r>
          </w:p>
        </w:tc>
        <w:tc>
          <w:tcPr>
            <w:tcW w:w="50" w:type="pct"/>
            <w:shd w:val="clear" w:color="auto" w:fill="CCEEFF"/>
            <w:noWrap/>
            <w:vAlign w:val="center"/>
            <w:hideMark/>
          </w:tcPr>
          <w:p w14:paraId="47797FA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23D10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17212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A5FE209" w14:textId="77777777" w:rsidR="00000000" w:rsidRDefault="00EB4933">
            <w:pPr>
              <w:jc w:val="right"/>
              <w:rPr>
                <w:rFonts w:eastAsia="Times New Roman"/>
                <w:sz w:val="20"/>
                <w:szCs w:val="20"/>
              </w:rPr>
            </w:pPr>
            <w:r>
              <w:rPr>
                <w:rFonts w:eastAsia="Times New Roman"/>
                <w:sz w:val="20"/>
                <w:szCs w:val="20"/>
              </w:rPr>
              <w:t>13,365</w:t>
            </w:r>
          </w:p>
        </w:tc>
        <w:tc>
          <w:tcPr>
            <w:tcW w:w="50" w:type="pct"/>
            <w:shd w:val="clear" w:color="auto" w:fill="CCEEFF"/>
            <w:noWrap/>
            <w:vAlign w:val="center"/>
            <w:hideMark/>
          </w:tcPr>
          <w:p w14:paraId="0B6F3955" w14:textId="77777777" w:rsidR="00000000" w:rsidRDefault="00EB4933">
            <w:pPr>
              <w:pStyle w:val="NormalWeb"/>
              <w:spacing w:before="0" w:beforeAutospacing="0" w:after="0" w:afterAutospacing="0"/>
              <w:rPr>
                <w:sz w:val="20"/>
                <w:szCs w:val="20"/>
              </w:rPr>
            </w:pPr>
            <w:r>
              <w:rPr>
                <w:sz w:val="20"/>
                <w:szCs w:val="20"/>
              </w:rPr>
              <w:t> </w:t>
            </w:r>
          </w:p>
        </w:tc>
      </w:tr>
      <w:tr w:rsidR="00000000" w14:paraId="2426CC9A" w14:textId="77777777">
        <w:trPr>
          <w:divId w:val="98525094"/>
          <w:trHeight w:val="225"/>
          <w:tblCellSpacing w:w="15" w:type="dxa"/>
        </w:trPr>
        <w:tc>
          <w:tcPr>
            <w:tcW w:w="0" w:type="auto"/>
            <w:shd w:val="clear" w:color="auto" w:fill="FFFFFF"/>
            <w:hideMark/>
          </w:tcPr>
          <w:p w14:paraId="576C90B9" w14:textId="77777777" w:rsidR="00000000" w:rsidRDefault="00EB4933">
            <w:pPr>
              <w:pStyle w:val="NormalWeb"/>
              <w:spacing w:before="0" w:beforeAutospacing="0" w:after="0" w:afterAutospacing="0"/>
              <w:rPr>
                <w:sz w:val="20"/>
                <w:szCs w:val="20"/>
              </w:rPr>
            </w:pPr>
            <w:r>
              <w:rPr>
                <w:sz w:val="20"/>
                <w:szCs w:val="20"/>
              </w:rPr>
              <w:t>General risk reserve (note 7)</w:t>
            </w:r>
          </w:p>
        </w:tc>
        <w:tc>
          <w:tcPr>
            <w:tcW w:w="50" w:type="pct"/>
            <w:shd w:val="clear" w:color="auto" w:fill="FFFFFF"/>
            <w:noWrap/>
            <w:vAlign w:val="center"/>
            <w:hideMark/>
          </w:tcPr>
          <w:p w14:paraId="7AF8E79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DA6D2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B99E8B4" w14:textId="77777777" w:rsidR="00000000" w:rsidRDefault="00EB4933">
            <w:pPr>
              <w:jc w:val="right"/>
              <w:rPr>
                <w:rFonts w:eastAsia="Times New Roman"/>
                <w:sz w:val="20"/>
                <w:szCs w:val="20"/>
              </w:rPr>
            </w:pPr>
            <w:r>
              <w:rPr>
                <w:rFonts w:eastAsia="Times New Roman"/>
                <w:sz w:val="20"/>
                <w:szCs w:val="20"/>
              </w:rPr>
              <w:t>5,891</w:t>
            </w:r>
          </w:p>
        </w:tc>
        <w:tc>
          <w:tcPr>
            <w:tcW w:w="50" w:type="pct"/>
            <w:shd w:val="clear" w:color="auto" w:fill="FFFFFF"/>
            <w:noWrap/>
            <w:vAlign w:val="center"/>
            <w:hideMark/>
          </w:tcPr>
          <w:p w14:paraId="2A81071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F93AE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55389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6699535" w14:textId="77777777" w:rsidR="00000000" w:rsidRDefault="00EB4933">
            <w:pPr>
              <w:jc w:val="right"/>
              <w:rPr>
                <w:rFonts w:eastAsia="Times New Roman"/>
                <w:sz w:val="20"/>
                <w:szCs w:val="20"/>
              </w:rPr>
            </w:pPr>
            <w:r>
              <w:rPr>
                <w:rFonts w:eastAsia="Times New Roman"/>
                <w:sz w:val="20"/>
                <w:szCs w:val="20"/>
              </w:rPr>
              <w:t>3,926</w:t>
            </w:r>
          </w:p>
        </w:tc>
        <w:tc>
          <w:tcPr>
            <w:tcW w:w="50" w:type="pct"/>
            <w:shd w:val="clear" w:color="auto" w:fill="FFFFFF"/>
            <w:noWrap/>
            <w:vAlign w:val="center"/>
            <w:hideMark/>
          </w:tcPr>
          <w:p w14:paraId="5B8DF89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8730C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67B77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EF5E9EE" w14:textId="77777777" w:rsidR="00000000" w:rsidRDefault="00EB4933">
            <w:pPr>
              <w:jc w:val="right"/>
              <w:rPr>
                <w:rFonts w:eastAsia="Times New Roman"/>
                <w:sz w:val="20"/>
                <w:szCs w:val="20"/>
              </w:rPr>
            </w:pPr>
            <w:r>
              <w:rPr>
                <w:rFonts w:eastAsia="Times New Roman"/>
                <w:sz w:val="20"/>
                <w:szCs w:val="20"/>
              </w:rPr>
              <w:t>9,817</w:t>
            </w:r>
          </w:p>
        </w:tc>
        <w:tc>
          <w:tcPr>
            <w:tcW w:w="50" w:type="pct"/>
            <w:shd w:val="clear" w:color="auto" w:fill="FFFFFF"/>
            <w:noWrap/>
            <w:vAlign w:val="center"/>
            <w:hideMark/>
          </w:tcPr>
          <w:p w14:paraId="1B1C34EB" w14:textId="77777777" w:rsidR="00000000" w:rsidRDefault="00EB4933">
            <w:pPr>
              <w:pStyle w:val="NormalWeb"/>
              <w:spacing w:before="0" w:beforeAutospacing="0" w:after="0" w:afterAutospacing="0"/>
              <w:rPr>
                <w:sz w:val="20"/>
                <w:szCs w:val="20"/>
              </w:rPr>
            </w:pPr>
            <w:r>
              <w:rPr>
                <w:sz w:val="20"/>
                <w:szCs w:val="20"/>
              </w:rPr>
              <w:t> </w:t>
            </w:r>
          </w:p>
        </w:tc>
      </w:tr>
      <w:tr w:rsidR="00000000" w14:paraId="3ADE6373" w14:textId="77777777">
        <w:trPr>
          <w:divId w:val="98525094"/>
          <w:trHeight w:val="225"/>
          <w:tblCellSpacing w:w="15" w:type="dxa"/>
        </w:trPr>
        <w:tc>
          <w:tcPr>
            <w:tcW w:w="0" w:type="auto"/>
            <w:shd w:val="clear" w:color="auto" w:fill="CCEEFF"/>
            <w:hideMark/>
          </w:tcPr>
          <w:p w14:paraId="7F83F061" w14:textId="77777777" w:rsidR="00000000" w:rsidRDefault="00EB4933">
            <w:pPr>
              <w:pStyle w:val="NormalWeb"/>
              <w:spacing w:before="0" w:beforeAutospacing="0" w:after="0" w:afterAutospacing="0"/>
              <w:rPr>
                <w:sz w:val="20"/>
                <w:szCs w:val="20"/>
              </w:rPr>
            </w:pPr>
            <w:r>
              <w:rPr>
                <w:sz w:val="20"/>
                <w:szCs w:val="20"/>
              </w:rPr>
              <w:t>Retained earnings</w:t>
            </w:r>
          </w:p>
        </w:tc>
        <w:tc>
          <w:tcPr>
            <w:tcW w:w="50" w:type="pct"/>
            <w:shd w:val="clear" w:color="auto" w:fill="CCEEFF"/>
            <w:noWrap/>
            <w:vAlign w:val="center"/>
            <w:hideMark/>
          </w:tcPr>
          <w:p w14:paraId="03A9C18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7267D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A061FA9" w14:textId="77777777" w:rsidR="00000000" w:rsidRDefault="00EB4933">
            <w:pPr>
              <w:jc w:val="right"/>
              <w:rPr>
                <w:rFonts w:eastAsia="Times New Roman"/>
                <w:sz w:val="20"/>
                <w:szCs w:val="20"/>
              </w:rPr>
            </w:pPr>
            <w:r>
              <w:rPr>
                <w:rFonts w:eastAsia="Times New Roman"/>
                <w:sz w:val="20"/>
                <w:szCs w:val="20"/>
              </w:rPr>
              <w:t>80,958</w:t>
            </w:r>
          </w:p>
        </w:tc>
        <w:tc>
          <w:tcPr>
            <w:tcW w:w="50" w:type="pct"/>
            <w:shd w:val="clear" w:color="auto" w:fill="CCEEFF"/>
            <w:noWrap/>
            <w:vAlign w:val="center"/>
            <w:hideMark/>
          </w:tcPr>
          <w:p w14:paraId="77F9629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48570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3EAFE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6EE47DF" w14:textId="77777777" w:rsidR="00000000" w:rsidRDefault="00EB4933">
            <w:pPr>
              <w:jc w:val="right"/>
              <w:rPr>
                <w:rFonts w:eastAsia="Times New Roman"/>
                <w:sz w:val="20"/>
                <w:szCs w:val="20"/>
              </w:rPr>
            </w:pPr>
            <w:r>
              <w:rPr>
                <w:rFonts w:eastAsia="Times New Roman"/>
                <w:sz w:val="20"/>
                <w:szCs w:val="20"/>
              </w:rPr>
              <w:t>(13,332</w:t>
            </w:r>
          </w:p>
        </w:tc>
        <w:tc>
          <w:tcPr>
            <w:tcW w:w="50" w:type="pct"/>
            <w:shd w:val="clear" w:color="auto" w:fill="CCEEFF"/>
            <w:noWrap/>
            <w:vAlign w:val="bottom"/>
            <w:hideMark/>
          </w:tcPr>
          <w:p w14:paraId="7E47F686"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9C95B9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CB21F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7E3F654" w14:textId="77777777" w:rsidR="00000000" w:rsidRDefault="00EB4933">
            <w:pPr>
              <w:jc w:val="right"/>
              <w:rPr>
                <w:rFonts w:eastAsia="Times New Roman"/>
                <w:sz w:val="20"/>
                <w:szCs w:val="20"/>
              </w:rPr>
            </w:pPr>
            <w:r>
              <w:rPr>
                <w:rFonts w:eastAsia="Times New Roman"/>
                <w:sz w:val="20"/>
                <w:szCs w:val="20"/>
              </w:rPr>
              <w:t>67,626</w:t>
            </w:r>
          </w:p>
        </w:tc>
        <w:tc>
          <w:tcPr>
            <w:tcW w:w="50" w:type="pct"/>
            <w:shd w:val="clear" w:color="auto" w:fill="CCEEFF"/>
            <w:noWrap/>
            <w:vAlign w:val="center"/>
            <w:hideMark/>
          </w:tcPr>
          <w:p w14:paraId="4F6D9AF4" w14:textId="77777777" w:rsidR="00000000" w:rsidRDefault="00EB4933">
            <w:pPr>
              <w:pStyle w:val="NormalWeb"/>
              <w:spacing w:before="0" w:beforeAutospacing="0" w:after="0" w:afterAutospacing="0"/>
              <w:rPr>
                <w:sz w:val="20"/>
                <w:szCs w:val="20"/>
              </w:rPr>
            </w:pPr>
            <w:r>
              <w:rPr>
                <w:sz w:val="20"/>
                <w:szCs w:val="20"/>
              </w:rPr>
              <w:t> </w:t>
            </w:r>
          </w:p>
        </w:tc>
      </w:tr>
      <w:tr w:rsidR="00000000" w14:paraId="1B934253" w14:textId="77777777">
        <w:trPr>
          <w:divId w:val="98525094"/>
          <w:trHeight w:val="225"/>
          <w:tblCellSpacing w:w="15" w:type="dxa"/>
        </w:trPr>
        <w:tc>
          <w:tcPr>
            <w:tcW w:w="0" w:type="auto"/>
            <w:shd w:val="clear" w:color="auto" w:fill="FFFFFF"/>
            <w:hideMark/>
          </w:tcPr>
          <w:p w14:paraId="009A0055" w14:textId="77777777" w:rsidR="00000000" w:rsidRDefault="00EB4933">
            <w:pPr>
              <w:pStyle w:val="NormalWeb"/>
              <w:spacing w:before="0" w:beforeAutospacing="0" w:after="0" w:afterAutospacing="0"/>
              <w:rPr>
                <w:sz w:val="20"/>
                <w:szCs w:val="20"/>
              </w:rPr>
            </w:pPr>
            <w:r>
              <w:rPr>
                <w:sz w:val="20"/>
                <w:szCs w:val="20"/>
              </w:rPr>
              <w:t>Non-controlling interests in equity</w:t>
            </w:r>
          </w:p>
        </w:tc>
        <w:tc>
          <w:tcPr>
            <w:tcW w:w="50" w:type="pct"/>
            <w:shd w:val="clear" w:color="auto" w:fill="FFFFFF"/>
            <w:noWrap/>
            <w:vAlign w:val="center"/>
            <w:hideMark/>
          </w:tcPr>
          <w:p w14:paraId="2F0B704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4DF44D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46194EF" w14:textId="77777777" w:rsidR="00000000" w:rsidRDefault="00EB4933">
            <w:pPr>
              <w:jc w:val="right"/>
              <w:rPr>
                <w:rFonts w:eastAsia="Times New Roman"/>
                <w:sz w:val="20"/>
                <w:szCs w:val="20"/>
              </w:rPr>
            </w:pPr>
            <w:r>
              <w:rPr>
                <w:rFonts w:eastAsia="Times New Roman"/>
                <w:sz w:val="20"/>
                <w:szCs w:val="20"/>
              </w:rPr>
              <w:t>120,811</w:t>
            </w:r>
          </w:p>
        </w:tc>
        <w:tc>
          <w:tcPr>
            <w:tcW w:w="50" w:type="pct"/>
            <w:shd w:val="clear" w:color="auto" w:fill="FFFFFF"/>
            <w:noWrap/>
            <w:tcMar>
              <w:top w:w="0" w:type="dxa"/>
              <w:left w:w="0" w:type="dxa"/>
              <w:bottom w:w="15" w:type="dxa"/>
              <w:right w:w="0" w:type="dxa"/>
            </w:tcMar>
            <w:vAlign w:val="center"/>
            <w:hideMark/>
          </w:tcPr>
          <w:p w14:paraId="0E9B714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55DCE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5086C8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F382C05" w14:textId="77777777" w:rsidR="00000000" w:rsidRDefault="00EB4933">
            <w:pPr>
              <w:jc w:val="right"/>
              <w:rPr>
                <w:rFonts w:eastAsia="Times New Roman"/>
                <w:sz w:val="20"/>
                <w:szCs w:val="20"/>
              </w:rPr>
            </w:pPr>
            <w:r>
              <w:rPr>
                <w:rFonts w:eastAsia="Times New Roman"/>
                <w:sz w:val="20"/>
                <w:szCs w:val="20"/>
              </w:rPr>
              <w:t>(2,234</w:t>
            </w:r>
          </w:p>
        </w:tc>
        <w:tc>
          <w:tcPr>
            <w:tcW w:w="50" w:type="pct"/>
            <w:shd w:val="clear" w:color="auto" w:fill="FFFFFF"/>
            <w:noWrap/>
            <w:tcMar>
              <w:top w:w="0" w:type="dxa"/>
              <w:left w:w="0" w:type="dxa"/>
              <w:bottom w:w="15" w:type="dxa"/>
              <w:right w:w="0" w:type="dxa"/>
            </w:tcMar>
            <w:vAlign w:val="bottom"/>
            <w:hideMark/>
          </w:tcPr>
          <w:p w14:paraId="18FD7F68"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00D661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D133C4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5FB5BA9" w14:textId="77777777" w:rsidR="00000000" w:rsidRDefault="00EB4933">
            <w:pPr>
              <w:jc w:val="right"/>
              <w:rPr>
                <w:rFonts w:eastAsia="Times New Roman"/>
                <w:sz w:val="20"/>
                <w:szCs w:val="20"/>
              </w:rPr>
            </w:pPr>
            <w:r>
              <w:rPr>
                <w:rFonts w:eastAsia="Times New Roman"/>
                <w:sz w:val="20"/>
                <w:szCs w:val="20"/>
              </w:rPr>
              <w:t>118,577</w:t>
            </w:r>
          </w:p>
        </w:tc>
        <w:tc>
          <w:tcPr>
            <w:tcW w:w="50" w:type="pct"/>
            <w:shd w:val="clear" w:color="auto" w:fill="FFFFFF"/>
            <w:noWrap/>
            <w:tcMar>
              <w:top w:w="0" w:type="dxa"/>
              <w:left w:w="0" w:type="dxa"/>
              <w:bottom w:w="15" w:type="dxa"/>
              <w:right w:w="0" w:type="dxa"/>
            </w:tcMar>
            <w:vAlign w:val="center"/>
            <w:hideMark/>
          </w:tcPr>
          <w:p w14:paraId="26F83844" w14:textId="77777777" w:rsidR="00000000" w:rsidRDefault="00EB4933">
            <w:pPr>
              <w:pStyle w:val="NormalWeb"/>
              <w:spacing w:before="0" w:beforeAutospacing="0" w:after="0" w:afterAutospacing="0"/>
              <w:rPr>
                <w:sz w:val="20"/>
                <w:szCs w:val="20"/>
              </w:rPr>
            </w:pPr>
            <w:r>
              <w:rPr>
                <w:sz w:val="20"/>
                <w:szCs w:val="20"/>
              </w:rPr>
              <w:t> </w:t>
            </w:r>
          </w:p>
        </w:tc>
      </w:tr>
      <w:tr w:rsidR="00000000" w14:paraId="326D52E8" w14:textId="77777777">
        <w:trPr>
          <w:divId w:val="98525094"/>
          <w:trHeight w:val="225"/>
          <w:tblCellSpacing w:w="15" w:type="dxa"/>
        </w:trPr>
        <w:tc>
          <w:tcPr>
            <w:tcW w:w="0" w:type="auto"/>
            <w:shd w:val="clear" w:color="auto" w:fill="CCEEFF"/>
            <w:hideMark/>
          </w:tcPr>
          <w:p w14:paraId="7B6437C6" w14:textId="77777777" w:rsidR="00000000" w:rsidRDefault="00EB4933">
            <w:pPr>
              <w:pStyle w:val="NormalWeb"/>
              <w:spacing w:before="0" w:beforeAutospacing="0" w:after="0" w:afterAutospacing="0"/>
              <w:rPr>
                <w:sz w:val="20"/>
                <w:szCs w:val="20"/>
              </w:rPr>
            </w:pPr>
            <w:r>
              <w:rPr>
                <w:sz w:val="20"/>
                <w:szCs w:val="20"/>
              </w:rPr>
              <w:lastRenderedPageBreak/>
              <w:t>Total shareholders’ equity</w:t>
            </w:r>
          </w:p>
        </w:tc>
        <w:tc>
          <w:tcPr>
            <w:tcW w:w="50" w:type="pct"/>
            <w:shd w:val="clear" w:color="auto" w:fill="CCEEFF"/>
            <w:noWrap/>
            <w:vAlign w:val="center"/>
            <w:hideMark/>
          </w:tcPr>
          <w:p w14:paraId="4EBCAE0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76D093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D06CE61" w14:textId="77777777" w:rsidR="00000000" w:rsidRDefault="00EB4933">
            <w:pPr>
              <w:jc w:val="right"/>
              <w:rPr>
                <w:rFonts w:eastAsia="Times New Roman"/>
                <w:sz w:val="20"/>
                <w:szCs w:val="20"/>
              </w:rPr>
            </w:pPr>
            <w:r>
              <w:rPr>
                <w:rFonts w:eastAsia="Times New Roman"/>
                <w:sz w:val="20"/>
                <w:szCs w:val="20"/>
              </w:rPr>
              <w:t>604,053</w:t>
            </w:r>
          </w:p>
        </w:tc>
        <w:tc>
          <w:tcPr>
            <w:tcW w:w="50" w:type="pct"/>
            <w:shd w:val="clear" w:color="auto" w:fill="CCEEFF"/>
            <w:noWrap/>
            <w:tcMar>
              <w:top w:w="0" w:type="dxa"/>
              <w:left w:w="0" w:type="dxa"/>
              <w:bottom w:w="15" w:type="dxa"/>
              <w:right w:w="0" w:type="dxa"/>
            </w:tcMar>
            <w:vAlign w:val="center"/>
            <w:hideMark/>
          </w:tcPr>
          <w:p w14:paraId="39284BC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F125A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33F6A1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2D6B594" w14:textId="77777777" w:rsidR="00000000" w:rsidRDefault="00EB4933">
            <w:pPr>
              <w:jc w:val="right"/>
              <w:rPr>
                <w:rFonts w:eastAsia="Times New Roman"/>
                <w:sz w:val="20"/>
                <w:szCs w:val="20"/>
              </w:rPr>
            </w:pPr>
            <w:r>
              <w:rPr>
                <w:rFonts w:eastAsia="Times New Roman"/>
                <w:sz w:val="20"/>
                <w:szCs w:val="20"/>
              </w:rPr>
              <w:t>(11,169</w:t>
            </w:r>
          </w:p>
        </w:tc>
        <w:tc>
          <w:tcPr>
            <w:tcW w:w="50" w:type="pct"/>
            <w:shd w:val="clear" w:color="auto" w:fill="CCEEFF"/>
            <w:noWrap/>
            <w:tcMar>
              <w:top w:w="0" w:type="dxa"/>
              <w:left w:w="0" w:type="dxa"/>
              <w:bottom w:w="15" w:type="dxa"/>
              <w:right w:w="0" w:type="dxa"/>
            </w:tcMar>
            <w:vAlign w:val="bottom"/>
            <w:hideMark/>
          </w:tcPr>
          <w:p w14:paraId="0200967B"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B99AA8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12EDBB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DAFF157" w14:textId="77777777" w:rsidR="00000000" w:rsidRDefault="00EB4933">
            <w:pPr>
              <w:jc w:val="right"/>
              <w:rPr>
                <w:rFonts w:eastAsia="Times New Roman"/>
                <w:sz w:val="20"/>
                <w:szCs w:val="20"/>
              </w:rPr>
            </w:pPr>
            <w:r>
              <w:rPr>
                <w:rFonts w:eastAsia="Times New Roman"/>
                <w:sz w:val="20"/>
                <w:szCs w:val="20"/>
              </w:rPr>
              <w:t>592,884</w:t>
            </w:r>
          </w:p>
        </w:tc>
        <w:tc>
          <w:tcPr>
            <w:tcW w:w="50" w:type="pct"/>
            <w:shd w:val="clear" w:color="auto" w:fill="CCEEFF"/>
            <w:noWrap/>
            <w:tcMar>
              <w:top w:w="0" w:type="dxa"/>
              <w:left w:w="0" w:type="dxa"/>
              <w:bottom w:w="15" w:type="dxa"/>
              <w:right w:w="0" w:type="dxa"/>
            </w:tcMar>
            <w:vAlign w:val="center"/>
            <w:hideMark/>
          </w:tcPr>
          <w:p w14:paraId="61CA8C18" w14:textId="77777777" w:rsidR="00000000" w:rsidRDefault="00EB4933">
            <w:pPr>
              <w:pStyle w:val="NormalWeb"/>
              <w:spacing w:before="0" w:beforeAutospacing="0" w:after="0" w:afterAutospacing="0"/>
              <w:rPr>
                <w:sz w:val="20"/>
                <w:szCs w:val="20"/>
              </w:rPr>
            </w:pPr>
            <w:r>
              <w:rPr>
                <w:sz w:val="20"/>
                <w:szCs w:val="20"/>
              </w:rPr>
              <w:t> </w:t>
            </w:r>
          </w:p>
        </w:tc>
      </w:tr>
      <w:tr w:rsidR="00000000" w14:paraId="7001371A" w14:textId="77777777">
        <w:trPr>
          <w:divId w:val="98525094"/>
          <w:trHeight w:val="225"/>
          <w:tblCellSpacing w:w="15" w:type="dxa"/>
        </w:trPr>
        <w:tc>
          <w:tcPr>
            <w:tcW w:w="0" w:type="auto"/>
            <w:shd w:val="clear" w:color="auto" w:fill="FFFFFF"/>
            <w:vAlign w:val="center"/>
            <w:hideMark/>
          </w:tcPr>
          <w:p w14:paraId="27124E1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4BCBD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D6A82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7FDC5D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9BDC0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554D0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79579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82134D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F4C37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FAADC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E8879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6A5F0A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0E7091" w14:textId="77777777" w:rsidR="00000000" w:rsidRDefault="00EB4933">
            <w:pPr>
              <w:pStyle w:val="NormalWeb"/>
              <w:spacing w:before="0" w:beforeAutospacing="0" w:after="0" w:afterAutospacing="0"/>
              <w:rPr>
                <w:sz w:val="20"/>
                <w:szCs w:val="20"/>
              </w:rPr>
            </w:pPr>
            <w:r>
              <w:rPr>
                <w:sz w:val="20"/>
                <w:szCs w:val="20"/>
              </w:rPr>
              <w:t> </w:t>
            </w:r>
          </w:p>
        </w:tc>
      </w:tr>
      <w:tr w:rsidR="00000000" w14:paraId="30AAEB78" w14:textId="77777777">
        <w:trPr>
          <w:divId w:val="98525094"/>
          <w:trHeight w:val="225"/>
          <w:tblCellSpacing w:w="15" w:type="dxa"/>
        </w:trPr>
        <w:tc>
          <w:tcPr>
            <w:tcW w:w="0" w:type="auto"/>
            <w:shd w:val="clear" w:color="auto" w:fill="CCEEFF"/>
            <w:hideMark/>
          </w:tcPr>
          <w:p w14:paraId="79ABC4C5" w14:textId="77777777" w:rsidR="00000000" w:rsidRDefault="00EB4933">
            <w:pPr>
              <w:pStyle w:val="NormalWeb"/>
              <w:spacing w:before="0" w:beforeAutospacing="0" w:after="0" w:afterAutospacing="0"/>
              <w:rPr>
                <w:sz w:val="20"/>
                <w:szCs w:val="20"/>
              </w:rPr>
            </w:pPr>
            <w:r>
              <w:rPr>
                <w:rStyle w:val="Strong"/>
                <w:sz w:val="20"/>
                <w:szCs w:val="20"/>
              </w:rPr>
              <w:t>Total equity and liabilities</w:t>
            </w:r>
          </w:p>
        </w:tc>
        <w:tc>
          <w:tcPr>
            <w:tcW w:w="50" w:type="pct"/>
            <w:shd w:val="clear" w:color="auto" w:fill="CCEEFF"/>
            <w:noWrap/>
            <w:vAlign w:val="center"/>
            <w:hideMark/>
          </w:tcPr>
          <w:p w14:paraId="4DA8C22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E2D7DD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12410D2D" w14:textId="77777777" w:rsidR="00000000" w:rsidRDefault="00EB4933">
            <w:pPr>
              <w:jc w:val="right"/>
              <w:rPr>
                <w:rFonts w:eastAsia="Times New Roman"/>
                <w:sz w:val="20"/>
                <w:szCs w:val="20"/>
              </w:rPr>
            </w:pPr>
            <w:r>
              <w:rPr>
                <w:rFonts w:eastAsia="Times New Roman"/>
                <w:sz w:val="20"/>
                <w:szCs w:val="20"/>
              </w:rPr>
              <w:t>869,129</w:t>
            </w:r>
          </w:p>
        </w:tc>
        <w:tc>
          <w:tcPr>
            <w:tcW w:w="50" w:type="pct"/>
            <w:shd w:val="clear" w:color="auto" w:fill="CCEEFF"/>
            <w:noWrap/>
            <w:tcMar>
              <w:top w:w="0" w:type="dxa"/>
              <w:left w:w="0" w:type="dxa"/>
              <w:bottom w:w="45" w:type="dxa"/>
              <w:right w:w="0" w:type="dxa"/>
            </w:tcMar>
            <w:vAlign w:val="center"/>
            <w:hideMark/>
          </w:tcPr>
          <w:p w14:paraId="64A3450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9CC50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740B94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791090B0" w14:textId="77777777" w:rsidR="00000000" w:rsidRDefault="00EB4933">
            <w:pPr>
              <w:jc w:val="right"/>
              <w:rPr>
                <w:rFonts w:eastAsia="Times New Roman"/>
                <w:sz w:val="20"/>
                <w:szCs w:val="20"/>
              </w:rPr>
            </w:pPr>
            <w:r>
              <w:rPr>
                <w:rFonts w:eastAsia="Times New Roman"/>
                <w:sz w:val="20"/>
                <w:szCs w:val="20"/>
              </w:rPr>
              <w:t>(645</w:t>
            </w:r>
          </w:p>
        </w:tc>
        <w:tc>
          <w:tcPr>
            <w:tcW w:w="50" w:type="pct"/>
            <w:shd w:val="clear" w:color="auto" w:fill="CCEEFF"/>
            <w:noWrap/>
            <w:tcMar>
              <w:top w:w="0" w:type="dxa"/>
              <w:left w:w="0" w:type="dxa"/>
              <w:bottom w:w="45" w:type="dxa"/>
              <w:right w:w="0" w:type="dxa"/>
            </w:tcMar>
            <w:vAlign w:val="bottom"/>
            <w:hideMark/>
          </w:tcPr>
          <w:p w14:paraId="0B8B9D1D"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61707A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C8E3CC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37BEA2B1" w14:textId="77777777" w:rsidR="00000000" w:rsidRDefault="00EB4933">
            <w:pPr>
              <w:jc w:val="right"/>
              <w:rPr>
                <w:rFonts w:eastAsia="Times New Roman"/>
                <w:sz w:val="20"/>
                <w:szCs w:val="20"/>
              </w:rPr>
            </w:pPr>
            <w:r>
              <w:rPr>
                <w:rFonts w:eastAsia="Times New Roman"/>
                <w:sz w:val="20"/>
                <w:szCs w:val="20"/>
              </w:rPr>
              <w:t>868,484</w:t>
            </w:r>
          </w:p>
        </w:tc>
        <w:tc>
          <w:tcPr>
            <w:tcW w:w="50" w:type="pct"/>
            <w:shd w:val="clear" w:color="auto" w:fill="CCEEFF"/>
            <w:noWrap/>
            <w:tcMar>
              <w:top w:w="0" w:type="dxa"/>
              <w:left w:w="0" w:type="dxa"/>
              <w:bottom w:w="45" w:type="dxa"/>
              <w:right w:w="0" w:type="dxa"/>
            </w:tcMar>
            <w:vAlign w:val="center"/>
            <w:hideMark/>
          </w:tcPr>
          <w:p w14:paraId="27743891" w14:textId="77777777" w:rsidR="00000000" w:rsidRDefault="00EB4933">
            <w:pPr>
              <w:pStyle w:val="NormalWeb"/>
              <w:spacing w:before="0" w:beforeAutospacing="0" w:after="0" w:afterAutospacing="0"/>
              <w:rPr>
                <w:sz w:val="20"/>
                <w:szCs w:val="20"/>
              </w:rPr>
            </w:pPr>
            <w:r>
              <w:rPr>
                <w:sz w:val="20"/>
                <w:szCs w:val="20"/>
              </w:rPr>
              <w:t> </w:t>
            </w:r>
          </w:p>
        </w:tc>
      </w:tr>
    </w:tbl>
    <w:p w14:paraId="28181770"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4EA9757" w14:textId="77777777">
        <w:trPr>
          <w:divId w:val="98525094"/>
          <w:trHeight w:val="225"/>
          <w:tblCellSpacing w:w="15" w:type="dxa"/>
        </w:trPr>
        <w:tc>
          <w:tcPr>
            <w:tcW w:w="0" w:type="auto"/>
            <w:vAlign w:val="center"/>
            <w:hideMark/>
          </w:tcPr>
          <w:p w14:paraId="3F47EA0C" w14:textId="77777777" w:rsidR="00000000" w:rsidRDefault="00EB4933">
            <w:pPr>
              <w:rPr>
                <w:sz w:val="20"/>
                <w:szCs w:val="20"/>
              </w:rPr>
            </w:pPr>
          </w:p>
        </w:tc>
      </w:tr>
      <w:tr w:rsidR="00000000" w14:paraId="416A3285" w14:textId="77777777">
        <w:trPr>
          <w:divId w:val="98525094"/>
          <w:trHeight w:val="225"/>
          <w:tblCellSpacing w:w="15" w:type="dxa"/>
        </w:trPr>
        <w:tc>
          <w:tcPr>
            <w:tcW w:w="0" w:type="auto"/>
            <w:tcBorders>
              <w:bottom w:val="single" w:sz="6" w:space="0" w:color="000000"/>
            </w:tcBorders>
            <w:vAlign w:val="center"/>
            <w:hideMark/>
          </w:tcPr>
          <w:p w14:paraId="76BCBB4B" w14:textId="77777777" w:rsidR="00000000" w:rsidRDefault="00EB4933">
            <w:pPr>
              <w:jc w:val="center"/>
              <w:rPr>
                <w:rFonts w:eastAsia="Times New Roman"/>
                <w:sz w:val="20"/>
                <w:szCs w:val="20"/>
              </w:rPr>
            </w:pPr>
            <w:r>
              <w:rPr>
                <w:rFonts w:eastAsia="Times New Roman"/>
                <w:sz w:val="20"/>
                <w:szCs w:val="20"/>
              </w:rPr>
              <w:t>A-3</w:t>
            </w:r>
          </w:p>
        </w:tc>
      </w:tr>
      <w:tr w:rsidR="00000000" w14:paraId="6216DB4F" w14:textId="77777777">
        <w:trPr>
          <w:divId w:val="98525094"/>
          <w:trHeight w:val="225"/>
          <w:tblCellSpacing w:w="15" w:type="dxa"/>
        </w:trPr>
        <w:tc>
          <w:tcPr>
            <w:tcW w:w="0" w:type="auto"/>
            <w:vAlign w:val="center"/>
            <w:hideMark/>
          </w:tcPr>
          <w:p w14:paraId="2220DEFA" w14:textId="77777777" w:rsidR="00000000" w:rsidRDefault="00EB4933">
            <w:pPr>
              <w:rPr>
                <w:rFonts w:eastAsia="Times New Roman"/>
                <w:sz w:val="20"/>
                <w:szCs w:val="20"/>
              </w:rPr>
            </w:pPr>
          </w:p>
        </w:tc>
      </w:tr>
      <w:tr w:rsidR="00000000" w14:paraId="68A90279" w14:textId="77777777">
        <w:trPr>
          <w:divId w:val="98525094"/>
          <w:trHeight w:val="225"/>
          <w:tblCellSpacing w:w="15" w:type="dxa"/>
        </w:trPr>
        <w:tc>
          <w:tcPr>
            <w:tcW w:w="0" w:type="auto"/>
            <w:vAlign w:val="center"/>
            <w:hideMark/>
          </w:tcPr>
          <w:p w14:paraId="21E85246" w14:textId="77777777" w:rsidR="00000000" w:rsidRDefault="00EB4933">
            <w:pPr>
              <w:rPr>
                <w:rFonts w:eastAsia="Times New Roman"/>
                <w:sz w:val="20"/>
                <w:szCs w:val="20"/>
              </w:rPr>
            </w:pPr>
          </w:p>
        </w:tc>
      </w:tr>
    </w:tbl>
    <w:p w14:paraId="36D0BAE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09E9BFE" w14:textId="77777777" w:rsidR="00000000" w:rsidRDefault="00EB4933">
      <w:pPr>
        <w:pStyle w:val="NormalWeb"/>
        <w:spacing w:before="0" w:beforeAutospacing="0" w:after="0" w:afterAutospacing="0"/>
        <w:jc w:val="right"/>
        <w:divId w:val="98525094"/>
        <w:rPr>
          <w:sz w:val="20"/>
          <w:szCs w:val="20"/>
        </w:rPr>
      </w:pPr>
      <w:r>
        <w:rPr>
          <w:sz w:val="20"/>
          <w:szCs w:val="20"/>
          <w:u w:val="single"/>
        </w:rPr>
        <w:t>Appendix 1</w:t>
      </w:r>
      <w:r>
        <w:rPr>
          <w:sz w:val="20"/>
          <w:szCs w:val="20"/>
        </w:rPr>
        <w:t xml:space="preserve"> (Cont’d)</w:t>
      </w:r>
    </w:p>
    <w:p w14:paraId="5FD3069C" w14:textId="77777777" w:rsidR="00000000" w:rsidRDefault="00EB4933">
      <w:pPr>
        <w:pStyle w:val="NormalWeb"/>
        <w:spacing w:before="0" w:beforeAutospacing="0" w:after="0" w:afterAutospacing="0"/>
        <w:jc w:val="center"/>
        <w:divId w:val="98525094"/>
        <w:rPr>
          <w:sz w:val="20"/>
          <w:szCs w:val="20"/>
        </w:rPr>
      </w:pPr>
      <w:r>
        <w:rPr>
          <w:sz w:val="20"/>
          <w:szCs w:val="20"/>
        </w:rPr>
        <w:t> </w:t>
      </w:r>
    </w:p>
    <w:p w14:paraId="3DB17660"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CONSOLIDATED STATEMENTS OF CASH FLOWS</w:t>
      </w:r>
    </w:p>
    <w:p w14:paraId="5C170ECD" w14:textId="77777777" w:rsidR="00000000" w:rsidRDefault="00EB4933">
      <w:pPr>
        <w:pStyle w:val="NormalWeb"/>
        <w:spacing w:before="0" w:beforeAutospacing="0" w:after="0" w:afterAutospacing="0"/>
        <w:jc w:val="center"/>
        <w:divId w:val="98525094"/>
        <w:rPr>
          <w:sz w:val="20"/>
          <w:szCs w:val="20"/>
        </w:rPr>
      </w:pPr>
      <w:r>
        <w:rPr>
          <w:rStyle w:val="Strong"/>
          <w:sz w:val="20"/>
          <w:szCs w:val="20"/>
        </w:rPr>
        <w:t>(Expressed in Thousands of Chinese Renminbi Yuan)</w:t>
      </w:r>
    </w:p>
    <w:p w14:paraId="7B9FA4B6"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752"/>
        <w:gridCol w:w="104"/>
        <w:gridCol w:w="117"/>
        <w:gridCol w:w="813"/>
        <w:gridCol w:w="98"/>
        <w:gridCol w:w="104"/>
        <w:gridCol w:w="136"/>
        <w:gridCol w:w="983"/>
        <w:gridCol w:w="104"/>
        <w:gridCol w:w="104"/>
        <w:gridCol w:w="104"/>
        <w:gridCol w:w="821"/>
        <w:gridCol w:w="120"/>
      </w:tblGrid>
      <w:tr w:rsidR="00000000" w14:paraId="69416ACF" w14:textId="77777777">
        <w:trPr>
          <w:divId w:val="98525094"/>
          <w:trHeight w:val="225"/>
          <w:tblCellSpacing w:w="15" w:type="dxa"/>
        </w:trPr>
        <w:tc>
          <w:tcPr>
            <w:tcW w:w="0" w:type="auto"/>
            <w:vAlign w:val="center"/>
            <w:hideMark/>
          </w:tcPr>
          <w:p w14:paraId="367EDCF1"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BEEE91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5770BB2C" w14:textId="77777777" w:rsidR="00000000" w:rsidRDefault="00EB4933">
            <w:pPr>
              <w:pStyle w:val="NormalWeb"/>
              <w:spacing w:before="0" w:beforeAutospacing="0" w:after="0" w:afterAutospacing="0"/>
              <w:jc w:val="center"/>
              <w:rPr>
                <w:sz w:val="20"/>
                <w:szCs w:val="20"/>
              </w:rPr>
            </w:pPr>
            <w:r>
              <w:rPr>
                <w:rStyle w:val="Strong"/>
                <w:sz w:val="20"/>
                <w:szCs w:val="20"/>
              </w:rPr>
              <w:t xml:space="preserve">As Previously </w:t>
            </w:r>
          </w:p>
          <w:p w14:paraId="1AC95A15" w14:textId="77777777" w:rsidR="00000000" w:rsidRDefault="00EB4933">
            <w:pPr>
              <w:pStyle w:val="NormalWeb"/>
              <w:spacing w:before="0" w:beforeAutospacing="0" w:after="0" w:afterAutospacing="0"/>
              <w:jc w:val="center"/>
              <w:rPr>
                <w:sz w:val="20"/>
                <w:szCs w:val="20"/>
              </w:rPr>
            </w:pPr>
            <w:r>
              <w:rPr>
                <w:rStyle w:val="Strong"/>
                <w:sz w:val="20"/>
                <w:szCs w:val="20"/>
              </w:rPr>
              <w:t>reported</w:t>
            </w:r>
          </w:p>
        </w:tc>
        <w:tc>
          <w:tcPr>
            <w:tcW w:w="0" w:type="auto"/>
            <w:noWrap/>
            <w:vAlign w:val="center"/>
            <w:hideMark/>
          </w:tcPr>
          <w:p w14:paraId="39919BF7"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2191F6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38D5C579" w14:textId="77777777" w:rsidR="00000000" w:rsidRDefault="00EB4933">
            <w:pPr>
              <w:rPr>
                <w:sz w:val="20"/>
                <w:szCs w:val="20"/>
              </w:rPr>
            </w:pPr>
          </w:p>
        </w:tc>
        <w:tc>
          <w:tcPr>
            <w:tcW w:w="0" w:type="auto"/>
            <w:noWrap/>
            <w:vAlign w:val="center"/>
            <w:hideMark/>
          </w:tcPr>
          <w:p w14:paraId="7C0588BF"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B5C06C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147C5EF4" w14:textId="77777777" w:rsidR="00000000" w:rsidRDefault="00EB4933">
            <w:pPr>
              <w:pStyle w:val="NormalWeb"/>
              <w:spacing w:before="0" w:beforeAutospacing="0" w:after="0" w:afterAutospacing="0"/>
              <w:jc w:val="center"/>
              <w:rPr>
                <w:sz w:val="20"/>
                <w:szCs w:val="20"/>
              </w:rPr>
            </w:pPr>
            <w:r>
              <w:rPr>
                <w:rStyle w:val="Strong"/>
                <w:sz w:val="20"/>
                <w:szCs w:val="20"/>
              </w:rPr>
              <w:t xml:space="preserve">As currently </w:t>
            </w:r>
          </w:p>
          <w:p w14:paraId="025370B7" w14:textId="77777777" w:rsidR="00000000" w:rsidRDefault="00EB4933">
            <w:pPr>
              <w:pStyle w:val="NormalWeb"/>
              <w:spacing w:before="0" w:beforeAutospacing="0" w:after="0" w:afterAutospacing="0"/>
              <w:jc w:val="center"/>
              <w:rPr>
                <w:sz w:val="20"/>
                <w:szCs w:val="20"/>
              </w:rPr>
            </w:pPr>
            <w:r>
              <w:rPr>
                <w:rStyle w:val="Strong"/>
                <w:sz w:val="20"/>
                <w:szCs w:val="20"/>
              </w:rPr>
              <w:t>reported</w:t>
            </w:r>
          </w:p>
        </w:tc>
        <w:tc>
          <w:tcPr>
            <w:tcW w:w="0" w:type="auto"/>
            <w:noWrap/>
            <w:vAlign w:val="center"/>
            <w:hideMark/>
          </w:tcPr>
          <w:p w14:paraId="5617C730" w14:textId="77777777" w:rsidR="00000000" w:rsidRDefault="00EB4933">
            <w:pPr>
              <w:pStyle w:val="NormalWeb"/>
              <w:spacing w:before="0" w:beforeAutospacing="0" w:after="0" w:afterAutospacing="0"/>
              <w:rPr>
                <w:sz w:val="20"/>
                <w:szCs w:val="20"/>
              </w:rPr>
            </w:pPr>
            <w:r>
              <w:rPr>
                <w:sz w:val="20"/>
                <w:szCs w:val="20"/>
              </w:rPr>
              <w:t> </w:t>
            </w:r>
          </w:p>
        </w:tc>
      </w:tr>
      <w:tr w:rsidR="00000000" w14:paraId="780549BD" w14:textId="77777777">
        <w:trPr>
          <w:divId w:val="98525094"/>
          <w:trHeight w:val="225"/>
          <w:tblCellSpacing w:w="15" w:type="dxa"/>
        </w:trPr>
        <w:tc>
          <w:tcPr>
            <w:tcW w:w="0" w:type="auto"/>
            <w:vAlign w:val="center"/>
            <w:hideMark/>
          </w:tcPr>
          <w:p w14:paraId="0DAB6709"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039C83F6"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267F36FB" w14:textId="77777777" w:rsidR="00000000" w:rsidRDefault="00EB4933">
            <w:pPr>
              <w:pStyle w:val="NormalWeb"/>
              <w:spacing w:before="0" w:beforeAutospacing="0" w:after="0" w:afterAutospacing="0"/>
              <w:jc w:val="center"/>
              <w:rPr>
                <w:sz w:val="20"/>
                <w:szCs w:val="20"/>
              </w:rPr>
            </w:pPr>
            <w:r>
              <w:rPr>
                <w:rStyle w:val="Strong"/>
                <w:sz w:val="20"/>
                <w:szCs w:val="20"/>
              </w:rPr>
              <w:t>2017</w:t>
            </w:r>
          </w:p>
        </w:tc>
        <w:tc>
          <w:tcPr>
            <w:tcW w:w="0" w:type="auto"/>
            <w:noWrap/>
            <w:vAlign w:val="center"/>
            <w:hideMark/>
          </w:tcPr>
          <w:p w14:paraId="796D0103"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65CCDB61"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7F090BD9" w14:textId="77777777" w:rsidR="00000000" w:rsidRDefault="00EB4933">
            <w:pPr>
              <w:pStyle w:val="NormalWeb"/>
              <w:spacing w:before="0" w:beforeAutospacing="0" w:after="0" w:afterAutospacing="0"/>
              <w:jc w:val="center"/>
              <w:rPr>
                <w:sz w:val="20"/>
                <w:szCs w:val="20"/>
              </w:rPr>
            </w:pPr>
            <w:r>
              <w:rPr>
                <w:rStyle w:val="Strong"/>
                <w:sz w:val="20"/>
                <w:szCs w:val="20"/>
              </w:rPr>
              <w:t>Adjustments</w:t>
            </w:r>
          </w:p>
        </w:tc>
        <w:tc>
          <w:tcPr>
            <w:tcW w:w="0" w:type="auto"/>
            <w:noWrap/>
            <w:vAlign w:val="center"/>
            <w:hideMark/>
          </w:tcPr>
          <w:p w14:paraId="19188E74"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5E1DAD1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000000"/>
            </w:tcBorders>
            <w:vAlign w:val="bottom"/>
            <w:hideMark/>
          </w:tcPr>
          <w:p w14:paraId="33871B7C" w14:textId="77777777" w:rsidR="00000000" w:rsidRDefault="00EB4933">
            <w:pPr>
              <w:pStyle w:val="NormalWeb"/>
              <w:spacing w:before="0" w:beforeAutospacing="0" w:after="0" w:afterAutospacing="0"/>
              <w:jc w:val="center"/>
              <w:rPr>
                <w:sz w:val="20"/>
                <w:szCs w:val="20"/>
              </w:rPr>
            </w:pPr>
            <w:r>
              <w:rPr>
                <w:rStyle w:val="Strong"/>
                <w:sz w:val="20"/>
                <w:szCs w:val="20"/>
              </w:rPr>
              <w:t>2017</w:t>
            </w:r>
          </w:p>
        </w:tc>
        <w:tc>
          <w:tcPr>
            <w:tcW w:w="0" w:type="auto"/>
            <w:noWrap/>
            <w:vAlign w:val="center"/>
            <w:hideMark/>
          </w:tcPr>
          <w:p w14:paraId="613637BD" w14:textId="77777777" w:rsidR="00000000" w:rsidRDefault="00EB4933">
            <w:pPr>
              <w:pStyle w:val="NormalWeb"/>
              <w:spacing w:before="0" w:beforeAutospacing="0" w:after="0" w:afterAutospacing="0"/>
              <w:rPr>
                <w:sz w:val="20"/>
                <w:szCs w:val="20"/>
              </w:rPr>
            </w:pPr>
            <w:r>
              <w:rPr>
                <w:sz w:val="20"/>
                <w:szCs w:val="20"/>
              </w:rPr>
              <w:t> </w:t>
            </w:r>
          </w:p>
        </w:tc>
      </w:tr>
      <w:tr w:rsidR="00000000" w14:paraId="6271251D" w14:textId="77777777">
        <w:trPr>
          <w:divId w:val="98525094"/>
          <w:trHeight w:val="225"/>
          <w:tblCellSpacing w:w="15" w:type="dxa"/>
        </w:trPr>
        <w:tc>
          <w:tcPr>
            <w:tcW w:w="0" w:type="auto"/>
            <w:vAlign w:val="center"/>
            <w:hideMark/>
          </w:tcPr>
          <w:p w14:paraId="7DEAD011"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43D187C"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26E10DB6"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22D7CF98"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C43B0D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5BE411E7"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78FB70A"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F6DD898"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741B1083"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D5574DD" w14:textId="77777777" w:rsidR="00000000" w:rsidRDefault="00EB4933">
            <w:pPr>
              <w:pStyle w:val="NormalWeb"/>
              <w:spacing w:before="0" w:beforeAutospacing="0" w:after="0" w:afterAutospacing="0"/>
              <w:rPr>
                <w:sz w:val="20"/>
                <w:szCs w:val="20"/>
              </w:rPr>
            </w:pPr>
            <w:r>
              <w:rPr>
                <w:sz w:val="20"/>
                <w:szCs w:val="20"/>
              </w:rPr>
              <w:t> </w:t>
            </w:r>
          </w:p>
        </w:tc>
      </w:tr>
      <w:tr w:rsidR="00000000" w14:paraId="6344620C" w14:textId="77777777">
        <w:trPr>
          <w:divId w:val="98525094"/>
          <w:trHeight w:val="225"/>
          <w:tblCellSpacing w:w="15" w:type="dxa"/>
        </w:trPr>
        <w:tc>
          <w:tcPr>
            <w:tcW w:w="0" w:type="auto"/>
            <w:hideMark/>
          </w:tcPr>
          <w:p w14:paraId="29A9B9C8" w14:textId="77777777" w:rsidR="00000000" w:rsidRDefault="00EB4933">
            <w:pPr>
              <w:pStyle w:val="NormalWeb"/>
              <w:spacing w:before="0" w:beforeAutospacing="0" w:after="0" w:afterAutospacing="0"/>
              <w:rPr>
                <w:sz w:val="20"/>
                <w:szCs w:val="20"/>
              </w:rPr>
            </w:pPr>
            <w:r>
              <w:rPr>
                <w:rStyle w:val="Strong"/>
                <w:sz w:val="20"/>
                <w:szCs w:val="20"/>
              </w:rPr>
              <w:t>Cash flow from operating activities</w:t>
            </w:r>
          </w:p>
        </w:tc>
        <w:tc>
          <w:tcPr>
            <w:tcW w:w="50" w:type="pct"/>
            <w:noWrap/>
            <w:vAlign w:val="center"/>
            <w:hideMark/>
          </w:tcPr>
          <w:p w14:paraId="6F48E4E0"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5A81608E"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062191B"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E69DB67"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7E12D9E7"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43E6ACE"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9942C4A"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2473E95A"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0DCBECB4" w14:textId="77777777" w:rsidR="00000000" w:rsidRDefault="00EB4933">
            <w:pPr>
              <w:pStyle w:val="NormalWeb"/>
              <w:spacing w:before="0" w:beforeAutospacing="0" w:after="0" w:afterAutospacing="0"/>
              <w:rPr>
                <w:sz w:val="20"/>
                <w:szCs w:val="20"/>
              </w:rPr>
            </w:pPr>
            <w:r>
              <w:rPr>
                <w:sz w:val="20"/>
                <w:szCs w:val="20"/>
              </w:rPr>
              <w:t> </w:t>
            </w:r>
          </w:p>
        </w:tc>
      </w:tr>
      <w:tr w:rsidR="00000000" w14:paraId="6E828483" w14:textId="77777777">
        <w:trPr>
          <w:divId w:val="98525094"/>
          <w:trHeight w:val="225"/>
          <w:tblCellSpacing w:w="15" w:type="dxa"/>
        </w:trPr>
        <w:tc>
          <w:tcPr>
            <w:tcW w:w="0" w:type="auto"/>
            <w:shd w:val="clear" w:color="auto" w:fill="CCEEFF"/>
            <w:hideMark/>
          </w:tcPr>
          <w:p w14:paraId="51724A17" w14:textId="77777777" w:rsidR="00000000" w:rsidRDefault="00EB4933">
            <w:pPr>
              <w:pStyle w:val="NormalWeb"/>
              <w:spacing w:before="0" w:beforeAutospacing="0" w:after="0" w:afterAutospacing="0"/>
              <w:rPr>
                <w:sz w:val="20"/>
                <w:szCs w:val="20"/>
              </w:rPr>
            </w:pPr>
            <w:r>
              <w:rPr>
                <w:sz w:val="20"/>
                <w:szCs w:val="20"/>
              </w:rPr>
              <w:t>Profit before income taxes (notes 1 and 2)</w:t>
            </w:r>
          </w:p>
        </w:tc>
        <w:tc>
          <w:tcPr>
            <w:tcW w:w="50" w:type="pct"/>
            <w:shd w:val="clear" w:color="auto" w:fill="CCEEFF"/>
            <w:noWrap/>
            <w:vAlign w:val="center"/>
            <w:hideMark/>
          </w:tcPr>
          <w:p w14:paraId="2891252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4A357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0F2AF5D" w14:textId="77777777" w:rsidR="00000000" w:rsidRDefault="00EB4933">
            <w:pPr>
              <w:jc w:val="right"/>
              <w:rPr>
                <w:rFonts w:eastAsia="Times New Roman"/>
                <w:sz w:val="20"/>
                <w:szCs w:val="20"/>
              </w:rPr>
            </w:pPr>
            <w:r>
              <w:rPr>
                <w:rFonts w:eastAsia="Times New Roman"/>
                <w:sz w:val="20"/>
                <w:szCs w:val="20"/>
              </w:rPr>
              <w:t>48,202</w:t>
            </w:r>
          </w:p>
        </w:tc>
        <w:tc>
          <w:tcPr>
            <w:tcW w:w="50" w:type="pct"/>
            <w:shd w:val="clear" w:color="auto" w:fill="CCEEFF"/>
            <w:noWrap/>
            <w:vAlign w:val="center"/>
            <w:hideMark/>
          </w:tcPr>
          <w:p w14:paraId="693E4A0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AB57D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56D19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2B45870" w14:textId="77777777" w:rsidR="00000000" w:rsidRDefault="00EB4933">
            <w:pPr>
              <w:jc w:val="right"/>
              <w:rPr>
                <w:rFonts w:eastAsia="Times New Roman"/>
                <w:sz w:val="20"/>
                <w:szCs w:val="20"/>
              </w:rPr>
            </w:pPr>
            <w:r>
              <w:rPr>
                <w:rFonts w:eastAsia="Times New Roman"/>
                <w:sz w:val="20"/>
                <w:szCs w:val="20"/>
              </w:rPr>
              <w:t>(3,826</w:t>
            </w:r>
          </w:p>
        </w:tc>
        <w:tc>
          <w:tcPr>
            <w:tcW w:w="50" w:type="pct"/>
            <w:shd w:val="clear" w:color="auto" w:fill="CCEEFF"/>
            <w:noWrap/>
            <w:vAlign w:val="bottom"/>
            <w:hideMark/>
          </w:tcPr>
          <w:p w14:paraId="1BB1A9D0"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9CC645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31ED9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373A199" w14:textId="77777777" w:rsidR="00000000" w:rsidRDefault="00EB4933">
            <w:pPr>
              <w:jc w:val="right"/>
              <w:rPr>
                <w:rFonts w:eastAsia="Times New Roman"/>
                <w:sz w:val="20"/>
                <w:szCs w:val="20"/>
              </w:rPr>
            </w:pPr>
            <w:r>
              <w:rPr>
                <w:rFonts w:eastAsia="Times New Roman"/>
                <w:sz w:val="20"/>
                <w:szCs w:val="20"/>
              </w:rPr>
              <w:t>44,376</w:t>
            </w:r>
          </w:p>
        </w:tc>
        <w:tc>
          <w:tcPr>
            <w:tcW w:w="50" w:type="pct"/>
            <w:shd w:val="clear" w:color="auto" w:fill="CCEEFF"/>
            <w:noWrap/>
            <w:vAlign w:val="center"/>
            <w:hideMark/>
          </w:tcPr>
          <w:p w14:paraId="360B6731" w14:textId="77777777" w:rsidR="00000000" w:rsidRDefault="00EB4933">
            <w:pPr>
              <w:pStyle w:val="NormalWeb"/>
              <w:spacing w:before="0" w:beforeAutospacing="0" w:after="0" w:afterAutospacing="0"/>
              <w:rPr>
                <w:sz w:val="20"/>
                <w:szCs w:val="20"/>
              </w:rPr>
            </w:pPr>
            <w:r>
              <w:rPr>
                <w:sz w:val="20"/>
                <w:szCs w:val="20"/>
              </w:rPr>
              <w:t> </w:t>
            </w:r>
          </w:p>
        </w:tc>
      </w:tr>
      <w:tr w:rsidR="00000000" w14:paraId="0E56146E" w14:textId="77777777">
        <w:trPr>
          <w:divId w:val="98525094"/>
          <w:trHeight w:val="225"/>
          <w:tblCellSpacing w:w="15" w:type="dxa"/>
        </w:trPr>
        <w:tc>
          <w:tcPr>
            <w:tcW w:w="0" w:type="auto"/>
            <w:shd w:val="clear" w:color="auto" w:fill="FFFFFF"/>
            <w:hideMark/>
          </w:tcPr>
          <w:p w14:paraId="20227AE5" w14:textId="77777777" w:rsidR="00000000" w:rsidRDefault="00EB4933">
            <w:pPr>
              <w:pStyle w:val="NormalWeb"/>
              <w:spacing w:before="0" w:beforeAutospacing="0" w:after="0" w:afterAutospacing="0"/>
              <w:rPr>
                <w:sz w:val="20"/>
                <w:szCs w:val="20"/>
              </w:rPr>
            </w:pPr>
            <w:r>
              <w:rPr>
                <w:rStyle w:val="Strong"/>
                <w:sz w:val="20"/>
                <w:szCs w:val="20"/>
              </w:rPr>
              <w:t>Adjustments for:</w:t>
            </w:r>
          </w:p>
        </w:tc>
        <w:tc>
          <w:tcPr>
            <w:tcW w:w="50" w:type="pct"/>
            <w:shd w:val="clear" w:color="auto" w:fill="FFFFFF"/>
            <w:noWrap/>
            <w:vAlign w:val="center"/>
            <w:hideMark/>
          </w:tcPr>
          <w:p w14:paraId="65D16CD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49898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62D47C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2740F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F3E28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46219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E849CA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7AFFA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AF422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889AE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AAB11C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D6610D" w14:textId="77777777" w:rsidR="00000000" w:rsidRDefault="00EB4933">
            <w:pPr>
              <w:pStyle w:val="NormalWeb"/>
              <w:spacing w:before="0" w:beforeAutospacing="0" w:after="0" w:afterAutospacing="0"/>
              <w:rPr>
                <w:sz w:val="20"/>
                <w:szCs w:val="20"/>
              </w:rPr>
            </w:pPr>
            <w:r>
              <w:rPr>
                <w:sz w:val="20"/>
                <w:szCs w:val="20"/>
              </w:rPr>
              <w:t> </w:t>
            </w:r>
          </w:p>
        </w:tc>
      </w:tr>
      <w:tr w:rsidR="00000000" w14:paraId="1EF85D19" w14:textId="77777777">
        <w:trPr>
          <w:divId w:val="98525094"/>
          <w:trHeight w:val="225"/>
          <w:tblCellSpacing w:w="15" w:type="dxa"/>
        </w:trPr>
        <w:tc>
          <w:tcPr>
            <w:tcW w:w="0" w:type="auto"/>
            <w:shd w:val="clear" w:color="auto" w:fill="CCEEFF"/>
            <w:hideMark/>
          </w:tcPr>
          <w:p w14:paraId="175A783C" w14:textId="77777777" w:rsidR="00000000" w:rsidRDefault="00EB4933">
            <w:pPr>
              <w:pStyle w:val="NormalWeb"/>
              <w:spacing w:before="0" w:beforeAutospacing="0" w:after="0" w:afterAutospacing="0"/>
              <w:rPr>
                <w:sz w:val="20"/>
                <w:szCs w:val="20"/>
              </w:rPr>
            </w:pPr>
            <w:r>
              <w:rPr>
                <w:sz w:val="20"/>
                <w:szCs w:val="20"/>
              </w:rPr>
              <w:t>Depreciation of property and equipment</w:t>
            </w:r>
          </w:p>
        </w:tc>
        <w:tc>
          <w:tcPr>
            <w:tcW w:w="50" w:type="pct"/>
            <w:shd w:val="clear" w:color="auto" w:fill="CCEEFF"/>
            <w:noWrap/>
            <w:vAlign w:val="center"/>
            <w:hideMark/>
          </w:tcPr>
          <w:p w14:paraId="04C3591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3D58D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D8509C4" w14:textId="77777777" w:rsidR="00000000" w:rsidRDefault="00EB4933">
            <w:pPr>
              <w:jc w:val="right"/>
              <w:rPr>
                <w:rFonts w:eastAsia="Times New Roman"/>
                <w:sz w:val="20"/>
                <w:szCs w:val="20"/>
              </w:rPr>
            </w:pPr>
            <w:r>
              <w:rPr>
                <w:rFonts w:eastAsia="Times New Roman"/>
                <w:sz w:val="20"/>
                <w:szCs w:val="20"/>
              </w:rPr>
              <w:t>441</w:t>
            </w:r>
          </w:p>
        </w:tc>
        <w:tc>
          <w:tcPr>
            <w:tcW w:w="50" w:type="pct"/>
            <w:shd w:val="clear" w:color="auto" w:fill="CCEEFF"/>
            <w:noWrap/>
            <w:vAlign w:val="center"/>
            <w:hideMark/>
          </w:tcPr>
          <w:p w14:paraId="63D474C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8FCDB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D3581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9E670AD"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87D50E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9650C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A6342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A2C26D9" w14:textId="77777777" w:rsidR="00000000" w:rsidRDefault="00EB4933">
            <w:pPr>
              <w:jc w:val="right"/>
              <w:rPr>
                <w:rFonts w:eastAsia="Times New Roman"/>
                <w:sz w:val="20"/>
                <w:szCs w:val="20"/>
              </w:rPr>
            </w:pPr>
            <w:r>
              <w:rPr>
                <w:rFonts w:eastAsia="Times New Roman"/>
                <w:sz w:val="20"/>
                <w:szCs w:val="20"/>
              </w:rPr>
              <w:t>441</w:t>
            </w:r>
          </w:p>
        </w:tc>
        <w:tc>
          <w:tcPr>
            <w:tcW w:w="50" w:type="pct"/>
            <w:shd w:val="clear" w:color="auto" w:fill="CCEEFF"/>
            <w:noWrap/>
            <w:vAlign w:val="center"/>
            <w:hideMark/>
          </w:tcPr>
          <w:p w14:paraId="5ADB0269" w14:textId="77777777" w:rsidR="00000000" w:rsidRDefault="00EB4933">
            <w:pPr>
              <w:pStyle w:val="NormalWeb"/>
              <w:spacing w:before="0" w:beforeAutospacing="0" w:after="0" w:afterAutospacing="0"/>
              <w:rPr>
                <w:sz w:val="20"/>
                <w:szCs w:val="20"/>
              </w:rPr>
            </w:pPr>
            <w:r>
              <w:rPr>
                <w:sz w:val="20"/>
                <w:szCs w:val="20"/>
              </w:rPr>
              <w:t> </w:t>
            </w:r>
          </w:p>
        </w:tc>
      </w:tr>
      <w:tr w:rsidR="00000000" w14:paraId="2B1D02F6" w14:textId="77777777">
        <w:trPr>
          <w:divId w:val="98525094"/>
          <w:trHeight w:val="225"/>
          <w:tblCellSpacing w:w="15" w:type="dxa"/>
        </w:trPr>
        <w:tc>
          <w:tcPr>
            <w:tcW w:w="0" w:type="auto"/>
            <w:shd w:val="clear" w:color="auto" w:fill="FFFFFF"/>
            <w:hideMark/>
          </w:tcPr>
          <w:p w14:paraId="39185196" w14:textId="77777777" w:rsidR="00000000" w:rsidRDefault="00EB4933">
            <w:pPr>
              <w:pStyle w:val="NormalWeb"/>
              <w:spacing w:before="0" w:beforeAutospacing="0" w:after="0" w:afterAutospacing="0"/>
              <w:rPr>
                <w:sz w:val="20"/>
                <w:szCs w:val="20"/>
              </w:rPr>
            </w:pPr>
            <w:r>
              <w:rPr>
                <w:sz w:val="20"/>
                <w:szCs w:val="20"/>
              </w:rPr>
              <w:t xml:space="preserve">Credit impairment losses </w:t>
            </w:r>
          </w:p>
        </w:tc>
        <w:tc>
          <w:tcPr>
            <w:tcW w:w="50" w:type="pct"/>
            <w:shd w:val="clear" w:color="auto" w:fill="FFFFFF"/>
            <w:noWrap/>
            <w:vAlign w:val="center"/>
            <w:hideMark/>
          </w:tcPr>
          <w:p w14:paraId="74FEC899"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D627F0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6AF3914" w14:textId="77777777" w:rsidR="00000000" w:rsidRDefault="00EB4933">
            <w:pPr>
              <w:jc w:val="right"/>
              <w:rPr>
                <w:rFonts w:eastAsia="Times New Roman"/>
                <w:sz w:val="20"/>
                <w:szCs w:val="20"/>
              </w:rPr>
            </w:pPr>
            <w:r>
              <w:rPr>
                <w:rFonts w:eastAsia="Times New Roman"/>
                <w:sz w:val="20"/>
                <w:szCs w:val="20"/>
              </w:rPr>
              <w:t>6,402</w:t>
            </w:r>
          </w:p>
        </w:tc>
        <w:tc>
          <w:tcPr>
            <w:tcW w:w="50" w:type="pct"/>
            <w:shd w:val="clear" w:color="auto" w:fill="FFFFFF"/>
            <w:noWrap/>
            <w:tcMar>
              <w:top w:w="0" w:type="dxa"/>
              <w:left w:w="0" w:type="dxa"/>
              <w:bottom w:w="15" w:type="dxa"/>
              <w:right w:w="0" w:type="dxa"/>
            </w:tcMar>
            <w:vAlign w:val="center"/>
            <w:hideMark/>
          </w:tcPr>
          <w:p w14:paraId="3B2DADE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743CB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04A509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E0259FD" w14:textId="77777777" w:rsidR="00000000" w:rsidRDefault="00EB4933">
            <w:pPr>
              <w:jc w:val="right"/>
              <w:rPr>
                <w:rFonts w:eastAsia="Times New Roman"/>
                <w:sz w:val="20"/>
                <w:szCs w:val="20"/>
              </w:rPr>
            </w:pPr>
            <w:r>
              <w:rPr>
                <w:rFonts w:eastAsia="Times New Roman"/>
                <w:sz w:val="20"/>
                <w:szCs w:val="20"/>
              </w:rPr>
              <w:t>(2,822</w:t>
            </w:r>
          </w:p>
        </w:tc>
        <w:tc>
          <w:tcPr>
            <w:tcW w:w="50" w:type="pct"/>
            <w:shd w:val="clear" w:color="auto" w:fill="FFFFFF"/>
            <w:noWrap/>
            <w:tcMar>
              <w:top w:w="0" w:type="dxa"/>
              <w:left w:w="0" w:type="dxa"/>
              <w:bottom w:w="15" w:type="dxa"/>
              <w:right w:w="0" w:type="dxa"/>
            </w:tcMar>
            <w:vAlign w:val="bottom"/>
            <w:hideMark/>
          </w:tcPr>
          <w:p w14:paraId="1B433466"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C3DFFB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1875D4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1125251" w14:textId="77777777" w:rsidR="00000000" w:rsidRDefault="00EB4933">
            <w:pPr>
              <w:jc w:val="right"/>
              <w:rPr>
                <w:rFonts w:eastAsia="Times New Roman"/>
                <w:sz w:val="20"/>
                <w:szCs w:val="20"/>
              </w:rPr>
            </w:pPr>
            <w:r>
              <w:rPr>
                <w:rFonts w:eastAsia="Times New Roman"/>
                <w:sz w:val="20"/>
                <w:szCs w:val="20"/>
              </w:rPr>
              <w:t>3,580</w:t>
            </w:r>
          </w:p>
        </w:tc>
        <w:tc>
          <w:tcPr>
            <w:tcW w:w="50" w:type="pct"/>
            <w:shd w:val="clear" w:color="auto" w:fill="FFFFFF"/>
            <w:noWrap/>
            <w:tcMar>
              <w:top w:w="0" w:type="dxa"/>
              <w:left w:w="0" w:type="dxa"/>
              <w:bottom w:w="15" w:type="dxa"/>
              <w:right w:w="0" w:type="dxa"/>
            </w:tcMar>
            <w:vAlign w:val="center"/>
            <w:hideMark/>
          </w:tcPr>
          <w:p w14:paraId="66ECF26C" w14:textId="77777777" w:rsidR="00000000" w:rsidRDefault="00EB4933">
            <w:pPr>
              <w:pStyle w:val="NormalWeb"/>
              <w:spacing w:before="0" w:beforeAutospacing="0" w:after="0" w:afterAutospacing="0"/>
              <w:rPr>
                <w:sz w:val="20"/>
                <w:szCs w:val="20"/>
              </w:rPr>
            </w:pPr>
            <w:r>
              <w:rPr>
                <w:sz w:val="20"/>
                <w:szCs w:val="20"/>
              </w:rPr>
              <w:t> </w:t>
            </w:r>
          </w:p>
        </w:tc>
      </w:tr>
      <w:tr w:rsidR="00000000" w14:paraId="2BDCD3B6" w14:textId="77777777">
        <w:trPr>
          <w:divId w:val="98525094"/>
          <w:trHeight w:val="225"/>
          <w:tblCellSpacing w:w="15" w:type="dxa"/>
        </w:trPr>
        <w:tc>
          <w:tcPr>
            <w:tcW w:w="0" w:type="auto"/>
            <w:shd w:val="clear" w:color="auto" w:fill="CCEEFF"/>
            <w:hideMark/>
          </w:tcPr>
          <w:p w14:paraId="13075629" w14:textId="77777777" w:rsidR="00000000" w:rsidRDefault="00EB4933">
            <w:pPr>
              <w:pStyle w:val="NormalWeb"/>
              <w:spacing w:before="0" w:beforeAutospacing="0" w:after="0" w:afterAutospacing="0"/>
              <w:rPr>
                <w:sz w:val="20"/>
                <w:szCs w:val="20"/>
              </w:rPr>
            </w:pPr>
            <w:r>
              <w:rPr>
                <w:rStyle w:val="Strong"/>
                <w:sz w:val="20"/>
                <w:szCs w:val="20"/>
              </w:rPr>
              <w:t>Operating profit before changes in working capital</w:t>
            </w:r>
          </w:p>
        </w:tc>
        <w:tc>
          <w:tcPr>
            <w:tcW w:w="50" w:type="pct"/>
            <w:shd w:val="clear" w:color="auto" w:fill="CCEEFF"/>
            <w:noWrap/>
            <w:vAlign w:val="center"/>
            <w:hideMark/>
          </w:tcPr>
          <w:p w14:paraId="1B811E9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803DF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9D5C070" w14:textId="77777777" w:rsidR="00000000" w:rsidRDefault="00EB4933">
            <w:pPr>
              <w:jc w:val="right"/>
              <w:rPr>
                <w:rFonts w:eastAsia="Times New Roman"/>
                <w:sz w:val="20"/>
                <w:szCs w:val="20"/>
              </w:rPr>
            </w:pPr>
            <w:r>
              <w:rPr>
                <w:rFonts w:eastAsia="Times New Roman"/>
                <w:sz w:val="20"/>
                <w:szCs w:val="20"/>
              </w:rPr>
              <w:t>55,045</w:t>
            </w:r>
          </w:p>
        </w:tc>
        <w:tc>
          <w:tcPr>
            <w:tcW w:w="50" w:type="pct"/>
            <w:shd w:val="clear" w:color="auto" w:fill="CCEEFF"/>
            <w:noWrap/>
            <w:vAlign w:val="center"/>
            <w:hideMark/>
          </w:tcPr>
          <w:p w14:paraId="084459C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3455D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CE2EA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3E0F883" w14:textId="77777777" w:rsidR="00000000" w:rsidRDefault="00EB4933">
            <w:pPr>
              <w:jc w:val="right"/>
              <w:rPr>
                <w:rFonts w:eastAsia="Times New Roman"/>
                <w:sz w:val="20"/>
                <w:szCs w:val="20"/>
              </w:rPr>
            </w:pPr>
            <w:r>
              <w:rPr>
                <w:rFonts w:eastAsia="Times New Roman"/>
                <w:sz w:val="20"/>
                <w:szCs w:val="20"/>
              </w:rPr>
              <w:t>(6,648</w:t>
            </w:r>
          </w:p>
        </w:tc>
        <w:tc>
          <w:tcPr>
            <w:tcW w:w="50" w:type="pct"/>
            <w:shd w:val="clear" w:color="auto" w:fill="CCEEFF"/>
            <w:noWrap/>
            <w:vAlign w:val="bottom"/>
            <w:hideMark/>
          </w:tcPr>
          <w:p w14:paraId="18AAA1BE"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50BBC1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3B451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2D6B743" w14:textId="77777777" w:rsidR="00000000" w:rsidRDefault="00EB4933">
            <w:pPr>
              <w:jc w:val="right"/>
              <w:rPr>
                <w:rFonts w:eastAsia="Times New Roman"/>
                <w:sz w:val="20"/>
                <w:szCs w:val="20"/>
              </w:rPr>
            </w:pPr>
            <w:r>
              <w:rPr>
                <w:rFonts w:eastAsia="Times New Roman"/>
                <w:sz w:val="20"/>
                <w:szCs w:val="20"/>
              </w:rPr>
              <w:t>48,397</w:t>
            </w:r>
          </w:p>
        </w:tc>
        <w:tc>
          <w:tcPr>
            <w:tcW w:w="50" w:type="pct"/>
            <w:shd w:val="clear" w:color="auto" w:fill="CCEEFF"/>
            <w:noWrap/>
            <w:vAlign w:val="center"/>
            <w:hideMark/>
          </w:tcPr>
          <w:p w14:paraId="52413D63" w14:textId="77777777" w:rsidR="00000000" w:rsidRDefault="00EB4933">
            <w:pPr>
              <w:pStyle w:val="NormalWeb"/>
              <w:spacing w:before="0" w:beforeAutospacing="0" w:after="0" w:afterAutospacing="0"/>
              <w:rPr>
                <w:sz w:val="20"/>
                <w:szCs w:val="20"/>
              </w:rPr>
            </w:pPr>
            <w:r>
              <w:rPr>
                <w:sz w:val="20"/>
                <w:szCs w:val="20"/>
              </w:rPr>
              <w:t> </w:t>
            </w:r>
          </w:p>
        </w:tc>
      </w:tr>
      <w:tr w:rsidR="00000000" w14:paraId="5D3A06C2" w14:textId="77777777">
        <w:trPr>
          <w:divId w:val="98525094"/>
          <w:trHeight w:val="225"/>
          <w:tblCellSpacing w:w="15" w:type="dxa"/>
        </w:trPr>
        <w:tc>
          <w:tcPr>
            <w:tcW w:w="0" w:type="auto"/>
            <w:shd w:val="clear" w:color="auto" w:fill="FFFFFF"/>
            <w:hideMark/>
          </w:tcPr>
          <w:p w14:paraId="51B2B14D" w14:textId="77777777" w:rsidR="00000000" w:rsidRDefault="00EB4933">
            <w:pPr>
              <w:pStyle w:val="NormalWeb"/>
              <w:spacing w:before="0" w:beforeAutospacing="0" w:after="0" w:afterAutospacing="0"/>
              <w:rPr>
                <w:sz w:val="20"/>
                <w:szCs w:val="20"/>
              </w:rPr>
            </w:pPr>
            <w:r>
              <w:rPr>
                <w:sz w:val="20"/>
                <w:szCs w:val="20"/>
              </w:rPr>
              <w:t>Interest receivables</w:t>
            </w:r>
          </w:p>
        </w:tc>
        <w:tc>
          <w:tcPr>
            <w:tcW w:w="50" w:type="pct"/>
            <w:shd w:val="clear" w:color="auto" w:fill="FFFFFF"/>
            <w:noWrap/>
            <w:vAlign w:val="center"/>
            <w:hideMark/>
          </w:tcPr>
          <w:p w14:paraId="4F48BC0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6319D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8E2FBC9" w14:textId="77777777" w:rsidR="00000000" w:rsidRDefault="00EB4933">
            <w:pPr>
              <w:jc w:val="right"/>
              <w:rPr>
                <w:rFonts w:eastAsia="Times New Roman"/>
                <w:sz w:val="20"/>
                <w:szCs w:val="20"/>
              </w:rPr>
            </w:pPr>
            <w:r>
              <w:rPr>
                <w:rFonts w:eastAsia="Times New Roman"/>
                <w:sz w:val="20"/>
                <w:szCs w:val="20"/>
              </w:rPr>
              <w:t>(22,309</w:t>
            </w:r>
          </w:p>
        </w:tc>
        <w:tc>
          <w:tcPr>
            <w:tcW w:w="50" w:type="pct"/>
            <w:shd w:val="clear" w:color="auto" w:fill="FFFFFF"/>
            <w:noWrap/>
            <w:vAlign w:val="bottom"/>
            <w:hideMark/>
          </w:tcPr>
          <w:p w14:paraId="16E22E15"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E0E89D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CB998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3CDE3BA" w14:textId="77777777" w:rsidR="00000000" w:rsidRDefault="00EB4933">
            <w:pPr>
              <w:jc w:val="right"/>
              <w:rPr>
                <w:rFonts w:eastAsia="Times New Roman"/>
                <w:sz w:val="20"/>
                <w:szCs w:val="20"/>
              </w:rPr>
            </w:pPr>
            <w:r>
              <w:rPr>
                <w:rFonts w:eastAsia="Times New Roman"/>
                <w:sz w:val="20"/>
                <w:szCs w:val="20"/>
              </w:rPr>
              <w:t>2,822</w:t>
            </w:r>
          </w:p>
        </w:tc>
        <w:tc>
          <w:tcPr>
            <w:tcW w:w="50" w:type="pct"/>
            <w:shd w:val="clear" w:color="auto" w:fill="FFFFFF"/>
            <w:noWrap/>
            <w:vAlign w:val="center"/>
            <w:hideMark/>
          </w:tcPr>
          <w:p w14:paraId="7CA630E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B01CE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51F9A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4E246F2" w14:textId="77777777" w:rsidR="00000000" w:rsidRDefault="00EB4933">
            <w:pPr>
              <w:jc w:val="right"/>
              <w:rPr>
                <w:rFonts w:eastAsia="Times New Roman"/>
                <w:sz w:val="20"/>
                <w:szCs w:val="20"/>
              </w:rPr>
            </w:pPr>
            <w:r>
              <w:rPr>
                <w:rFonts w:eastAsia="Times New Roman"/>
                <w:sz w:val="20"/>
                <w:szCs w:val="20"/>
              </w:rPr>
              <w:t>(19,487</w:t>
            </w:r>
          </w:p>
        </w:tc>
        <w:tc>
          <w:tcPr>
            <w:tcW w:w="50" w:type="pct"/>
            <w:shd w:val="clear" w:color="auto" w:fill="FFFFFF"/>
            <w:noWrap/>
            <w:vAlign w:val="bottom"/>
            <w:hideMark/>
          </w:tcPr>
          <w:p w14:paraId="77C860E4" w14:textId="77777777" w:rsidR="00000000" w:rsidRDefault="00EB4933">
            <w:pPr>
              <w:rPr>
                <w:rFonts w:eastAsia="Times New Roman"/>
                <w:sz w:val="20"/>
                <w:szCs w:val="20"/>
              </w:rPr>
            </w:pPr>
            <w:r>
              <w:rPr>
                <w:rFonts w:eastAsia="Times New Roman"/>
                <w:sz w:val="20"/>
                <w:szCs w:val="20"/>
              </w:rPr>
              <w:t>)</w:t>
            </w:r>
          </w:p>
        </w:tc>
      </w:tr>
      <w:tr w:rsidR="00000000" w14:paraId="4246E1EA" w14:textId="77777777">
        <w:trPr>
          <w:divId w:val="98525094"/>
          <w:trHeight w:val="225"/>
          <w:tblCellSpacing w:w="15" w:type="dxa"/>
        </w:trPr>
        <w:tc>
          <w:tcPr>
            <w:tcW w:w="0" w:type="auto"/>
            <w:shd w:val="clear" w:color="auto" w:fill="CCEEFF"/>
            <w:hideMark/>
          </w:tcPr>
          <w:p w14:paraId="16222B1A" w14:textId="77777777" w:rsidR="00000000" w:rsidRDefault="00EB4933">
            <w:pPr>
              <w:pStyle w:val="NormalWeb"/>
              <w:spacing w:before="0" w:beforeAutospacing="0" w:after="0" w:afterAutospacing="0"/>
              <w:rPr>
                <w:sz w:val="20"/>
                <w:szCs w:val="20"/>
              </w:rPr>
            </w:pPr>
            <w:r>
              <w:rPr>
                <w:sz w:val="20"/>
                <w:szCs w:val="20"/>
              </w:rPr>
              <w:t>Loans receivable (note 8)</w:t>
            </w:r>
          </w:p>
        </w:tc>
        <w:tc>
          <w:tcPr>
            <w:tcW w:w="50" w:type="pct"/>
            <w:shd w:val="clear" w:color="auto" w:fill="CCEEFF"/>
            <w:noWrap/>
            <w:vAlign w:val="center"/>
            <w:hideMark/>
          </w:tcPr>
          <w:p w14:paraId="37DC4A2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14AAF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8F0349A"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21ED47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CA590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C68CC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012A3D4" w14:textId="77777777" w:rsidR="00000000" w:rsidRDefault="00EB4933">
            <w:pPr>
              <w:jc w:val="right"/>
              <w:rPr>
                <w:rFonts w:eastAsia="Times New Roman"/>
                <w:sz w:val="20"/>
                <w:szCs w:val="20"/>
              </w:rPr>
            </w:pPr>
            <w:r>
              <w:rPr>
                <w:rFonts w:eastAsia="Times New Roman"/>
                <w:sz w:val="20"/>
                <w:szCs w:val="20"/>
              </w:rPr>
              <w:t>(121,040</w:t>
            </w:r>
          </w:p>
        </w:tc>
        <w:tc>
          <w:tcPr>
            <w:tcW w:w="50" w:type="pct"/>
            <w:shd w:val="clear" w:color="auto" w:fill="CCEEFF"/>
            <w:noWrap/>
            <w:vAlign w:val="bottom"/>
            <w:hideMark/>
          </w:tcPr>
          <w:p w14:paraId="6623BC14"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3F330B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3A0E81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EF3E396" w14:textId="77777777" w:rsidR="00000000" w:rsidRDefault="00EB4933">
            <w:pPr>
              <w:jc w:val="right"/>
              <w:rPr>
                <w:rFonts w:eastAsia="Times New Roman"/>
                <w:sz w:val="20"/>
                <w:szCs w:val="20"/>
              </w:rPr>
            </w:pPr>
            <w:r>
              <w:rPr>
                <w:rFonts w:eastAsia="Times New Roman"/>
                <w:sz w:val="20"/>
                <w:szCs w:val="20"/>
              </w:rPr>
              <w:t>(121,040</w:t>
            </w:r>
          </w:p>
        </w:tc>
        <w:tc>
          <w:tcPr>
            <w:tcW w:w="50" w:type="pct"/>
            <w:shd w:val="clear" w:color="auto" w:fill="CCEEFF"/>
            <w:noWrap/>
            <w:vAlign w:val="bottom"/>
            <w:hideMark/>
          </w:tcPr>
          <w:p w14:paraId="1D6EE4A9" w14:textId="77777777" w:rsidR="00000000" w:rsidRDefault="00EB4933">
            <w:pPr>
              <w:rPr>
                <w:rFonts w:eastAsia="Times New Roman"/>
                <w:sz w:val="20"/>
                <w:szCs w:val="20"/>
              </w:rPr>
            </w:pPr>
            <w:r>
              <w:rPr>
                <w:rFonts w:eastAsia="Times New Roman"/>
                <w:sz w:val="20"/>
                <w:szCs w:val="20"/>
              </w:rPr>
              <w:t>)</w:t>
            </w:r>
          </w:p>
        </w:tc>
      </w:tr>
      <w:tr w:rsidR="00000000" w14:paraId="514048E3" w14:textId="77777777">
        <w:trPr>
          <w:divId w:val="98525094"/>
          <w:trHeight w:val="225"/>
          <w:tblCellSpacing w:w="15" w:type="dxa"/>
        </w:trPr>
        <w:tc>
          <w:tcPr>
            <w:tcW w:w="0" w:type="auto"/>
            <w:shd w:val="clear" w:color="auto" w:fill="FFFFFF"/>
            <w:hideMark/>
          </w:tcPr>
          <w:p w14:paraId="3455A287" w14:textId="77777777" w:rsidR="00000000" w:rsidRDefault="00EB4933">
            <w:pPr>
              <w:pStyle w:val="NormalWeb"/>
              <w:spacing w:before="0" w:beforeAutospacing="0" w:after="0" w:afterAutospacing="0"/>
              <w:rPr>
                <w:sz w:val="20"/>
                <w:szCs w:val="20"/>
              </w:rPr>
            </w:pPr>
            <w:r>
              <w:rPr>
                <w:sz w:val="20"/>
                <w:szCs w:val="20"/>
              </w:rPr>
              <w:t>Prepayments and others</w:t>
            </w:r>
          </w:p>
        </w:tc>
        <w:tc>
          <w:tcPr>
            <w:tcW w:w="50" w:type="pct"/>
            <w:shd w:val="clear" w:color="auto" w:fill="FFFFFF"/>
            <w:noWrap/>
            <w:vAlign w:val="center"/>
            <w:hideMark/>
          </w:tcPr>
          <w:p w14:paraId="5448EAA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602D0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0ABCC71" w14:textId="77777777" w:rsidR="00000000" w:rsidRDefault="00EB4933">
            <w:pPr>
              <w:jc w:val="right"/>
              <w:rPr>
                <w:rFonts w:eastAsia="Times New Roman"/>
                <w:sz w:val="20"/>
                <w:szCs w:val="20"/>
              </w:rPr>
            </w:pPr>
            <w:r>
              <w:rPr>
                <w:rFonts w:eastAsia="Times New Roman"/>
                <w:sz w:val="20"/>
                <w:szCs w:val="20"/>
              </w:rPr>
              <w:t>10,673</w:t>
            </w:r>
          </w:p>
        </w:tc>
        <w:tc>
          <w:tcPr>
            <w:tcW w:w="50" w:type="pct"/>
            <w:shd w:val="clear" w:color="auto" w:fill="FFFFFF"/>
            <w:noWrap/>
            <w:vAlign w:val="center"/>
            <w:hideMark/>
          </w:tcPr>
          <w:p w14:paraId="39CEEAA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0D268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8C717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FE9F3AA"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D35B03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B76BE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B26E7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A45330E" w14:textId="77777777" w:rsidR="00000000" w:rsidRDefault="00EB4933">
            <w:pPr>
              <w:jc w:val="right"/>
              <w:rPr>
                <w:rFonts w:eastAsia="Times New Roman"/>
                <w:sz w:val="20"/>
                <w:szCs w:val="20"/>
              </w:rPr>
            </w:pPr>
            <w:r>
              <w:rPr>
                <w:rFonts w:eastAsia="Times New Roman"/>
                <w:sz w:val="20"/>
                <w:szCs w:val="20"/>
              </w:rPr>
              <w:t>10,673</w:t>
            </w:r>
          </w:p>
        </w:tc>
        <w:tc>
          <w:tcPr>
            <w:tcW w:w="50" w:type="pct"/>
            <w:shd w:val="clear" w:color="auto" w:fill="FFFFFF"/>
            <w:noWrap/>
            <w:vAlign w:val="center"/>
            <w:hideMark/>
          </w:tcPr>
          <w:p w14:paraId="4BC4A023" w14:textId="77777777" w:rsidR="00000000" w:rsidRDefault="00EB4933">
            <w:pPr>
              <w:pStyle w:val="NormalWeb"/>
              <w:spacing w:before="0" w:beforeAutospacing="0" w:after="0" w:afterAutospacing="0"/>
              <w:rPr>
                <w:sz w:val="20"/>
                <w:szCs w:val="20"/>
              </w:rPr>
            </w:pPr>
            <w:r>
              <w:rPr>
                <w:sz w:val="20"/>
                <w:szCs w:val="20"/>
              </w:rPr>
              <w:t> </w:t>
            </w:r>
          </w:p>
        </w:tc>
      </w:tr>
      <w:tr w:rsidR="00000000" w14:paraId="0B18E33C" w14:textId="77777777">
        <w:trPr>
          <w:divId w:val="98525094"/>
          <w:trHeight w:val="225"/>
          <w:tblCellSpacing w:w="15" w:type="dxa"/>
        </w:trPr>
        <w:tc>
          <w:tcPr>
            <w:tcW w:w="0" w:type="auto"/>
            <w:shd w:val="clear" w:color="auto" w:fill="CCEEFF"/>
            <w:hideMark/>
          </w:tcPr>
          <w:p w14:paraId="2A391511" w14:textId="77777777" w:rsidR="00000000" w:rsidRDefault="00EB4933">
            <w:pPr>
              <w:pStyle w:val="NormalWeb"/>
              <w:spacing w:before="0" w:beforeAutospacing="0" w:after="0" w:afterAutospacing="0"/>
              <w:rPr>
                <w:sz w:val="20"/>
                <w:szCs w:val="20"/>
              </w:rPr>
            </w:pPr>
            <w:r>
              <w:rPr>
                <w:sz w:val="20"/>
                <w:szCs w:val="20"/>
              </w:rPr>
              <w:t>Advance from customers</w:t>
            </w:r>
          </w:p>
        </w:tc>
        <w:tc>
          <w:tcPr>
            <w:tcW w:w="50" w:type="pct"/>
            <w:shd w:val="clear" w:color="auto" w:fill="CCEEFF"/>
            <w:noWrap/>
            <w:vAlign w:val="center"/>
            <w:hideMark/>
          </w:tcPr>
          <w:p w14:paraId="6AE9F68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A3929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A3B0339" w14:textId="77777777" w:rsidR="00000000" w:rsidRDefault="00EB4933">
            <w:pPr>
              <w:jc w:val="right"/>
              <w:rPr>
                <w:rFonts w:eastAsia="Times New Roman"/>
                <w:sz w:val="20"/>
                <w:szCs w:val="20"/>
              </w:rPr>
            </w:pPr>
            <w:r>
              <w:rPr>
                <w:rFonts w:eastAsia="Times New Roman"/>
                <w:sz w:val="20"/>
                <w:szCs w:val="20"/>
              </w:rPr>
              <w:t>(457</w:t>
            </w:r>
          </w:p>
        </w:tc>
        <w:tc>
          <w:tcPr>
            <w:tcW w:w="50" w:type="pct"/>
            <w:shd w:val="clear" w:color="auto" w:fill="CCEEFF"/>
            <w:noWrap/>
            <w:vAlign w:val="bottom"/>
            <w:hideMark/>
          </w:tcPr>
          <w:p w14:paraId="64F751CF"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F0A639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9A84B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EE18464"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CA0E77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DC92B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F5C2E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24245B8" w14:textId="77777777" w:rsidR="00000000" w:rsidRDefault="00EB4933">
            <w:pPr>
              <w:jc w:val="right"/>
              <w:rPr>
                <w:rFonts w:eastAsia="Times New Roman"/>
                <w:sz w:val="20"/>
                <w:szCs w:val="20"/>
              </w:rPr>
            </w:pPr>
            <w:r>
              <w:rPr>
                <w:rFonts w:eastAsia="Times New Roman"/>
                <w:sz w:val="20"/>
                <w:szCs w:val="20"/>
              </w:rPr>
              <w:t>(457</w:t>
            </w:r>
          </w:p>
        </w:tc>
        <w:tc>
          <w:tcPr>
            <w:tcW w:w="50" w:type="pct"/>
            <w:shd w:val="clear" w:color="auto" w:fill="CCEEFF"/>
            <w:noWrap/>
            <w:vAlign w:val="bottom"/>
            <w:hideMark/>
          </w:tcPr>
          <w:p w14:paraId="23799A15" w14:textId="77777777" w:rsidR="00000000" w:rsidRDefault="00EB4933">
            <w:pPr>
              <w:rPr>
                <w:rFonts w:eastAsia="Times New Roman"/>
                <w:sz w:val="20"/>
                <w:szCs w:val="20"/>
              </w:rPr>
            </w:pPr>
            <w:r>
              <w:rPr>
                <w:rFonts w:eastAsia="Times New Roman"/>
                <w:sz w:val="20"/>
                <w:szCs w:val="20"/>
              </w:rPr>
              <w:t>)</w:t>
            </w:r>
          </w:p>
        </w:tc>
      </w:tr>
      <w:tr w:rsidR="00000000" w14:paraId="2C98EBEC" w14:textId="77777777">
        <w:trPr>
          <w:divId w:val="98525094"/>
          <w:trHeight w:val="225"/>
          <w:tblCellSpacing w:w="15" w:type="dxa"/>
        </w:trPr>
        <w:tc>
          <w:tcPr>
            <w:tcW w:w="0" w:type="auto"/>
            <w:shd w:val="clear" w:color="auto" w:fill="FFFFFF"/>
            <w:hideMark/>
          </w:tcPr>
          <w:p w14:paraId="54D232D6" w14:textId="77777777" w:rsidR="00000000" w:rsidRDefault="00EB4933">
            <w:pPr>
              <w:pStyle w:val="NormalWeb"/>
              <w:spacing w:before="0" w:beforeAutospacing="0" w:after="0" w:afterAutospacing="0"/>
              <w:rPr>
                <w:sz w:val="20"/>
                <w:szCs w:val="20"/>
              </w:rPr>
            </w:pPr>
            <w:r>
              <w:rPr>
                <w:sz w:val="20"/>
                <w:szCs w:val="20"/>
              </w:rPr>
              <w:t>Salary and benefit payable</w:t>
            </w:r>
          </w:p>
        </w:tc>
        <w:tc>
          <w:tcPr>
            <w:tcW w:w="50" w:type="pct"/>
            <w:shd w:val="clear" w:color="auto" w:fill="FFFFFF"/>
            <w:noWrap/>
            <w:vAlign w:val="center"/>
            <w:hideMark/>
          </w:tcPr>
          <w:p w14:paraId="1EF524D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942C6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878E18E" w14:textId="77777777" w:rsidR="00000000" w:rsidRDefault="00EB4933">
            <w:pPr>
              <w:jc w:val="right"/>
              <w:rPr>
                <w:rFonts w:eastAsia="Times New Roman"/>
                <w:sz w:val="20"/>
                <w:szCs w:val="20"/>
              </w:rPr>
            </w:pPr>
            <w:r>
              <w:rPr>
                <w:rFonts w:eastAsia="Times New Roman"/>
                <w:sz w:val="20"/>
                <w:szCs w:val="20"/>
              </w:rPr>
              <w:t>1,254</w:t>
            </w:r>
          </w:p>
        </w:tc>
        <w:tc>
          <w:tcPr>
            <w:tcW w:w="50" w:type="pct"/>
            <w:shd w:val="clear" w:color="auto" w:fill="FFFFFF"/>
            <w:noWrap/>
            <w:vAlign w:val="center"/>
            <w:hideMark/>
          </w:tcPr>
          <w:p w14:paraId="5071F8E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657F9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DDACD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A3D534E"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DB1B9F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372DE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E8477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30B6113" w14:textId="77777777" w:rsidR="00000000" w:rsidRDefault="00EB4933">
            <w:pPr>
              <w:jc w:val="right"/>
              <w:rPr>
                <w:rFonts w:eastAsia="Times New Roman"/>
                <w:sz w:val="20"/>
                <w:szCs w:val="20"/>
              </w:rPr>
            </w:pPr>
            <w:r>
              <w:rPr>
                <w:rFonts w:eastAsia="Times New Roman"/>
                <w:sz w:val="20"/>
                <w:szCs w:val="20"/>
              </w:rPr>
              <w:t>1,254</w:t>
            </w:r>
          </w:p>
        </w:tc>
        <w:tc>
          <w:tcPr>
            <w:tcW w:w="50" w:type="pct"/>
            <w:shd w:val="clear" w:color="auto" w:fill="FFFFFF"/>
            <w:noWrap/>
            <w:vAlign w:val="center"/>
            <w:hideMark/>
          </w:tcPr>
          <w:p w14:paraId="2697E780" w14:textId="77777777" w:rsidR="00000000" w:rsidRDefault="00EB4933">
            <w:pPr>
              <w:pStyle w:val="NormalWeb"/>
              <w:spacing w:before="0" w:beforeAutospacing="0" w:after="0" w:afterAutospacing="0"/>
              <w:rPr>
                <w:sz w:val="20"/>
                <w:szCs w:val="20"/>
              </w:rPr>
            </w:pPr>
            <w:r>
              <w:rPr>
                <w:sz w:val="20"/>
                <w:szCs w:val="20"/>
              </w:rPr>
              <w:t> </w:t>
            </w:r>
          </w:p>
        </w:tc>
      </w:tr>
      <w:tr w:rsidR="00000000" w14:paraId="0429B06F" w14:textId="77777777">
        <w:trPr>
          <w:divId w:val="98525094"/>
          <w:trHeight w:val="225"/>
          <w:tblCellSpacing w:w="15" w:type="dxa"/>
        </w:trPr>
        <w:tc>
          <w:tcPr>
            <w:tcW w:w="0" w:type="auto"/>
            <w:shd w:val="clear" w:color="auto" w:fill="CCEEFF"/>
            <w:hideMark/>
          </w:tcPr>
          <w:p w14:paraId="019F8F16" w14:textId="77777777" w:rsidR="00000000" w:rsidRDefault="00EB4933">
            <w:pPr>
              <w:pStyle w:val="NormalWeb"/>
              <w:spacing w:before="0" w:beforeAutospacing="0" w:after="0" w:afterAutospacing="0"/>
              <w:rPr>
                <w:sz w:val="20"/>
                <w:szCs w:val="20"/>
              </w:rPr>
            </w:pPr>
            <w:r>
              <w:rPr>
                <w:sz w:val="20"/>
                <w:szCs w:val="20"/>
              </w:rPr>
              <w:t>Interest payable (note 1)</w:t>
            </w:r>
          </w:p>
        </w:tc>
        <w:tc>
          <w:tcPr>
            <w:tcW w:w="50" w:type="pct"/>
            <w:shd w:val="clear" w:color="auto" w:fill="CCEEFF"/>
            <w:noWrap/>
            <w:vAlign w:val="center"/>
            <w:hideMark/>
          </w:tcPr>
          <w:p w14:paraId="6140E40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77F03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147BBA9" w14:textId="77777777" w:rsidR="00000000" w:rsidRDefault="00EB4933">
            <w:pPr>
              <w:jc w:val="right"/>
              <w:rPr>
                <w:rFonts w:eastAsia="Times New Roman"/>
                <w:sz w:val="20"/>
                <w:szCs w:val="20"/>
              </w:rPr>
            </w:pPr>
            <w:r>
              <w:rPr>
                <w:rFonts w:eastAsia="Times New Roman"/>
                <w:sz w:val="20"/>
                <w:szCs w:val="20"/>
              </w:rPr>
              <w:t>1,333</w:t>
            </w:r>
          </w:p>
        </w:tc>
        <w:tc>
          <w:tcPr>
            <w:tcW w:w="50" w:type="pct"/>
            <w:shd w:val="clear" w:color="auto" w:fill="CCEEFF"/>
            <w:noWrap/>
            <w:vAlign w:val="center"/>
            <w:hideMark/>
          </w:tcPr>
          <w:p w14:paraId="77F70D0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BB75B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A00C4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402EF7B" w14:textId="77777777" w:rsidR="00000000" w:rsidRDefault="00EB4933">
            <w:pPr>
              <w:jc w:val="right"/>
              <w:rPr>
                <w:rFonts w:eastAsia="Times New Roman"/>
                <w:sz w:val="20"/>
                <w:szCs w:val="20"/>
              </w:rPr>
            </w:pPr>
            <w:r>
              <w:rPr>
                <w:rFonts w:eastAsia="Times New Roman"/>
                <w:sz w:val="20"/>
                <w:szCs w:val="20"/>
              </w:rPr>
              <w:t>(731</w:t>
            </w:r>
          </w:p>
        </w:tc>
        <w:tc>
          <w:tcPr>
            <w:tcW w:w="50" w:type="pct"/>
            <w:shd w:val="clear" w:color="auto" w:fill="CCEEFF"/>
            <w:noWrap/>
            <w:vAlign w:val="bottom"/>
            <w:hideMark/>
          </w:tcPr>
          <w:p w14:paraId="6FAA21AA"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CDA6AB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23E021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FE425EB" w14:textId="77777777" w:rsidR="00000000" w:rsidRDefault="00EB4933">
            <w:pPr>
              <w:jc w:val="right"/>
              <w:rPr>
                <w:rFonts w:eastAsia="Times New Roman"/>
                <w:sz w:val="20"/>
                <w:szCs w:val="20"/>
              </w:rPr>
            </w:pPr>
            <w:r>
              <w:rPr>
                <w:rFonts w:eastAsia="Times New Roman"/>
                <w:sz w:val="20"/>
                <w:szCs w:val="20"/>
              </w:rPr>
              <w:t>602</w:t>
            </w:r>
          </w:p>
        </w:tc>
        <w:tc>
          <w:tcPr>
            <w:tcW w:w="50" w:type="pct"/>
            <w:shd w:val="clear" w:color="auto" w:fill="CCEEFF"/>
            <w:noWrap/>
            <w:vAlign w:val="center"/>
            <w:hideMark/>
          </w:tcPr>
          <w:p w14:paraId="1E8F8D3A" w14:textId="77777777" w:rsidR="00000000" w:rsidRDefault="00EB4933">
            <w:pPr>
              <w:pStyle w:val="NormalWeb"/>
              <w:spacing w:before="0" w:beforeAutospacing="0" w:after="0" w:afterAutospacing="0"/>
              <w:rPr>
                <w:sz w:val="20"/>
                <w:szCs w:val="20"/>
              </w:rPr>
            </w:pPr>
            <w:r>
              <w:rPr>
                <w:sz w:val="20"/>
                <w:szCs w:val="20"/>
              </w:rPr>
              <w:t> </w:t>
            </w:r>
          </w:p>
        </w:tc>
      </w:tr>
      <w:tr w:rsidR="00000000" w14:paraId="51B47E7D" w14:textId="77777777">
        <w:trPr>
          <w:divId w:val="98525094"/>
          <w:trHeight w:val="225"/>
          <w:tblCellSpacing w:w="15" w:type="dxa"/>
        </w:trPr>
        <w:tc>
          <w:tcPr>
            <w:tcW w:w="0" w:type="auto"/>
            <w:shd w:val="clear" w:color="auto" w:fill="FFFFFF"/>
            <w:hideMark/>
          </w:tcPr>
          <w:p w14:paraId="4E6234F1" w14:textId="77777777" w:rsidR="00000000" w:rsidRDefault="00EB4933">
            <w:pPr>
              <w:pStyle w:val="NormalWeb"/>
              <w:spacing w:before="0" w:beforeAutospacing="0" w:after="0" w:afterAutospacing="0"/>
              <w:rPr>
                <w:sz w:val="20"/>
                <w:szCs w:val="20"/>
              </w:rPr>
            </w:pPr>
            <w:r>
              <w:rPr>
                <w:sz w:val="20"/>
                <w:szCs w:val="20"/>
              </w:rPr>
              <w:t>Other payable (notes 1 and 2)</w:t>
            </w:r>
          </w:p>
        </w:tc>
        <w:tc>
          <w:tcPr>
            <w:tcW w:w="50" w:type="pct"/>
            <w:shd w:val="clear" w:color="auto" w:fill="FFFFFF"/>
            <w:noWrap/>
            <w:vAlign w:val="center"/>
            <w:hideMark/>
          </w:tcPr>
          <w:p w14:paraId="2895D83F"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795A26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28542FB" w14:textId="77777777" w:rsidR="00000000" w:rsidRDefault="00EB4933">
            <w:pPr>
              <w:jc w:val="right"/>
              <w:rPr>
                <w:rFonts w:eastAsia="Times New Roman"/>
                <w:sz w:val="20"/>
                <w:szCs w:val="20"/>
              </w:rPr>
            </w:pPr>
            <w:r>
              <w:rPr>
                <w:rFonts w:eastAsia="Times New Roman"/>
                <w:sz w:val="20"/>
                <w:szCs w:val="20"/>
              </w:rPr>
              <w:t>13,046</w:t>
            </w:r>
          </w:p>
        </w:tc>
        <w:tc>
          <w:tcPr>
            <w:tcW w:w="50" w:type="pct"/>
            <w:shd w:val="clear" w:color="auto" w:fill="FFFFFF"/>
            <w:noWrap/>
            <w:tcMar>
              <w:top w:w="0" w:type="dxa"/>
              <w:left w:w="0" w:type="dxa"/>
              <w:bottom w:w="15" w:type="dxa"/>
              <w:right w:w="0" w:type="dxa"/>
            </w:tcMar>
            <w:vAlign w:val="center"/>
            <w:hideMark/>
          </w:tcPr>
          <w:p w14:paraId="2D677C0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0E51D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E66868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E432E86" w14:textId="77777777" w:rsidR="00000000" w:rsidRDefault="00EB4933">
            <w:pPr>
              <w:jc w:val="right"/>
              <w:rPr>
                <w:rFonts w:eastAsia="Times New Roman"/>
                <w:sz w:val="20"/>
                <w:szCs w:val="20"/>
              </w:rPr>
            </w:pPr>
            <w:r>
              <w:rPr>
                <w:rFonts w:eastAsia="Times New Roman"/>
                <w:sz w:val="20"/>
                <w:szCs w:val="20"/>
              </w:rPr>
              <w:t>10,986</w:t>
            </w:r>
          </w:p>
        </w:tc>
        <w:tc>
          <w:tcPr>
            <w:tcW w:w="50" w:type="pct"/>
            <w:shd w:val="clear" w:color="auto" w:fill="FFFFFF"/>
            <w:noWrap/>
            <w:tcMar>
              <w:top w:w="0" w:type="dxa"/>
              <w:left w:w="0" w:type="dxa"/>
              <w:bottom w:w="15" w:type="dxa"/>
              <w:right w:w="0" w:type="dxa"/>
            </w:tcMar>
            <w:vAlign w:val="center"/>
            <w:hideMark/>
          </w:tcPr>
          <w:p w14:paraId="525CA9D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EC6AC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3CA488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24D9899" w14:textId="77777777" w:rsidR="00000000" w:rsidRDefault="00EB4933">
            <w:pPr>
              <w:jc w:val="right"/>
              <w:rPr>
                <w:rFonts w:eastAsia="Times New Roman"/>
                <w:sz w:val="20"/>
                <w:szCs w:val="20"/>
              </w:rPr>
            </w:pPr>
            <w:r>
              <w:rPr>
                <w:rFonts w:eastAsia="Times New Roman"/>
                <w:sz w:val="20"/>
                <w:szCs w:val="20"/>
              </w:rPr>
              <w:t>24,032</w:t>
            </w:r>
          </w:p>
        </w:tc>
        <w:tc>
          <w:tcPr>
            <w:tcW w:w="50" w:type="pct"/>
            <w:shd w:val="clear" w:color="auto" w:fill="FFFFFF"/>
            <w:noWrap/>
            <w:tcMar>
              <w:top w:w="0" w:type="dxa"/>
              <w:left w:w="0" w:type="dxa"/>
              <w:bottom w:w="15" w:type="dxa"/>
              <w:right w:w="0" w:type="dxa"/>
            </w:tcMar>
            <w:vAlign w:val="center"/>
            <w:hideMark/>
          </w:tcPr>
          <w:p w14:paraId="45E3DD7A" w14:textId="77777777" w:rsidR="00000000" w:rsidRDefault="00EB4933">
            <w:pPr>
              <w:pStyle w:val="NormalWeb"/>
              <w:spacing w:before="0" w:beforeAutospacing="0" w:after="0" w:afterAutospacing="0"/>
              <w:rPr>
                <w:sz w:val="20"/>
                <w:szCs w:val="20"/>
              </w:rPr>
            </w:pPr>
            <w:r>
              <w:rPr>
                <w:sz w:val="20"/>
                <w:szCs w:val="20"/>
              </w:rPr>
              <w:t> </w:t>
            </w:r>
          </w:p>
        </w:tc>
      </w:tr>
      <w:tr w:rsidR="00000000" w14:paraId="7DA74EE4" w14:textId="77777777">
        <w:trPr>
          <w:divId w:val="98525094"/>
          <w:trHeight w:val="225"/>
          <w:tblCellSpacing w:w="15" w:type="dxa"/>
        </w:trPr>
        <w:tc>
          <w:tcPr>
            <w:tcW w:w="0" w:type="auto"/>
            <w:shd w:val="clear" w:color="auto" w:fill="CCEEFF"/>
            <w:hideMark/>
          </w:tcPr>
          <w:p w14:paraId="14657434" w14:textId="77777777" w:rsidR="00000000" w:rsidRDefault="00EB4933">
            <w:pPr>
              <w:pStyle w:val="NormalWeb"/>
              <w:spacing w:before="0" w:beforeAutospacing="0" w:after="0" w:afterAutospacing="0"/>
              <w:rPr>
                <w:sz w:val="20"/>
                <w:szCs w:val="20"/>
              </w:rPr>
            </w:pPr>
            <w:r>
              <w:rPr>
                <w:rStyle w:val="Strong"/>
                <w:sz w:val="20"/>
                <w:szCs w:val="20"/>
              </w:rPr>
              <w:t>Net cash generated/(used) by operating activities</w:t>
            </w:r>
          </w:p>
        </w:tc>
        <w:tc>
          <w:tcPr>
            <w:tcW w:w="50" w:type="pct"/>
            <w:shd w:val="clear" w:color="auto" w:fill="CCEEFF"/>
            <w:noWrap/>
            <w:vAlign w:val="center"/>
            <w:hideMark/>
          </w:tcPr>
          <w:p w14:paraId="1327ACD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1F2FB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B76575E" w14:textId="77777777" w:rsidR="00000000" w:rsidRDefault="00EB4933">
            <w:pPr>
              <w:jc w:val="right"/>
              <w:rPr>
                <w:rFonts w:eastAsia="Times New Roman"/>
                <w:sz w:val="20"/>
                <w:szCs w:val="20"/>
              </w:rPr>
            </w:pPr>
            <w:r>
              <w:rPr>
                <w:rFonts w:eastAsia="Times New Roman"/>
                <w:sz w:val="20"/>
                <w:szCs w:val="20"/>
              </w:rPr>
              <w:t>58,585</w:t>
            </w:r>
          </w:p>
        </w:tc>
        <w:tc>
          <w:tcPr>
            <w:tcW w:w="50" w:type="pct"/>
            <w:shd w:val="clear" w:color="auto" w:fill="CCEEFF"/>
            <w:noWrap/>
            <w:vAlign w:val="center"/>
            <w:hideMark/>
          </w:tcPr>
          <w:p w14:paraId="3602B3E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BC570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642EB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2601325" w14:textId="77777777" w:rsidR="00000000" w:rsidRDefault="00EB4933">
            <w:pPr>
              <w:jc w:val="right"/>
              <w:rPr>
                <w:rFonts w:eastAsia="Times New Roman"/>
                <w:sz w:val="20"/>
                <w:szCs w:val="20"/>
              </w:rPr>
            </w:pPr>
            <w:r>
              <w:rPr>
                <w:rFonts w:eastAsia="Times New Roman"/>
                <w:sz w:val="20"/>
                <w:szCs w:val="20"/>
              </w:rPr>
              <w:t>(114,611</w:t>
            </w:r>
          </w:p>
        </w:tc>
        <w:tc>
          <w:tcPr>
            <w:tcW w:w="50" w:type="pct"/>
            <w:shd w:val="clear" w:color="auto" w:fill="CCEEFF"/>
            <w:noWrap/>
            <w:vAlign w:val="bottom"/>
            <w:hideMark/>
          </w:tcPr>
          <w:p w14:paraId="7ACB39FF"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17CD76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5FAC3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A5F4746" w14:textId="77777777" w:rsidR="00000000" w:rsidRDefault="00EB4933">
            <w:pPr>
              <w:jc w:val="right"/>
              <w:rPr>
                <w:rFonts w:eastAsia="Times New Roman"/>
                <w:sz w:val="20"/>
                <w:szCs w:val="20"/>
              </w:rPr>
            </w:pPr>
            <w:r>
              <w:rPr>
                <w:rFonts w:eastAsia="Times New Roman"/>
                <w:sz w:val="20"/>
                <w:szCs w:val="20"/>
              </w:rPr>
              <w:t>(56,026</w:t>
            </w:r>
          </w:p>
        </w:tc>
        <w:tc>
          <w:tcPr>
            <w:tcW w:w="50" w:type="pct"/>
            <w:shd w:val="clear" w:color="auto" w:fill="CCEEFF"/>
            <w:noWrap/>
            <w:vAlign w:val="bottom"/>
            <w:hideMark/>
          </w:tcPr>
          <w:p w14:paraId="243E1B3A" w14:textId="77777777" w:rsidR="00000000" w:rsidRDefault="00EB4933">
            <w:pPr>
              <w:rPr>
                <w:rFonts w:eastAsia="Times New Roman"/>
                <w:sz w:val="20"/>
                <w:szCs w:val="20"/>
              </w:rPr>
            </w:pPr>
            <w:r>
              <w:rPr>
                <w:rFonts w:eastAsia="Times New Roman"/>
                <w:sz w:val="20"/>
                <w:szCs w:val="20"/>
              </w:rPr>
              <w:t>)</w:t>
            </w:r>
          </w:p>
        </w:tc>
      </w:tr>
      <w:tr w:rsidR="00000000" w14:paraId="3E32F308" w14:textId="77777777">
        <w:trPr>
          <w:divId w:val="98525094"/>
          <w:trHeight w:val="225"/>
          <w:tblCellSpacing w:w="15" w:type="dxa"/>
        </w:trPr>
        <w:tc>
          <w:tcPr>
            <w:tcW w:w="0" w:type="auto"/>
            <w:shd w:val="clear" w:color="auto" w:fill="FFFFFF"/>
            <w:hideMark/>
          </w:tcPr>
          <w:p w14:paraId="168A8455" w14:textId="77777777" w:rsidR="00000000" w:rsidRDefault="00EB4933">
            <w:pPr>
              <w:pStyle w:val="NormalWeb"/>
              <w:spacing w:before="0" w:beforeAutospacing="0" w:after="0" w:afterAutospacing="0"/>
              <w:rPr>
                <w:sz w:val="20"/>
                <w:szCs w:val="20"/>
              </w:rPr>
            </w:pPr>
            <w:r>
              <w:rPr>
                <w:sz w:val="20"/>
                <w:szCs w:val="20"/>
              </w:rPr>
              <w:t>Income tax paid</w:t>
            </w:r>
          </w:p>
        </w:tc>
        <w:tc>
          <w:tcPr>
            <w:tcW w:w="50" w:type="pct"/>
            <w:shd w:val="clear" w:color="auto" w:fill="FFFFFF"/>
            <w:noWrap/>
            <w:vAlign w:val="center"/>
            <w:hideMark/>
          </w:tcPr>
          <w:p w14:paraId="5B035BF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AEBD73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4AC3392" w14:textId="77777777" w:rsidR="00000000" w:rsidRDefault="00EB4933">
            <w:pPr>
              <w:jc w:val="right"/>
              <w:rPr>
                <w:rFonts w:eastAsia="Times New Roman"/>
                <w:sz w:val="20"/>
                <w:szCs w:val="20"/>
              </w:rPr>
            </w:pPr>
            <w:r>
              <w:rPr>
                <w:rFonts w:eastAsia="Times New Roman"/>
                <w:sz w:val="20"/>
                <w:szCs w:val="20"/>
              </w:rPr>
              <w:t>(14,393</w:t>
            </w:r>
          </w:p>
        </w:tc>
        <w:tc>
          <w:tcPr>
            <w:tcW w:w="50" w:type="pct"/>
            <w:shd w:val="clear" w:color="auto" w:fill="FFFFFF"/>
            <w:noWrap/>
            <w:tcMar>
              <w:top w:w="0" w:type="dxa"/>
              <w:left w:w="0" w:type="dxa"/>
              <w:bottom w:w="15" w:type="dxa"/>
              <w:right w:w="0" w:type="dxa"/>
            </w:tcMar>
            <w:vAlign w:val="bottom"/>
            <w:hideMark/>
          </w:tcPr>
          <w:p w14:paraId="4D4332AB"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5FBA0A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14F6BB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EE4B3D6"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46D3D67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D8204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95BE7D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5DAE479" w14:textId="77777777" w:rsidR="00000000" w:rsidRDefault="00EB4933">
            <w:pPr>
              <w:jc w:val="right"/>
              <w:rPr>
                <w:rFonts w:eastAsia="Times New Roman"/>
                <w:sz w:val="20"/>
                <w:szCs w:val="20"/>
              </w:rPr>
            </w:pPr>
            <w:r>
              <w:rPr>
                <w:rFonts w:eastAsia="Times New Roman"/>
                <w:sz w:val="20"/>
                <w:szCs w:val="20"/>
              </w:rPr>
              <w:t>(14,393</w:t>
            </w:r>
          </w:p>
        </w:tc>
        <w:tc>
          <w:tcPr>
            <w:tcW w:w="50" w:type="pct"/>
            <w:shd w:val="clear" w:color="auto" w:fill="FFFFFF"/>
            <w:noWrap/>
            <w:tcMar>
              <w:top w:w="0" w:type="dxa"/>
              <w:left w:w="0" w:type="dxa"/>
              <w:bottom w:w="15" w:type="dxa"/>
              <w:right w:w="0" w:type="dxa"/>
            </w:tcMar>
            <w:vAlign w:val="bottom"/>
            <w:hideMark/>
          </w:tcPr>
          <w:p w14:paraId="197BD1F9" w14:textId="77777777" w:rsidR="00000000" w:rsidRDefault="00EB4933">
            <w:pPr>
              <w:rPr>
                <w:rFonts w:eastAsia="Times New Roman"/>
                <w:sz w:val="20"/>
                <w:szCs w:val="20"/>
              </w:rPr>
            </w:pPr>
            <w:r>
              <w:rPr>
                <w:rFonts w:eastAsia="Times New Roman"/>
                <w:sz w:val="20"/>
                <w:szCs w:val="20"/>
              </w:rPr>
              <w:t>)</w:t>
            </w:r>
          </w:p>
        </w:tc>
      </w:tr>
      <w:tr w:rsidR="00000000" w14:paraId="5DDC3BF9" w14:textId="77777777">
        <w:trPr>
          <w:divId w:val="98525094"/>
          <w:trHeight w:val="225"/>
          <w:tblCellSpacing w:w="15" w:type="dxa"/>
        </w:trPr>
        <w:tc>
          <w:tcPr>
            <w:tcW w:w="0" w:type="auto"/>
            <w:shd w:val="clear" w:color="auto" w:fill="CCEEFF"/>
            <w:hideMark/>
          </w:tcPr>
          <w:p w14:paraId="43A24EE0" w14:textId="77777777" w:rsidR="00000000" w:rsidRDefault="00EB4933">
            <w:pPr>
              <w:pStyle w:val="NormalWeb"/>
              <w:spacing w:before="0" w:beforeAutospacing="0" w:after="0" w:afterAutospacing="0"/>
              <w:rPr>
                <w:sz w:val="20"/>
                <w:szCs w:val="20"/>
              </w:rPr>
            </w:pPr>
            <w:r>
              <w:rPr>
                <w:rStyle w:val="Strong"/>
                <w:sz w:val="20"/>
                <w:szCs w:val="20"/>
              </w:rPr>
              <w:t>Net cash generated/(used) by operating activities</w:t>
            </w:r>
          </w:p>
        </w:tc>
        <w:tc>
          <w:tcPr>
            <w:tcW w:w="50" w:type="pct"/>
            <w:shd w:val="clear" w:color="auto" w:fill="CCEEFF"/>
            <w:noWrap/>
            <w:vAlign w:val="center"/>
            <w:hideMark/>
          </w:tcPr>
          <w:p w14:paraId="44B8C07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EBC6DF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DD2B927" w14:textId="77777777" w:rsidR="00000000" w:rsidRDefault="00EB4933">
            <w:pPr>
              <w:jc w:val="right"/>
              <w:rPr>
                <w:rFonts w:eastAsia="Times New Roman"/>
                <w:sz w:val="20"/>
                <w:szCs w:val="20"/>
              </w:rPr>
            </w:pPr>
            <w:r>
              <w:rPr>
                <w:rFonts w:eastAsia="Times New Roman"/>
                <w:sz w:val="20"/>
                <w:szCs w:val="20"/>
              </w:rPr>
              <w:t>44,192</w:t>
            </w:r>
          </w:p>
        </w:tc>
        <w:tc>
          <w:tcPr>
            <w:tcW w:w="50" w:type="pct"/>
            <w:shd w:val="clear" w:color="auto" w:fill="CCEEFF"/>
            <w:noWrap/>
            <w:tcMar>
              <w:top w:w="0" w:type="dxa"/>
              <w:left w:w="0" w:type="dxa"/>
              <w:bottom w:w="15" w:type="dxa"/>
              <w:right w:w="0" w:type="dxa"/>
            </w:tcMar>
            <w:vAlign w:val="center"/>
            <w:hideMark/>
          </w:tcPr>
          <w:p w14:paraId="3815D7B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01A3C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EF505C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8EA6546" w14:textId="77777777" w:rsidR="00000000" w:rsidRDefault="00EB4933">
            <w:pPr>
              <w:jc w:val="right"/>
              <w:rPr>
                <w:rFonts w:eastAsia="Times New Roman"/>
                <w:sz w:val="20"/>
                <w:szCs w:val="20"/>
              </w:rPr>
            </w:pPr>
            <w:r>
              <w:rPr>
                <w:rFonts w:eastAsia="Times New Roman"/>
                <w:sz w:val="20"/>
                <w:szCs w:val="20"/>
              </w:rPr>
              <w:t>(114,611</w:t>
            </w:r>
          </w:p>
        </w:tc>
        <w:tc>
          <w:tcPr>
            <w:tcW w:w="50" w:type="pct"/>
            <w:shd w:val="clear" w:color="auto" w:fill="CCEEFF"/>
            <w:noWrap/>
            <w:tcMar>
              <w:top w:w="0" w:type="dxa"/>
              <w:left w:w="0" w:type="dxa"/>
              <w:bottom w:w="15" w:type="dxa"/>
              <w:right w:w="0" w:type="dxa"/>
            </w:tcMar>
            <w:vAlign w:val="bottom"/>
            <w:hideMark/>
          </w:tcPr>
          <w:p w14:paraId="033C160F"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326F8F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92917E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8880943" w14:textId="77777777" w:rsidR="00000000" w:rsidRDefault="00EB4933">
            <w:pPr>
              <w:jc w:val="right"/>
              <w:rPr>
                <w:rFonts w:eastAsia="Times New Roman"/>
                <w:sz w:val="20"/>
                <w:szCs w:val="20"/>
              </w:rPr>
            </w:pPr>
            <w:r>
              <w:rPr>
                <w:rFonts w:eastAsia="Times New Roman"/>
                <w:sz w:val="20"/>
                <w:szCs w:val="20"/>
              </w:rPr>
              <w:t>(70,419</w:t>
            </w:r>
          </w:p>
        </w:tc>
        <w:tc>
          <w:tcPr>
            <w:tcW w:w="50" w:type="pct"/>
            <w:shd w:val="clear" w:color="auto" w:fill="CCEEFF"/>
            <w:noWrap/>
            <w:tcMar>
              <w:top w:w="0" w:type="dxa"/>
              <w:left w:w="0" w:type="dxa"/>
              <w:bottom w:w="15" w:type="dxa"/>
              <w:right w:w="0" w:type="dxa"/>
            </w:tcMar>
            <w:vAlign w:val="bottom"/>
            <w:hideMark/>
          </w:tcPr>
          <w:p w14:paraId="55D8164C" w14:textId="77777777" w:rsidR="00000000" w:rsidRDefault="00EB4933">
            <w:pPr>
              <w:rPr>
                <w:rFonts w:eastAsia="Times New Roman"/>
                <w:sz w:val="20"/>
                <w:szCs w:val="20"/>
              </w:rPr>
            </w:pPr>
            <w:r>
              <w:rPr>
                <w:rFonts w:eastAsia="Times New Roman"/>
                <w:sz w:val="20"/>
                <w:szCs w:val="20"/>
              </w:rPr>
              <w:t>)</w:t>
            </w:r>
          </w:p>
        </w:tc>
      </w:tr>
      <w:tr w:rsidR="00000000" w14:paraId="5C61C4A6" w14:textId="77777777">
        <w:trPr>
          <w:divId w:val="98525094"/>
          <w:trHeight w:val="225"/>
          <w:tblCellSpacing w:w="15" w:type="dxa"/>
        </w:trPr>
        <w:tc>
          <w:tcPr>
            <w:tcW w:w="0" w:type="auto"/>
            <w:shd w:val="clear" w:color="auto" w:fill="FFFFFF"/>
            <w:vAlign w:val="center"/>
            <w:hideMark/>
          </w:tcPr>
          <w:p w14:paraId="64F59B8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5D066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CB6E4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B52002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DD46D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F287A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4A252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880E23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738B5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B61C9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72BFD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0367AC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118681" w14:textId="77777777" w:rsidR="00000000" w:rsidRDefault="00EB4933">
            <w:pPr>
              <w:pStyle w:val="NormalWeb"/>
              <w:spacing w:before="0" w:beforeAutospacing="0" w:after="0" w:afterAutospacing="0"/>
              <w:rPr>
                <w:sz w:val="20"/>
                <w:szCs w:val="20"/>
              </w:rPr>
            </w:pPr>
            <w:r>
              <w:rPr>
                <w:sz w:val="20"/>
                <w:szCs w:val="20"/>
              </w:rPr>
              <w:t> </w:t>
            </w:r>
          </w:p>
        </w:tc>
      </w:tr>
      <w:tr w:rsidR="00000000" w14:paraId="4E1805A9" w14:textId="77777777">
        <w:trPr>
          <w:divId w:val="98525094"/>
          <w:trHeight w:val="225"/>
          <w:tblCellSpacing w:w="15" w:type="dxa"/>
        </w:trPr>
        <w:tc>
          <w:tcPr>
            <w:tcW w:w="0" w:type="auto"/>
            <w:shd w:val="clear" w:color="auto" w:fill="CCEEFF"/>
            <w:hideMark/>
          </w:tcPr>
          <w:p w14:paraId="2DC20094" w14:textId="77777777" w:rsidR="00000000" w:rsidRDefault="00EB4933">
            <w:pPr>
              <w:pStyle w:val="NormalWeb"/>
              <w:spacing w:before="0" w:beforeAutospacing="0" w:after="0" w:afterAutospacing="0"/>
              <w:rPr>
                <w:sz w:val="20"/>
                <w:szCs w:val="20"/>
              </w:rPr>
            </w:pPr>
            <w:r>
              <w:rPr>
                <w:rStyle w:val="Strong"/>
                <w:sz w:val="20"/>
                <w:szCs w:val="20"/>
              </w:rPr>
              <w:t>Cash flow from investing activities</w:t>
            </w:r>
          </w:p>
        </w:tc>
        <w:tc>
          <w:tcPr>
            <w:tcW w:w="50" w:type="pct"/>
            <w:shd w:val="clear" w:color="auto" w:fill="CCEEFF"/>
            <w:noWrap/>
            <w:vAlign w:val="center"/>
            <w:hideMark/>
          </w:tcPr>
          <w:p w14:paraId="069CF34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2E9A0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CD7DC3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2792A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32E45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6DDFB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22CB66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5EE42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B63E91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F0F86D"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1772E2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33B0F3" w14:textId="77777777" w:rsidR="00000000" w:rsidRDefault="00EB4933">
            <w:pPr>
              <w:pStyle w:val="NormalWeb"/>
              <w:spacing w:before="0" w:beforeAutospacing="0" w:after="0" w:afterAutospacing="0"/>
              <w:rPr>
                <w:sz w:val="20"/>
                <w:szCs w:val="20"/>
              </w:rPr>
            </w:pPr>
            <w:r>
              <w:rPr>
                <w:sz w:val="20"/>
                <w:szCs w:val="20"/>
              </w:rPr>
              <w:t> </w:t>
            </w:r>
          </w:p>
        </w:tc>
      </w:tr>
      <w:tr w:rsidR="00000000" w14:paraId="5C0BD1AE" w14:textId="77777777">
        <w:trPr>
          <w:divId w:val="98525094"/>
          <w:trHeight w:val="225"/>
          <w:tblCellSpacing w:w="15" w:type="dxa"/>
        </w:trPr>
        <w:tc>
          <w:tcPr>
            <w:tcW w:w="0" w:type="auto"/>
            <w:shd w:val="clear" w:color="auto" w:fill="FFFFFF"/>
            <w:hideMark/>
          </w:tcPr>
          <w:p w14:paraId="0A9E04C2" w14:textId="77777777" w:rsidR="00000000" w:rsidRDefault="00EB4933">
            <w:pPr>
              <w:pStyle w:val="NormalWeb"/>
              <w:spacing w:before="0" w:beforeAutospacing="0" w:after="0" w:afterAutospacing="0"/>
              <w:rPr>
                <w:sz w:val="20"/>
                <w:szCs w:val="20"/>
              </w:rPr>
            </w:pPr>
            <w:r>
              <w:rPr>
                <w:sz w:val="20"/>
                <w:szCs w:val="20"/>
              </w:rPr>
              <w:t>Original loan disbursements (note 8)</w:t>
            </w:r>
          </w:p>
        </w:tc>
        <w:tc>
          <w:tcPr>
            <w:tcW w:w="50" w:type="pct"/>
            <w:shd w:val="clear" w:color="auto" w:fill="FFFFFF"/>
            <w:noWrap/>
            <w:vAlign w:val="center"/>
            <w:hideMark/>
          </w:tcPr>
          <w:p w14:paraId="6B292A3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545727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4455469" w14:textId="77777777" w:rsidR="00000000" w:rsidRDefault="00EB4933">
            <w:pPr>
              <w:jc w:val="right"/>
              <w:rPr>
                <w:rFonts w:eastAsia="Times New Roman"/>
                <w:sz w:val="20"/>
                <w:szCs w:val="20"/>
              </w:rPr>
            </w:pPr>
            <w:r>
              <w:rPr>
                <w:rFonts w:eastAsia="Times New Roman"/>
                <w:sz w:val="20"/>
                <w:szCs w:val="20"/>
              </w:rPr>
              <w:t>(397,190</w:t>
            </w:r>
          </w:p>
        </w:tc>
        <w:tc>
          <w:tcPr>
            <w:tcW w:w="50" w:type="pct"/>
            <w:shd w:val="clear" w:color="auto" w:fill="FFFFFF"/>
            <w:noWrap/>
            <w:vAlign w:val="bottom"/>
            <w:hideMark/>
          </w:tcPr>
          <w:p w14:paraId="22C432C9"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BDD1F8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10A94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33B246C" w14:textId="77777777" w:rsidR="00000000" w:rsidRDefault="00EB4933">
            <w:pPr>
              <w:jc w:val="right"/>
              <w:rPr>
                <w:rFonts w:eastAsia="Times New Roman"/>
                <w:sz w:val="20"/>
                <w:szCs w:val="20"/>
              </w:rPr>
            </w:pPr>
            <w:r>
              <w:rPr>
                <w:rFonts w:eastAsia="Times New Roman"/>
                <w:sz w:val="20"/>
                <w:szCs w:val="20"/>
              </w:rPr>
              <w:t>397,190</w:t>
            </w:r>
          </w:p>
        </w:tc>
        <w:tc>
          <w:tcPr>
            <w:tcW w:w="50" w:type="pct"/>
            <w:shd w:val="clear" w:color="auto" w:fill="FFFFFF"/>
            <w:noWrap/>
            <w:vAlign w:val="center"/>
            <w:hideMark/>
          </w:tcPr>
          <w:p w14:paraId="5EF100F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BF441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A34AC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57928F0"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42434D6" w14:textId="77777777" w:rsidR="00000000" w:rsidRDefault="00EB4933">
            <w:pPr>
              <w:pStyle w:val="NormalWeb"/>
              <w:spacing w:before="0" w:beforeAutospacing="0" w:after="0" w:afterAutospacing="0"/>
              <w:rPr>
                <w:sz w:val="20"/>
                <w:szCs w:val="20"/>
              </w:rPr>
            </w:pPr>
            <w:r>
              <w:rPr>
                <w:sz w:val="20"/>
                <w:szCs w:val="20"/>
              </w:rPr>
              <w:t> </w:t>
            </w:r>
          </w:p>
        </w:tc>
      </w:tr>
      <w:tr w:rsidR="00000000" w14:paraId="700C4287" w14:textId="77777777">
        <w:trPr>
          <w:divId w:val="98525094"/>
          <w:trHeight w:val="225"/>
          <w:tblCellSpacing w:w="15" w:type="dxa"/>
        </w:trPr>
        <w:tc>
          <w:tcPr>
            <w:tcW w:w="0" w:type="auto"/>
            <w:shd w:val="clear" w:color="auto" w:fill="CCEEFF"/>
            <w:hideMark/>
          </w:tcPr>
          <w:p w14:paraId="4C77D52E" w14:textId="77777777" w:rsidR="00000000" w:rsidRDefault="00EB4933">
            <w:pPr>
              <w:pStyle w:val="NormalWeb"/>
              <w:spacing w:before="0" w:beforeAutospacing="0" w:after="0" w:afterAutospacing="0"/>
              <w:rPr>
                <w:sz w:val="20"/>
                <w:szCs w:val="20"/>
              </w:rPr>
            </w:pPr>
            <w:r>
              <w:rPr>
                <w:sz w:val="20"/>
                <w:szCs w:val="20"/>
              </w:rPr>
              <w:t>Repayment of loan from customers (note 8)</w:t>
            </w:r>
          </w:p>
        </w:tc>
        <w:tc>
          <w:tcPr>
            <w:tcW w:w="50" w:type="pct"/>
            <w:shd w:val="clear" w:color="auto" w:fill="CCEEFF"/>
            <w:noWrap/>
            <w:vAlign w:val="center"/>
            <w:hideMark/>
          </w:tcPr>
          <w:p w14:paraId="2C3A1EC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BC773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53548AC" w14:textId="77777777" w:rsidR="00000000" w:rsidRDefault="00EB4933">
            <w:pPr>
              <w:jc w:val="right"/>
              <w:rPr>
                <w:rFonts w:eastAsia="Times New Roman"/>
                <w:sz w:val="20"/>
                <w:szCs w:val="20"/>
              </w:rPr>
            </w:pPr>
            <w:r>
              <w:rPr>
                <w:rFonts w:eastAsia="Times New Roman"/>
                <w:sz w:val="20"/>
                <w:szCs w:val="20"/>
              </w:rPr>
              <w:t>276,150</w:t>
            </w:r>
          </w:p>
        </w:tc>
        <w:tc>
          <w:tcPr>
            <w:tcW w:w="50" w:type="pct"/>
            <w:shd w:val="clear" w:color="auto" w:fill="CCEEFF"/>
            <w:noWrap/>
            <w:vAlign w:val="center"/>
            <w:hideMark/>
          </w:tcPr>
          <w:p w14:paraId="1831DF5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51624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33D93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520FF41" w14:textId="77777777" w:rsidR="00000000" w:rsidRDefault="00EB4933">
            <w:pPr>
              <w:jc w:val="right"/>
              <w:rPr>
                <w:rFonts w:eastAsia="Times New Roman"/>
                <w:sz w:val="20"/>
                <w:szCs w:val="20"/>
              </w:rPr>
            </w:pPr>
            <w:r>
              <w:rPr>
                <w:rFonts w:eastAsia="Times New Roman"/>
                <w:sz w:val="20"/>
                <w:szCs w:val="20"/>
              </w:rPr>
              <w:t>(276,150</w:t>
            </w:r>
          </w:p>
        </w:tc>
        <w:tc>
          <w:tcPr>
            <w:tcW w:w="50" w:type="pct"/>
            <w:shd w:val="clear" w:color="auto" w:fill="CCEEFF"/>
            <w:noWrap/>
            <w:vAlign w:val="bottom"/>
            <w:hideMark/>
          </w:tcPr>
          <w:p w14:paraId="5DED2625"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DDD48D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40FD9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14D1911"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5C77625" w14:textId="77777777" w:rsidR="00000000" w:rsidRDefault="00EB4933">
            <w:pPr>
              <w:pStyle w:val="NormalWeb"/>
              <w:spacing w:before="0" w:beforeAutospacing="0" w:after="0" w:afterAutospacing="0"/>
              <w:rPr>
                <w:sz w:val="20"/>
                <w:szCs w:val="20"/>
              </w:rPr>
            </w:pPr>
            <w:r>
              <w:rPr>
                <w:sz w:val="20"/>
                <w:szCs w:val="20"/>
              </w:rPr>
              <w:t> </w:t>
            </w:r>
          </w:p>
        </w:tc>
      </w:tr>
      <w:tr w:rsidR="00000000" w14:paraId="046543E4" w14:textId="77777777">
        <w:trPr>
          <w:divId w:val="98525094"/>
          <w:trHeight w:val="225"/>
          <w:tblCellSpacing w:w="15" w:type="dxa"/>
        </w:trPr>
        <w:tc>
          <w:tcPr>
            <w:tcW w:w="0" w:type="auto"/>
            <w:shd w:val="clear" w:color="auto" w:fill="FFFFFF"/>
            <w:hideMark/>
          </w:tcPr>
          <w:p w14:paraId="21613420" w14:textId="77777777" w:rsidR="00000000" w:rsidRDefault="00EB4933">
            <w:pPr>
              <w:pStyle w:val="NormalWeb"/>
              <w:spacing w:before="0" w:beforeAutospacing="0" w:after="0" w:afterAutospacing="0"/>
              <w:rPr>
                <w:sz w:val="20"/>
                <w:szCs w:val="20"/>
              </w:rPr>
            </w:pPr>
            <w:r>
              <w:rPr>
                <w:sz w:val="20"/>
                <w:szCs w:val="20"/>
              </w:rPr>
              <w:t>Prepayment for property</w:t>
            </w:r>
          </w:p>
        </w:tc>
        <w:tc>
          <w:tcPr>
            <w:tcW w:w="50" w:type="pct"/>
            <w:shd w:val="clear" w:color="auto" w:fill="FFFFFF"/>
            <w:noWrap/>
            <w:vAlign w:val="center"/>
            <w:hideMark/>
          </w:tcPr>
          <w:p w14:paraId="2919658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E57A9FA"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420CACB" w14:textId="77777777" w:rsidR="00000000" w:rsidRDefault="00EB4933">
            <w:pPr>
              <w:jc w:val="right"/>
              <w:rPr>
                <w:rFonts w:eastAsia="Times New Roman"/>
                <w:sz w:val="20"/>
                <w:szCs w:val="20"/>
              </w:rPr>
            </w:pPr>
            <w:r>
              <w:rPr>
                <w:rFonts w:eastAsia="Times New Roman"/>
                <w:sz w:val="20"/>
                <w:szCs w:val="20"/>
              </w:rPr>
              <w:t>(14,928</w:t>
            </w:r>
          </w:p>
        </w:tc>
        <w:tc>
          <w:tcPr>
            <w:tcW w:w="50" w:type="pct"/>
            <w:shd w:val="clear" w:color="auto" w:fill="FFFFFF"/>
            <w:noWrap/>
            <w:tcMar>
              <w:top w:w="0" w:type="dxa"/>
              <w:left w:w="0" w:type="dxa"/>
              <w:bottom w:w="15" w:type="dxa"/>
              <w:right w:w="0" w:type="dxa"/>
            </w:tcMar>
            <w:vAlign w:val="bottom"/>
            <w:hideMark/>
          </w:tcPr>
          <w:p w14:paraId="49108199"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94898B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118291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6ECDABA"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278FF21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46C14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D72B796"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4F9BEB3" w14:textId="77777777" w:rsidR="00000000" w:rsidRDefault="00EB4933">
            <w:pPr>
              <w:jc w:val="right"/>
              <w:rPr>
                <w:rFonts w:eastAsia="Times New Roman"/>
                <w:sz w:val="20"/>
                <w:szCs w:val="20"/>
              </w:rPr>
            </w:pPr>
            <w:r>
              <w:rPr>
                <w:rFonts w:eastAsia="Times New Roman"/>
                <w:sz w:val="20"/>
                <w:szCs w:val="20"/>
              </w:rPr>
              <w:t>(14,928</w:t>
            </w:r>
          </w:p>
        </w:tc>
        <w:tc>
          <w:tcPr>
            <w:tcW w:w="50" w:type="pct"/>
            <w:shd w:val="clear" w:color="auto" w:fill="FFFFFF"/>
            <w:noWrap/>
            <w:tcMar>
              <w:top w:w="0" w:type="dxa"/>
              <w:left w:w="0" w:type="dxa"/>
              <w:bottom w:w="15" w:type="dxa"/>
              <w:right w:w="0" w:type="dxa"/>
            </w:tcMar>
            <w:vAlign w:val="bottom"/>
            <w:hideMark/>
          </w:tcPr>
          <w:p w14:paraId="1C159E43" w14:textId="77777777" w:rsidR="00000000" w:rsidRDefault="00EB4933">
            <w:pPr>
              <w:rPr>
                <w:rFonts w:eastAsia="Times New Roman"/>
                <w:sz w:val="20"/>
                <w:szCs w:val="20"/>
              </w:rPr>
            </w:pPr>
            <w:r>
              <w:rPr>
                <w:rFonts w:eastAsia="Times New Roman"/>
                <w:sz w:val="20"/>
                <w:szCs w:val="20"/>
              </w:rPr>
              <w:t>)</w:t>
            </w:r>
          </w:p>
        </w:tc>
      </w:tr>
      <w:tr w:rsidR="00000000" w14:paraId="61E420AD" w14:textId="77777777">
        <w:trPr>
          <w:divId w:val="98525094"/>
          <w:trHeight w:val="225"/>
          <w:tblCellSpacing w:w="15" w:type="dxa"/>
        </w:trPr>
        <w:tc>
          <w:tcPr>
            <w:tcW w:w="0" w:type="auto"/>
            <w:shd w:val="clear" w:color="auto" w:fill="CCEEFF"/>
            <w:hideMark/>
          </w:tcPr>
          <w:p w14:paraId="3BEA233F" w14:textId="77777777" w:rsidR="00000000" w:rsidRDefault="00EB4933">
            <w:pPr>
              <w:pStyle w:val="NormalWeb"/>
              <w:spacing w:before="0" w:beforeAutospacing="0" w:after="0" w:afterAutospacing="0"/>
              <w:rPr>
                <w:sz w:val="20"/>
                <w:szCs w:val="20"/>
              </w:rPr>
            </w:pPr>
            <w:r>
              <w:rPr>
                <w:rStyle w:val="Strong"/>
                <w:sz w:val="20"/>
                <w:szCs w:val="20"/>
              </w:rPr>
              <w:t xml:space="preserve">Net cash used in investing activities </w:t>
            </w:r>
            <w:r>
              <w:rPr>
                <w:sz w:val="20"/>
                <w:szCs w:val="20"/>
              </w:rPr>
              <w:t>(note 8)</w:t>
            </w:r>
          </w:p>
        </w:tc>
        <w:tc>
          <w:tcPr>
            <w:tcW w:w="50" w:type="pct"/>
            <w:shd w:val="clear" w:color="auto" w:fill="CCEEFF"/>
            <w:noWrap/>
            <w:vAlign w:val="center"/>
            <w:hideMark/>
          </w:tcPr>
          <w:p w14:paraId="2057022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4FB4D7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7D7B541" w14:textId="77777777" w:rsidR="00000000" w:rsidRDefault="00EB4933">
            <w:pPr>
              <w:jc w:val="right"/>
              <w:rPr>
                <w:rFonts w:eastAsia="Times New Roman"/>
                <w:sz w:val="20"/>
                <w:szCs w:val="20"/>
              </w:rPr>
            </w:pPr>
            <w:r>
              <w:rPr>
                <w:rFonts w:eastAsia="Times New Roman"/>
                <w:sz w:val="20"/>
                <w:szCs w:val="20"/>
              </w:rPr>
              <w:t>(135,968</w:t>
            </w:r>
          </w:p>
        </w:tc>
        <w:tc>
          <w:tcPr>
            <w:tcW w:w="50" w:type="pct"/>
            <w:shd w:val="clear" w:color="auto" w:fill="CCEEFF"/>
            <w:noWrap/>
            <w:tcMar>
              <w:top w:w="0" w:type="dxa"/>
              <w:left w:w="0" w:type="dxa"/>
              <w:bottom w:w="15" w:type="dxa"/>
              <w:right w:w="0" w:type="dxa"/>
            </w:tcMar>
            <w:vAlign w:val="bottom"/>
            <w:hideMark/>
          </w:tcPr>
          <w:p w14:paraId="29517574"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51399EA"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C047761"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264A81E" w14:textId="77777777" w:rsidR="00000000" w:rsidRDefault="00EB4933">
            <w:pPr>
              <w:jc w:val="right"/>
              <w:rPr>
                <w:rFonts w:eastAsia="Times New Roman"/>
                <w:sz w:val="20"/>
                <w:szCs w:val="20"/>
              </w:rPr>
            </w:pPr>
            <w:r>
              <w:rPr>
                <w:rFonts w:eastAsia="Times New Roman"/>
                <w:sz w:val="20"/>
                <w:szCs w:val="20"/>
              </w:rPr>
              <w:t>121,040</w:t>
            </w:r>
          </w:p>
        </w:tc>
        <w:tc>
          <w:tcPr>
            <w:tcW w:w="50" w:type="pct"/>
            <w:shd w:val="clear" w:color="auto" w:fill="CCEEFF"/>
            <w:noWrap/>
            <w:tcMar>
              <w:top w:w="0" w:type="dxa"/>
              <w:left w:w="0" w:type="dxa"/>
              <w:bottom w:w="15" w:type="dxa"/>
              <w:right w:w="0" w:type="dxa"/>
            </w:tcMar>
            <w:vAlign w:val="center"/>
            <w:hideMark/>
          </w:tcPr>
          <w:p w14:paraId="4A92659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50DBE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211ED2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4C424A0" w14:textId="77777777" w:rsidR="00000000" w:rsidRDefault="00EB4933">
            <w:pPr>
              <w:jc w:val="right"/>
              <w:rPr>
                <w:rFonts w:eastAsia="Times New Roman"/>
                <w:sz w:val="20"/>
                <w:szCs w:val="20"/>
              </w:rPr>
            </w:pPr>
            <w:r>
              <w:rPr>
                <w:rFonts w:eastAsia="Times New Roman"/>
                <w:sz w:val="20"/>
                <w:szCs w:val="20"/>
              </w:rPr>
              <w:t>(14,928</w:t>
            </w:r>
          </w:p>
        </w:tc>
        <w:tc>
          <w:tcPr>
            <w:tcW w:w="50" w:type="pct"/>
            <w:shd w:val="clear" w:color="auto" w:fill="CCEEFF"/>
            <w:noWrap/>
            <w:tcMar>
              <w:top w:w="0" w:type="dxa"/>
              <w:left w:w="0" w:type="dxa"/>
              <w:bottom w:w="15" w:type="dxa"/>
              <w:right w:w="0" w:type="dxa"/>
            </w:tcMar>
            <w:vAlign w:val="bottom"/>
            <w:hideMark/>
          </w:tcPr>
          <w:p w14:paraId="43BDC2BA" w14:textId="77777777" w:rsidR="00000000" w:rsidRDefault="00EB4933">
            <w:pPr>
              <w:rPr>
                <w:rFonts w:eastAsia="Times New Roman"/>
                <w:sz w:val="20"/>
                <w:szCs w:val="20"/>
              </w:rPr>
            </w:pPr>
            <w:r>
              <w:rPr>
                <w:rFonts w:eastAsia="Times New Roman"/>
                <w:sz w:val="20"/>
                <w:szCs w:val="20"/>
              </w:rPr>
              <w:t>)</w:t>
            </w:r>
          </w:p>
        </w:tc>
      </w:tr>
      <w:tr w:rsidR="00000000" w14:paraId="38D64313" w14:textId="77777777">
        <w:trPr>
          <w:divId w:val="98525094"/>
          <w:trHeight w:val="225"/>
          <w:tblCellSpacing w:w="15" w:type="dxa"/>
        </w:trPr>
        <w:tc>
          <w:tcPr>
            <w:tcW w:w="0" w:type="auto"/>
            <w:shd w:val="clear" w:color="auto" w:fill="FFFFFF"/>
            <w:vAlign w:val="center"/>
            <w:hideMark/>
          </w:tcPr>
          <w:p w14:paraId="07C6752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8906A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D0F1F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CDF342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E1529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2AB6E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B6ED5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5BB27D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F581F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88709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536A9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42C8C0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03CCD7" w14:textId="77777777" w:rsidR="00000000" w:rsidRDefault="00EB4933">
            <w:pPr>
              <w:pStyle w:val="NormalWeb"/>
              <w:spacing w:before="0" w:beforeAutospacing="0" w:after="0" w:afterAutospacing="0"/>
              <w:rPr>
                <w:sz w:val="20"/>
                <w:szCs w:val="20"/>
              </w:rPr>
            </w:pPr>
            <w:r>
              <w:rPr>
                <w:sz w:val="20"/>
                <w:szCs w:val="20"/>
              </w:rPr>
              <w:t> </w:t>
            </w:r>
          </w:p>
        </w:tc>
      </w:tr>
      <w:tr w:rsidR="00000000" w14:paraId="3A906540" w14:textId="77777777">
        <w:trPr>
          <w:divId w:val="98525094"/>
          <w:trHeight w:val="225"/>
          <w:tblCellSpacing w:w="15" w:type="dxa"/>
        </w:trPr>
        <w:tc>
          <w:tcPr>
            <w:tcW w:w="0" w:type="auto"/>
            <w:shd w:val="clear" w:color="auto" w:fill="CCEEFF"/>
            <w:hideMark/>
          </w:tcPr>
          <w:p w14:paraId="0ED80A32" w14:textId="77777777" w:rsidR="00000000" w:rsidRDefault="00EB4933">
            <w:pPr>
              <w:pStyle w:val="NormalWeb"/>
              <w:spacing w:before="0" w:beforeAutospacing="0" w:after="0" w:afterAutospacing="0"/>
              <w:rPr>
                <w:sz w:val="20"/>
                <w:szCs w:val="20"/>
              </w:rPr>
            </w:pPr>
            <w:r>
              <w:rPr>
                <w:rStyle w:val="Strong"/>
                <w:sz w:val="20"/>
                <w:szCs w:val="20"/>
              </w:rPr>
              <w:t>Cash flow from financing activities</w:t>
            </w:r>
          </w:p>
        </w:tc>
        <w:tc>
          <w:tcPr>
            <w:tcW w:w="50" w:type="pct"/>
            <w:shd w:val="clear" w:color="auto" w:fill="CCEEFF"/>
            <w:noWrap/>
            <w:vAlign w:val="center"/>
            <w:hideMark/>
          </w:tcPr>
          <w:p w14:paraId="110BCEE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0DF46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B65BD8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24C10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0E136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0BBC9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A4F136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A8E7E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D5942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A0C8E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748E72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D82F04" w14:textId="77777777" w:rsidR="00000000" w:rsidRDefault="00EB4933">
            <w:pPr>
              <w:pStyle w:val="NormalWeb"/>
              <w:spacing w:before="0" w:beforeAutospacing="0" w:after="0" w:afterAutospacing="0"/>
              <w:rPr>
                <w:sz w:val="20"/>
                <w:szCs w:val="20"/>
              </w:rPr>
            </w:pPr>
            <w:r>
              <w:rPr>
                <w:sz w:val="20"/>
                <w:szCs w:val="20"/>
              </w:rPr>
              <w:t> </w:t>
            </w:r>
          </w:p>
        </w:tc>
      </w:tr>
      <w:tr w:rsidR="00000000" w14:paraId="49AA7680" w14:textId="77777777">
        <w:trPr>
          <w:divId w:val="98525094"/>
          <w:trHeight w:val="225"/>
          <w:tblCellSpacing w:w="15" w:type="dxa"/>
        </w:trPr>
        <w:tc>
          <w:tcPr>
            <w:tcW w:w="0" w:type="auto"/>
            <w:shd w:val="clear" w:color="auto" w:fill="FFFFFF"/>
            <w:hideMark/>
          </w:tcPr>
          <w:p w14:paraId="508915F4" w14:textId="77777777" w:rsidR="00000000" w:rsidRDefault="00EB4933">
            <w:pPr>
              <w:pStyle w:val="NormalWeb"/>
              <w:spacing w:before="0" w:beforeAutospacing="0" w:after="0" w:afterAutospacing="0"/>
              <w:rPr>
                <w:sz w:val="20"/>
                <w:szCs w:val="20"/>
              </w:rPr>
            </w:pPr>
            <w:r>
              <w:rPr>
                <w:sz w:val="20"/>
                <w:szCs w:val="20"/>
              </w:rPr>
              <w:t>Share issuance expenses (note 2)</w:t>
            </w:r>
          </w:p>
        </w:tc>
        <w:tc>
          <w:tcPr>
            <w:tcW w:w="50" w:type="pct"/>
            <w:shd w:val="clear" w:color="auto" w:fill="FFFFFF"/>
            <w:noWrap/>
            <w:vAlign w:val="center"/>
            <w:hideMark/>
          </w:tcPr>
          <w:p w14:paraId="361C09F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B7C1F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09819A2" w14:textId="77777777" w:rsidR="00000000" w:rsidRDefault="00EB4933">
            <w:pPr>
              <w:jc w:val="right"/>
              <w:rPr>
                <w:rFonts w:eastAsia="Times New Roman"/>
                <w:sz w:val="20"/>
                <w:szCs w:val="20"/>
              </w:rPr>
            </w:pPr>
            <w:r>
              <w:rPr>
                <w:rFonts w:eastAsia="Times New Roman"/>
                <w:sz w:val="20"/>
                <w:szCs w:val="20"/>
              </w:rPr>
              <w:t>(9,198</w:t>
            </w:r>
          </w:p>
        </w:tc>
        <w:tc>
          <w:tcPr>
            <w:tcW w:w="50" w:type="pct"/>
            <w:shd w:val="clear" w:color="auto" w:fill="FFFFFF"/>
            <w:noWrap/>
            <w:vAlign w:val="bottom"/>
            <w:hideMark/>
          </w:tcPr>
          <w:p w14:paraId="461C4906"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62A379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A419A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E786460" w14:textId="77777777" w:rsidR="00000000" w:rsidRDefault="00EB4933">
            <w:pPr>
              <w:jc w:val="right"/>
              <w:rPr>
                <w:rFonts w:eastAsia="Times New Roman"/>
                <w:sz w:val="20"/>
                <w:szCs w:val="20"/>
              </w:rPr>
            </w:pPr>
            <w:r>
              <w:rPr>
                <w:rFonts w:eastAsia="Times New Roman"/>
                <w:sz w:val="20"/>
                <w:szCs w:val="20"/>
              </w:rPr>
              <w:t>(6,429</w:t>
            </w:r>
          </w:p>
        </w:tc>
        <w:tc>
          <w:tcPr>
            <w:tcW w:w="50" w:type="pct"/>
            <w:shd w:val="clear" w:color="auto" w:fill="FFFFFF"/>
            <w:noWrap/>
            <w:vAlign w:val="bottom"/>
            <w:hideMark/>
          </w:tcPr>
          <w:p w14:paraId="0BAF6868"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34513B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12BE6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61E7A17" w14:textId="77777777" w:rsidR="00000000" w:rsidRDefault="00EB4933">
            <w:pPr>
              <w:jc w:val="right"/>
              <w:rPr>
                <w:rFonts w:eastAsia="Times New Roman"/>
                <w:sz w:val="20"/>
                <w:szCs w:val="20"/>
              </w:rPr>
            </w:pPr>
            <w:r>
              <w:rPr>
                <w:rFonts w:eastAsia="Times New Roman"/>
                <w:sz w:val="20"/>
                <w:szCs w:val="20"/>
              </w:rPr>
              <w:t>(15,627</w:t>
            </w:r>
          </w:p>
        </w:tc>
        <w:tc>
          <w:tcPr>
            <w:tcW w:w="50" w:type="pct"/>
            <w:shd w:val="clear" w:color="auto" w:fill="FFFFFF"/>
            <w:noWrap/>
            <w:vAlign w:val="bottom"/>
            <w:hideMark/>
          </w:tcPr>
          <w:p w14:paraId="7A3E78BA" w14:textId="77777777" w:rsidR="00000000" w:rsidRDefault="00EB4933">
            <w:pPr>
              <w:rPr>
                <w:rFonts w:eastAsia="Times New Roman"/>
                <w:sz w:val="20"/>
                <w:szCs w:val="20"/>
              </w:rPr>
            </w:pPr>
            <w:r>
              <w:rPr>
                <w:rFonts w:eastAsia="Times New Roman"/>
                <w:sz w:val="20"/>
                <w:szCs w:val="20"/>
              </w:rPr>
              <w:t>)</w:t>
            </w:r>
          </w:p>
        </w:tc>
      </w:tr>
      <w:tr w:rsidR="00000000" w14:paraId="023B8654" w14:textId="77777777">
        <w:trPr>
          <w:divId w:val="98525094"/>
          <w:trHeight w:val="225"/>
          <w:tblCellSpacing w:w="15" w:type="dxa"/>
        </w:trPr>
        <w:tc>
          <w:tcPr>
            <w:tcW w:w="0" w:type="auto"/>
            <w:shd w:val="clear" w:color="auto" w:fill="CCEEFF"/>
            <w:hideMark/>
          </w:tcPr>
          <w:p w14:paraId="2B90DAF4" w14:textId="77777777" w:rsidR="00000000" w:rsidRDefault="00EB4933">
            <w:pPr>
              <w:pStyle w:val="NormalWeb"/>
              <w:spacing w:before="0" w:beforeAutospacing="0" w:after="0" w:afterAutospacing="0"/>
              <w:rPr>
                <w:sz w:val="20"/>
                <w:szCs w:val="20"/>
              </w:rPr>
            </w:pPr>
            <w:r>
              <w:rPr>
                <w:sz w:val="20"/>
                <w:szCs w:val="20"/>
              </w:rPr>
              <w:t>Proceeds received from shareholders loans (note 9)</w:t>
            </w:r>
          </w:p>
        </w:tc>
        <w:tc>
          <w:tcPr>
            <w:tcW w:w="50" w:type="pct"/>
            <w:shd w:val="clear" w:color="auto" w:fill="CCEEFF"/>
            <w:noWrap/>
            <w:vAlign w:val="center"/>
            <w:hideMark/>
          </w:tcPr>
          <w:p w14:paraId="6F2C7CE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C1C2C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C5B148D" w14:textId="77777777" w:rsidR="00000000" w:rsidRDefault="00EB4933">
            <w:pPr>
              <w:jc w:val="right"/>
              <w:rPr>
                <w:rFonts w:eastAsia="Times New Roman"/>
                <w:sz w:val="20"/>
                <w:szCs w:val="20"/>
              </w:rPr>
            </w:pPr>
            <w:r>
              <w:rPr>
                <w:rFonts w:eastAsia="Times New Roman"/>
                <w:sz w:val="20"/>
                <w:szCs w:val="20"/>
              </w:rPr>
              <w:t>14,000</w:t>
            </w:r>
          </w:p>
        </w:tc>
        <w:tc>
          <w:tcPr>
            <w:tcW w:w="50" w:type="pct"/>
            <w:shd w:val="clear" w:color="auto" w:fill="CCEEFF"/>
            <w:noWrap/>
            <w:vAlign w:val="center"/>
            <w:hideMark/>
          </w:tcPr>
          <w:p w14:paraId="2D305C8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59C7A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4D6F7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3BA169A" w14:textId="77777777" w:rsidR="00000000" w:rsidRDefault="00EB4933">
            <w:pPr>
              <w:jc w:val="right"/>
              <w:rPr>
                <w:rFonts w:eastAsia="Times New Roman"/>
                <w:sz w:val="20"/>
                <w:szCs w:val="20"/>
              </w:rPr>
            </w:pPr>
            <w:r>
              <w:rPr>
                <w:rFonts w:eastAsia="Times New Roman"/>
                <w:sz w:val="20"/>
                <w:szCs w:val="20"/>
              </w:rPr>
              <w:t>38,600</w:t>
            </w:r>
          </w:p>
        </w:tc>
        <w:tc>
          <w:tcPr>
            <w:tcW w:w="50" w:type="pct"/>
            <w:shd w:val="clear" w:color="auto" w:fill="CCEEFF"/>
            <w:noWrap/>
            <w:vAlign w:val="center"/>
            <w:hideMark/>
          </w:tcPr>
          <w:p w14:paraId="0501DAC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32CD0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F12D8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56BC07F" w14:textId="77777777" w:rsidR="00000000" w:rsidRDefault="00EB4933">
            <w:pPr>
              <w:jc w:val="right"/>
              <w:rPr>
                <w:rFonts w:eastAsia="Times New Roman"/>
                <w:sz w:val="20"/>
                <w:szCs w:val="20"/>
              </w:rPr>
            </w:pPr>
            <w:r>
              <w:rPr>
                <w:rFonts w:eastAsia="Times New Roman"/>
                <w:sz w:val="20"/>
                <w:szCs w:val="20"/>
              </w:rPr>
              <w:t>52,600</w:t>
            </w:r>
          </w:p>
        </w:tc>
        <w:tc>
          <w:tcPr>
            <w:tcW w:w="50" w:type="pct"/>
            <w:shd w:val="clear" w:color="auto" w:fill="CCEEFF"/>
            <w:noWrap/>
            <w:vAlign w:val="center"/>
            <w:hideMark/>
          </w:tcPr>
          <w:p w14:paraId="51C4B408" w14:textId="77777777" w:rsidR="00000000" w:rsidRDefault="00EB4933">
            <w:pPr>
              <w:pStyle w:val="NormalWeb"/>
              <w:spacing w:before="0" w:beforeAutospacing="0" w:after="0" w:afterAutospacing="0"/>
              <w:rPr>
                <w:sz w:val="20"/>
                <w:szCs w:val="20"/>
              </w:rPr>
            </w:pPr>
            <w:r>
              <w:rPr>
                <w:sz w:val="20"/>
                <w:szCs w:val="20"/>
              </w:rPr>
              <w:t> </w:t>
            </w:r>
          </w:p>
        </w:tc>
      </w:tr>
      <w:tr w:rsidR="00000000" w14:paraId="27EF8FEC" w14:textId="77777777">
        <w:trPr>
          <w:divId w:val="98525094"/>
          <w:trHeight w:val="225"/>
          <w:tblCellSpacing w:w="15" w:type="dxa"/>
        </w:trPr>
        <w:tc>
          <w:tcPr>
            <w:tcW w:w="0" w:type="auto"/>
            <w:shd w:val="clear" w:color="auto" w:fill="FFFFFF"/>
            <w:hideMark/>
          </w:tcPr>
          <w:p w14:paraId="409CFBD0" w14:textId="77777777" w:rsidR="00000000" w:rsidRDefault="00EB4933">
            <w:pPr>
              <w:pStyle w:val="NormalWeb"/>
              <w:spacing w:before="0" w:beforeAutospacing="0" w:after="0" w:afterAutospacing="0"/>
              <w:rPr>
                <w:sz w:val="20"/>
                <w:szCs w:val="20"/>
              </w:rPr>
            </w:pPr>
            <w:r>
              <w:rPr>
                <w:sz w:val="20"/>
                <w:szCs w:val="20"/>
              </w:rPr>
              <w:t>Repayment of shareholders loans (note 9)</w:t>
            </w:r>
          </w:p>
        </w:tc>
        <w:tc>
          <w:tcPr>
            <w:tcW w:w="50" w:type="pct"/>
            <w:shd w:val="clear" w:color="auto" w:fill="FFFFFF"/>
            <w:noWrap/>
            <w:vAlign w:val="center"/>
            <w:hideMark/>
          </w:tcPr>
          <w:p w14:paraId="6175365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B2F8B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4FCF633" w14:textId="77777777" w:rsidR="00000000" w:rsidRDefault="00EB4933">
            <w:pPr>
              <w:jc w:val="right"/>
              <w:rPr>
                <w:rFonts w:eastAsia="Times New Roman"/>
                <w:sz w:val="20"/>
                <w:szCs w:val="20"/>
              </w:rPr>
            </w:pPr>
            <w:r>
              <w:rPr>
                <w:rFonts w:eastAsia="Times New Roman"/>
                <w:sz w:val="20"/>
                <w:szCs w:val="20"/>
              </w:rPr>
              <w:t>(4,000</w:t>
            </w:r>
          </w:p>
        </w:tc>
        <w:tc>
          <w:tcPr>
            <w:tcW w:w="50" w:type="pct"/>
            <w:shd w:val="clear" w:color="auto" w:fill="FFFFFF"/>
            <w:noWrap/>
            <w:vAlign w:val="bottom"/>
            <w:hideMark/>
          </w:tcPr>
          <w:p w14:paraId="677DDB51"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25395A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A02E3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B19969A" w14:textId="77777777" w:rsidR="00000000" w:rsidRDefault="00EB4933">
            <w:pPr>
              <w:jc w:val="right"/>
              <w:rPr>
                <w:rFonts w:eastAsia="Times New Roman"/>
                <w:sz w:val="20"/>
                <w:szCs w:val="20"/>
              </w:rPr>
            </w:pPr>
            <w:r>
              <w:rPr>
                <w:rFonts w:eastAsia="Times New Roman"/>
                <w:sz w:val="20"/>
                <w:szCs w:val="20"/>
              </w:rPr>
              <w:t>(38,600</w:t>
            </w:r>
          </w:p>
        </w:tc>
        <w:tc>
          <w:tcPr>
            <w:tcW w:w="50" w:type="pct"/>
            <w:shd w:val="clear" w:color="auto" w:fill="FFFFFF"/>
            <w:noWrap/>
            <w:vAlign w:val="bottom"/>
            <w:hideMark/>
          </w:tcPr>
          <w:p w14:paraId="6FB34245"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B02575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DD6B4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068CE31" w14:textId="77777777" w:rsidR="00000000" w:rsidRDefault="00EB4933">
            <w:pPr>
              <w:jc w:val="right"/>
              <w:rPr>
                <w:rFonts w:eastAsia="Times New Roman"/>
                <w:sz w:val="20"/>
                <w:szCs w:val="20"/>
              </w:rPr>
            </w:pPr>
            <w:r>
              <w:rPr>
                <w:rFonts w:eastAsia="Times New Roman"/>
                <w:sz w:val="20"/>
                <w:szCs w:val="20"/>
              </w:rPr>
              <w:t>(42,600</w:t>
            </w:r>
          </w:p>
        </w:tc>
        <w:tc>
          <w:tcPr>
            <w:tcW w:w="50" w:type="pct"/>
            <w:shd w:val="clear" w:color="auto" w:fill="FFFFFF"/>
            <w:noWrap/>
            <w:vAlign w:val="bottom"/>
            <w:hideMark/>
          </w:tcPr>
          <w:p w14:paraId="5FBB1A5F" w14:textId="77777777" w:rsidR="00000000" w:rsidRDefault="00EB4933">
            <w:pPr>
              <w:rPr>
                <w:rFonts w:eastAsia="Times New Roman"/>
                <w:sz w:val="20"/>
                <w:szCs w:val="20"/>
              </w:rPr>
            </w:pPr>
            <w:r>
              <w:rPr>
                <w:rFonts w:eastAsia="Times New Roman"/>
                <w:sz w:val="20"/>
                <w:szCs w:val="20"/>
              </w:rPr>
              <w:t>)</w:t>
            </w:r>
          </w:p>
        </w:tc>
      </w:tr>
      <w:tr w:rsidR="00000000" w14:paraId="7B7E0915" w14:textId="77777777">
        <w:trPr>
          <w:divId w:val="98525094"/>
          <w:trHeight w:val="225"/>
          <w:tblCellSpacing w:w="15" w:type="dxa"/>
        </w:trPr>
        <w:tc>
          <w:tcPr>
            <w:tcW w:w="0" w:type="auto"/>
            <w:shd w:val="clear" w:color="auto" w:fill="CCEEFF"/>
            <w:hideMark/>
          </w:tcPr>
          <w:p w14:paraId="2C71094F" w14:textId="77777777" w:rsidR="00000000" w:rsidRDefault="00EB4933">
            <w:pPr>
              <w:pStyle w:val="NormalWeb"/>
              <w:spacing w:before="0" w:beforeAutospacing="0" w:after="0" w:afterAutospacing="0"/>
              <w:rPr>
                <w:sz w:val="20"/>
                <w:szCs w:val="20"/>
              </w:rPr>
            </w:pPr>
            <w:r>
              <w:rPr>
                <w:sz w:val="20"/>
                <w:szCs w:val="20"/>
              </w:rPr>
              <w:t>Proceeds received from loans payable (note 9)</w:t>
            </w:r>
          </w:p>
        </w:tc>
        <w:tc>
          <w:tcPr>
            <w:tcW w:w="50" w:type="pct"/>
            <w:shd w:val="clear" w:color="auto" w:fill="CCEEFF"/>
            <w:noWrap/>
            <w:vAlign w:val="center"/>
            <w:hideMark/>
          </w:tcPr>
          <w:p w14:paraId="077ED48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AAD9D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073CE71" w14:textId="77777777" w:rsidR="00000000" w:rsidRDefault="00EB4933">
            <w:pPr>
              <w:jc w:val="right"/>
              <w:rPr>
                <w:rFonts w:eastAsia="Times New Roman"/>
                <w:sz w:val="20"/>
                <w:szCs w:val="20"/>
              </w:rPr>
            </w:pPr>
            <w:r>
              <w:rPr>
                <w:rFonts w:eastAsia="Times New Roman"/>
                <w:sz w:val="20"/>
                <w:szCs w:val="20"/>
              </w:rPr>
              <w:t>402,300</w:t>
            </w:r>
          </w:p>
        </w:tc>
        <w:tc>
          <w:tcPr>
            <w:tcW w:w="50" w:type="pct"/>
            <w:shd w:val="clear" w:color="auto" w:fill="CCEEFF"/>
            <w:noWrap/>
            <w:vAlign w:val="center"/>
            <w:hideMark/>
          </w:tcPr>
          <w:p w14:paraId="55C3ADE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F248A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D95C0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0AC1E9C" w14:textId="77777777" w:rsidR="00000000" w:rsidRDefault="00EB4933">
            <w:pPr>
              <w:jc w:val="right"/>
              <w:rPr>
                <w:rFonts w:eastAsia="Times New Roman"/>
                <w:sz w:val="20"/>
                <w:szCs w:val="20"/>
              </w:rPr>
            </w:pPr>
            <w:r>
              <w:rPr>
                <w:rFonts w:eastAsia="Times New Roman"/>
                <w:sz w:val="20"/>
                <w:szCs w:val="20"/>
              </w:rPr>
              <w:t>(38,600</w:t>
            </w:r>
          </w:p>
        </w:tc>
        <w:tc>
          <w:tcPr>
            <w:tcW w:w="50" w:type="pct"/>
            <w:shd w:val="clear" w:color="auto" w:fill="CCEEFF"/>
            <w:noWrap/>
            <w:vAlign w:val="bottom"/>
            <w:hideMark/>
          </w:tcPr>
          <w:p w14:paraId="361F04A3"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F01C35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B0EB6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B43AABA" w14:textId="77777777" w:rsidR="00000000" w:rsidRDefault="00EB4933">
            <w:pPr>
              <w:jc w:val="right"/>
              <w:rPr>
                <w:rFonts w:eastAsia="Times New Roman"/>
                <w:sz w:val="20"/>
                <w:szCs w:val="20"/>
              </w:rPr>
            </w:pPr>
            <w:r>
              <w:rPr>
                <w:rFonts w:eastAsia="Times New Roman"/>
                <w:sz w:val="20"/>
                <w:szCs w:val="20"/>
              </w:rPr>
              <w:t>363,700</w:t>
            </w:r>
          </w:p>
        </w:tc>
        <w:tc>
          <w:tcPr>
            <w:tcW w:w="50" w:type="pct"/>
            <w:shd w:val="clear" w:color="auto" w:fill="CCEEFF"/>
            <w:noWrap/>
            <w:vAlign w:val="center"/>
            <w:hideMark/>
          </w:tcPr>
          <w:p w14:paraId="4DF99961" w14:textId="77777777" w:rsidR="00000000" w:rsidRDefault="00EB4933">
            <w:pPr>
              <w:pStyle w:val="NormalWeb"/>
              <w:spacing w:before="0" w:beforeAutospacing="0" w:after="0" w:afterAutospacing="0"/>
              <w:rPr>
                <w:sz w:val="20"/>
                <w:szCs w:val="20"/>
              </w:rPr>
            </w:pPr>
            <w:r>
              <w:rPr>
                <w:sz w:val="20"/>
                <w:szCs w:val="20"/>
              </w:rPr>
              <w:t> </w:t>
            </w:r>
          </w:p>
        </w:tc>
      </w:tr>
      <w:tr w:rsidR="00000000" w14:paraId="7F5F4676" w14:textId="77777777">
        <w:trPr>
          <w:divId w:val="98525094"/>
          <w:trHeight w:val="225"/>
          <w:tblCellSpacing w:w="15" w:type="dxa"/>
        </w:trPr>
        <w:tc>
          <w:tcPr>
            <w:tcW w:w="0" w:type="auto"/>
            <w:shd w:val="clear" w:color="auto" w:fill="FFFFFF"/>
            <w:hideMark/>
          </w:tcPr>
          <w:p w14:paraId="2D2F6B95" w14:textId="77777777" w:rsidR="00000000" w:rsidRDefault="00EB4933">
            <w:pPr>
              <w:pStyle w:val="NormalWeb"/>
              <w:spacing w:before="0" w:beforeAutospacing="0" w:after="0" w:afterAutospacing="0"/>
              <w:rPr>
                <w:sz w:val="20"/>
                <w:szCs w:val="20"/>
              </w:rPr>
            </w:pPr>
            <w:r>
              <w:rPr>
                <w:sz w:val="20"/>
                <w:szCs w:val="20"/>
              </w:rPr>
              <w:t>Repayments of loans payable (note 9)</w:t>
            </w:r>
          </w:p>
        </w:tc>
        <w:tc>
          <w:tcPr>
            <w:tcW w:w="50" w:type="pct"/>
            <w:shd w:val="clear" w:color="auto" w:fill="FFFFFF"/>
            <w:noWrap/>
            <w:vAlign w:val="center"/>
            <w:hideMark/>
          </w:tcPr>
          <w:p w14:paraId="0F3EFDD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E9CB1E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C6145AD" w14:textId="77777777" w:rsidR="00000000" w:rsidRDefault="00EB4933">
            <w:pPr>
              <w:jc w:val="right"/>
              <w:rPr>
                <w:rFonts w:eastAsia="Times New Roman"/>
                <w:sz w:val="20"/>
                <w:szCs w:val="20"/>
              </w:rPr>
            </w:pPr>
            <w:r>
              <w:rPr>
                <w:rFonts w:eastAsia="Times New Roman"/>
                <w:sz w:val="20"/>
                <w:szCs w:val="20"/>
              </w:rPr>
              <w:t>(386,400</w:t>
            </w:r>
          </w:p>
        </w:tc>
        <w:tc>
          <w:tcPr>
            <w:tcW w:w="50" w:type="pct"/>
            <w:shd w:val="clear" w:color="auto" w:fill="FFFFFF"/>
            <w:noWrap/>
            <w:tcMar>
              <w:top w:w="0" w:type="dxa"/>
              <w:left w:w="0" w:type="dxa"/>
              <w:bottom w:w="15" w:type="dxa"/>
              <w:right w:w="0" w:type="dxa"/>
            </w:tcMar>
            <w:vAlign w:val="bottom"/>
            <w:hideMark/>
          </w:tcPr>
          <w:p w14:paraId="1ABAF390"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11E9C8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E66B56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5497D78" w14:textId="77777777" w:rsidR="00000000" w:rsidRDefault="00EB4933">
            <w:pPr>
              <w:jc w:val="right"/>
              <w:rPr>
                <w:rFonts w:eastAsia="Times New Roman"/>
                <w:sz w:val="20"/>
                <w:szCs w:val="20"/>
              </w:rPr>
            </w:pPr>
            <w:r>
              <w:rPr>
                <w:rFonts w:eastAsia="Times New Roman"/>
                <w:sz w:val="20"/>
                <w:szCs w:val="20"/>
              </w:rPr>
              <w:t>38,600</w:t>
            </w:r>
          </w:p>
        </w:tc>
        <w:tc>
          <w:tcPr>
            <w:tcW w:w="50" w:type="pct"/>
            <w:shd w:val="clear" w:color="auto" w:fill="FFFFFF"/>
            <w:noWrap/>
            <w:tcMar>
              <w:top w:w="0" w:type="dxa"/>
              <w:left w:w="0" w:type="dxa"/>
              <w:bottom w:w="15" w:type="dxa"/>
              <w:right w:w="0" w:type="dxa"/>
            </w:tcMar>
            <w:vAlign w:val="center"/>
            <w:hideMark/>
          </w:tcPr>
          <w:p w14:paraId="0F5F2AA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F41C2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FE851E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E9A763D" w14:textId="77777777" w:rsidR="00000000" w:rsidRDefault="00EB4933">
            <w:pPr>
              <w:jc w:val="right"/>
              <w:rPr>
                <w:rFonts w:eastAsia="Times New Roman"/>
                <w:sz w:val="20"/>
                <w:szCs w:val="20"/>
              </w:rPr>
            </w:pPr>
            <w:r>
              <w:rPr>
                <w:rFonts w:eastAsia="Times New Roman"/>
                <w:sz w:val="20"/>
                <w:szCs w:val="20"/>
              </w:rPr>
              <w:t>(347,800</w:t>
            </w:r>
          </w:p>
        </w:tc>
        <w:tc>
          <w:tcPr>
            <w:tcW w:w="50" w:type="pct"/>
            <w:shd w:val="clear" w:color="auto" w:fill="FFFFFF"/>
            <w:noWrap/>
            <w:tcMar>
              <w:top w:w="0" w:type="dxa"/>
              <w:left w:w="0" w:type="dxa"/>
              <w:bottom w:w="15" w:type="dxa"/>
              <w:right w:w="0" w:type="dxa"/>
            </w:tcMar>
            <w:vAlign w:val="bottom"/>
            <w:hideMark/>
          </w:tcPr>
          <w:p w14:paraId="16B6D6E8" w14:textId="77777777" w:rsidR="00000000" w:rsidRDefault="00EB4933">
            <w:pPr>
              <w:rPr>
                <w:rFonts w:eastAsia="Times New Roman"/>
                <w:sz w:val="20"/>
                <w:szCs w:val="20"/>
              </w:rPr>
            </w:pPr>
            <w:r>
              <w:rPr>
                <w:rFonts w:eastAsia="Times New Roman"/>
                <w:sz w:val="20"/>
                <w:szCs w:val="20"/>
              </w:rPr>
              <w:t>)</w:t>
            </w:r>
          </w:p>
        </w:tc>
      </w:tr>
      <w:tr w:rsidR="00000000" w14:paraId="41F24A4D" w14:textId="77777777">
        <w:trPr>
          <w:divId w:val="98525094"/>
          <w:trHeight w:val="225"/>
          <w:tblCellSpacing w:w="15" w:type="dxa"/>
        </w:trPr>
        <w:tc>
          <w:tcPr>
            <w:tcW w:w="0" w:type="auto"/>
            <w:shd w:val="clear" w:color="auto" w:fill="CCEEFF"/>
            <w:hideMark/>
          </w:tcPr>
          <w:p w14:paraId="051F2850" w14:textId="77777777" w:rsidR="00000000" w:rsidRDefault="00EB4933">
            <w:pPr>
              <w:pStyle w:val="NormalWeb"/>
              <w:spacing w:before="0" w:beforeAutospacing="0" w:after="0" w:afterAutospacing="0"/>
              <w:rPr>
                <w:sz w:val="20"/>
                <w:szCs w:val="20"/>
              </w:rPr>
            </w:pPr>
            <w:r>
              <w:rPr>
                <w:rStyle w:val="Strong"/>
                <w:sz w:val="20"/>
                <w:szCs w:val="20"/>
              </w:rPr>
              <w:t>Net cash generated by financing activities</w:t>
            </w:r>
          </w:p>
        </w:tc>
        <w:tc>
          <w:tcPr>
            <w:tcW w:w="50" w:type="pct"/>
            <w:shd w:val="clear" w:color="auto" w:fill="CCEEFF"/>
            <w:noWrap/>
            <w:vAlign w:val="center"/>
            <w:hideMark/>
          </w:tcPr>
          <w:p w14:paraId="175A39E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B6B957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9524541" w14:textId="77777777" w:rsidR="00000000" w:rsidRDefault="00EB4933">
            <w:pPr>
              <w:jc w:val="right"/>
              <w:rPr>
                <w:rFonts w:eastAsia="Times New Roman"/>
                <w:sz w:val="20"/>
                <w:szCs w:val="20"/>
              </w:rPr>
            </w:pPr>
            <w:r>
              <w:rPr>
                <w:rFonts w:eastAsia="Times New Roman"/>
                <w:sz w:val="20"/>
                <w:szCs w:val="20"/>
              </w:rPr>
              <w:t>16,702</w:t>
            </w:r>
          </w:p>
        </w:tc>
        <w:tc>
          <w:tcPr>
            <w:tcW w:w="50" w:type="pct"/>
            <w:shd w:val="clear" w:color="auto" w:fill="CCEEFF"/>
            <w:noWrap/>
            <w:tcMar>
              <w:top w:w="0" w:type="dxa"/>
              <w:left w:w="0" w:type="dxa"/>
              <w:bottom w:w="15" w:type="dxa"/>
              <w:right w:w="0" w:type="dxa"/>
            </w:tcMar>
            <w:vAlign w:val="center"/>
            <w:hideMark/>
          </w:tcPr>
          <w:p w14:paraId="1437CA0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B4E01E0"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AAAC2F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40680B5" w14:textId="77777777" w:rsidR="00000000" w:rsidRDefault="00EB4933">
            <w:pPr>
              <w:jc w:val="right"/>
              <w:rPr>
                <w:rFonts w:eastAsia="Times New Roman"/>
                <w:sz w:val="20"/>
                <w:szCs w:val="20"/>
              </w:rPr>
            </w:pPr>
            <w:r>
              <w:rPr>
                <w:rFonts w:eastAsia="Times New Roman"/>
                <w:sz w:val="20"/>
                <w:szCs w:val="20"/>
              </w:rPr>
              <w:t>(6,429</w:t>
            </w:r>
          </w:p>
        </w:tc>
        <w:tc>
          <w:tcPr>
            <w:tcW w:w="50" w:type="pct"/>
            <w:shd w:val="clear" w:color="auto" w:fill="CCEEFF"/>
            <w:noWrap/>
            <w:tcMar>
              <w:top w:w="0" w:type="dxa"/>
              <w:left w:w="0" w:type="dxa"/>
              <w:bottom w:w="15" w:type="dxa"/>
              <w:right w:w="0" w:type="dxa"/>
            </w:tcMar>
            <w:vAlign w:val="bottom"/>
            <w:hideMark/>
          </w:tcPr>
          <w:p w14:paraId="488466B6"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A652E7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6B500C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8EB6878" w14:textId="77777777" w:rsidR="00000000" w:rsidRDefault="00EB4933">
            <w:pPr>
              <w:jc w:val="right"/>
              <w:rPr>
                <w:rFonts w:eastAsia="Times New Roman"/>
                <w:sz w:val="20"/>
                <w:szCs w:val="20"/>
              </w:rPr>
            </w:pPr>
            <w:r>
              <w:rPr>
                <w:rFonts w:eastAsia="Times New Roman"/>
                <w:sz w:val="20"/>
                <w:szCs w:val="20"/>
              </w:rPr>
              <w:t>10,273</w:t>
            </w:r>
          </w:p>
        </w:tc>
        <w:tc>
          <w:tcPr>
            <w:tcW w:w="50" w:type="pct"/>
            <w:shd w:val="clear" w:color="auto" w:fill="CCEEFF"/>
            <w:noWrap/>
            <w:tcMar>
              <w:top w:w="0" w:type="dxa"/>
              <w:left w:w="0" w:type="dxa"/>
              <w:bottom w:w="15" w:type="dxa"/>
              <w:right w:w="0" w:type="dxa"/>
            </w:tcMar>
            <w:vAlign w:val="center"/>
            <w:hideMark/>
          </w:tcPr>
          <w:p w14:paraId="5A13BACE" w14:textId="77777777" w:rsidR="00000000" w:rsidRDefault="00EB4933">
            <w:pPr>
              <w:pStyle w:val="NormalWeb"/>
              <w:spacing w:before="0" w:beforeAutospacing="0" w:after="0" w:afterAutospacing="0"/>
              <w:rPr>
                <w:sz w:val="20"/>
                <w:szCs w:val="20"/>
              </w:rPr>
            </w:pPr>
            <w:r>
              <w:rPr>
                <w:sz w:val="20"/>
                <w:szCs w:val="20"/>
              </w:rPr>
              <w:t> </w:t>
            </w:r>
          </w:p>
        </w:tc>
      </w:tr>
      <w:tr w:rsidR="00000000" w14:paraId="17DD4906" w14:textId="77777777">
        <w:trPr>
          <w:divId w:val="98525094"/>
          <w:trHeight w:val="225"/>
          <w:tblCellSpacing w:w="15" w:type="dxa"/>
        </w:trPr>
        <w:tc>
          <w:tcPr>
            <w:tcW w:w="0" w:type="auto"/>
            <w:shd w:val="clear" w:color="auto" w:fill="FFFFFF"/>
            <w:vAlign w:val="center"/>
            <w:hideMark/>
          </w:tcPr>
          <w:p w14:paraId="0719412C" w14:textId="77777777" w:rsidR="00000000" w:rsidRDefault="00EB4933">
            <w:pPr>
              <w:pStyle w:val="NormalWeb"/>
              <w:spacing w:before="0" w:beforeAutospacing="0" w:after="0" w:afterAutospacing="0"/>
              <w:rPr>
                <w:sz w:val="20"/>
                <w:szCs w:val="20"/>
              </w:rPr>
            </w:pPr>
            <w:r>
              <w:rPr>
                <w:sz w:val="20"/>
                <w:szCs w:val="20"/>
              </w:rPr>
              <w:lastRenderedPageBreak/>
              <w:t> </w:t>
            </w:r>
          </w:p>
        </w:tc>
        <w:tc>
          <w:tcPr>
            <w:tcW w:w="50" w:type="pct"/>
            <w:shd w:val="clear" w:color="auto" w:fill="FFFFFF"/>
            <w:noWrap/>
            <w:vAlign w:val="center"/>
            <w:hideMark/>
          </w:tcPr>
          <w:p w14:paraId="6EE5D64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5947F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62AAC2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E1BB48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E8A34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CC187C"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AD40A0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91F5E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946C3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07B7F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1297DF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D20A2D" w14:textId="77777777" w:rsidR="00000000" w:rsidRDefault="00EB4933">
            <w:pPr>
              <w:pStyle w:val="NormalWeb"/>
              <w:spacing w:before="0" w:beforeAutospacing="0" w:after="0" w:afterAutospacing="0"/>
              <w:rPr>
                <w:sz w:val="20"/>
                <w:szCs w:val="20"/>
              </w:rPr>
            </w:pPr>
            <w:r>
              <w:rPr>
                <w:sz w:val="20"/>
                <w:szCs w:val="20"/>
              </w:rPr>
              <w:t> </w:t>
            </w:r>
          </w:p>
        </w:tc>
      </w:tr>
      <w:tr w:rsidR="00000000" w14:paraId="762A87AA" w14:textId="77777777">
        <w:trPr>
          <w:divId w:val="98525094"/>
          <w:trHeight w:val="225"/>
          <w:tblCellSpacing w:w="15" w:type="dxa"/>
        </w:trPr>
        <w:tc>
          <w:tcPr>
            <w:tcW w:w="0" w:type="auto"/>
            <w:shd w:val="clear" w:color="auto" w:fill="CCEEFF"/>
            <w:hideMark/>
          </w:tcPr>
          <w:p w14:paraId="1F473B81" w14:textId="77777777" w:rsidR="00000000" w:rsidRDefault="00EB4933">
            <w:pPr>
              <w:pStyle w:val="NormalWeb"/>
              <w:spacing w:before="0" w:beforeAutospacing="0" w:after="0" w:afterAutospacing="0"/>
              <w:rPr>
                <w:sz w:val="20"/>
                <w:szCs w:val="20"/>
              </w:rPr>
            </w:pPr>
            <w:r>
              <w:rPr>
                <w:sz w:val="20"/>
                <w:szCs w:val="20"/>
              </w:rPr>
              <w:t>Net decrease in cash and cash equivalents</w:t>
            </w:r>
          </w:p>
        </w:tc>
        <w:tc>
          <w:tcPr>
            <w:tcW w:w="50" w:type="pct"/>
            <w:shd w:val="clear" w:color="auto" w:fill="CCEEFF"/>
            <w:noWrap/>
            <w:vAlign w:val="center"/>
            <w:hideMark/>
          </w:tcPr>
          <w:p w14:paraId="0AC292E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8AE6A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CC0B2F3" w14:textId="77777777" w:rsidR="00000000" w:rsidRDefault="00EB4933">
            <w:pPr>
              <w:jc w:val="right"/>
              <w:rPr>
                <w:rFonts w:eastAsia="Times New Roman"/>
                <w:sz w:val="20"/>
                <w:szCs w:val="20"/>
              </w:rPr>
            </w:pPr>
            <w:r>
              <w:rPr>
                <w:rFonts w:eastAsia="Times New Roman"/>
                <w:sz w:val="20"/>
                <w:szCs w:val="20"/>
              </w:rPr>
              <w:t>(75,074</w:t>
            </w:r>
          </w:p>
        </w:tc>
        <w:tc>
          <w:tcPr>
            <w:tcW w:w="50" w:type="pct"/>
            <w:shd w:val="clear" w:color="auto" w:fill="CCEEFF"/>
            <w:noWrap/>
            <w:vAlign w:val="bottom"/>
            <w:hideMark/>
          </w:tcPr>
          <w:p w14:paraId="279DD2EB"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CB1558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2A821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BCE98BA"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FC623F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5F63A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7F914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DF4474D" w14:textId="77777777" w:rsidR="00000000" w:rsidRDefault="00EB4933">
            <w:pPr>
              <w:jc w:val="right"/>
              <w:rPr>
                <w:rFonts w:eastAsia="Times New Roman"/>
                <w:sz w:val="20"/>
                <w:szCs w:val="20"/>
              </w:rPr>
            </w:pPr>
            <w:r>
              <w:rPr>
                <w:rFonts w:eastAsia="Times New Roman"/>
                <w:sz w:val="20"/>
                <w:szCs w:val="20"/>
              </w:rPr>
              <w:t>(75,074</w:t>
            </w:r>
          </w:p>
        </w:tc>
        <w:tc>
          <w:tcPr>
            <w:tcW w:w="50" w:type="pct"/>
            <w:shd w:val="clear" w:color="auto" w:fill="CCEEFF"/>
            <w:noWrap/>
            <w:vAlign w:val="bottom"/>
            <w:hideMark/>
          </w:tcPr>
          <w:p w14:paraId="0F6022FA" w14:textId="77777777" w:rsidR="00000000" w:rsidRDefault="00EB4933">
            <w:pPr>
              <w:rPr>
                <w:rFonts w:eastAsia="Times New Roman"/>
                <w:sz w:val="20"/>
                <w:szCs w:val="20"/>
              </w:rPr>
            </w:pPr>
            <w:r>
              <w:rPr>
                <w:rFonts w:eastAsia="Times New Roman"/>
                <w:sz w:val="20"/>
                <w:szCs w:val="20"/>
              </w:rPr>
              <w:t>)</w:t>
            </w:r>
          </w:p>
        </w:tc>
      </w:tr>
      <w:tr w:rsidR="00000000" w14:paraId="2CA3184B" w14:textId="77777777">
        <w:trPr>
          <w:divId w:val="98525094"/>
          <w:trHeight w:val="225"/>
          <w:tblCellSpacing w:w="15" w:type="dxa"/>
        </w:trPr>
        <w:tc>
          <w:tcPr>
            <w:tcW w:w="0" w:type="auto"/>
            <w:shd w:val="clear" w:color="auto" w:fill="FFFFFF"/>
            <w:hideMark/>
          </w:tcPr>
          <w:p w14:paraId="58A38376" w14:textId="77777777" w:rsidR="00000000" w:rsidRDefault="00EB4933">
            <w:pPr>
              <w:pStyle w:val="NormalWeb"/>
              <w:spacing w:before="0" w:beforeAutospacing="0" w:after="0" w:afterAutospacing="0"/>
              <w:rPr>
                <w:sz w:val="20"/>
                <w:szCs w:val="20"/>
              </w:rPr>
            </w:pPr>
            <w:r>
              <w:rPr>
                <w:sz w:val="20"/>
                <w:szCs w:val="20"/>
              </w:rPr>
              <w:t>Cash and cash equivalents at beginning of year</w:t>
            </w:r>
          </w:p>
        </w:tc>
        <w:tc>
          <w:tcPr>
            <w:tcW w:w="50" w:type="pct"/>
            <w:shd w:val="clear" w:color="auto" w:fill="FFFFFF"/>
            <w:noWrap/>
            <w:vAlign w:val="center"/>
            <w:hideMark/>
          </w:tcPr>
          <w:p w14:paraId="13F725B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B6E2A1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C512A3E" w14:textId="77777777" w:rsidR="00000000" w:rsidRDefault="00EB4933">
            <w:pPr>
              <w:jc w:val="right"/>
              <w:rPr>
                <w:rFonts w:eastAsia="Times New Roman"/>
                <w:sz w:val="20"/>
                <w:szCs w:val="20"/>
              </w:rPr>
            </w:pPr>
            <w:r>
              <w:rPr>
                <w:rFonts w:eastAsia="Times New Roman"/>
                <w:sz w:val="20"/>
                <w:szCs w:val="20"/>
              </w:rPr>
              <w:t>96,791</w:t>
            </w:r>
          </w:p>
        </w:tc>
        <w:tc>
          <w:tcPr>
            <w:tcW w:w="50" w:type="pct"/>
            <w:shd w:val="clear" w:color="auto" w:fill="FFFFFF"/>
            <w:noWrap/>
            <w:tcMar>
              <w:top w:w="0" w:type="dxa"/>
              <w:left w:w="0" w:type="dxa"/>
              <w:bottom w:w="15" w:type="dxa"/>
              <w:right w:w="0" w:type="dxa"/>
            </w:tcMar>
            <w:vAlign w:val="center"/>
            <w:hideMark/>
          </w:tcPr>
          <w:p w14:paraId="70CE525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3A51FD"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668242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4401D27"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7AAB162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7D4D0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200D96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5A08E9E" w14:textId="77777777" w:rsidR="00000000" w:rsidRDefault="00EB4933">
            <w:pPr>
              <w:jc w:val="right"/>
              <w:rPr>
                <w:rFonts w:eastAsia="Times New Roman"/>
                <w:sz w:val="20"/>
                <w:szCs w:val="20"/>
              </w:rPr>
            </w:pPr>
            <w:r>
              <w:rPr>
                <w:rFonts w:eastAsia="Times New Roman"/>
                <w:sz w:val="20"/>
                <w:szCs w:val="20"/>
              </w:rPr>
              <w:t>96,791</w:t>
            </w:r>
          </w:p>
        </w:tc>
        <w:tc>
          <w:tcPr>
            <w:tcW w:w="50" w:type="pct"/>
            <w:shd w:val="clear" w:color="auto" w:fill="FFFFFF"/>
            <w:noWrap/>
            <w:tcMar>
              <w:top w:w="0" w:type="dxa"/>
              <w:left w:w="0" w:type="dxa"/>
              <w:bottom w:w="15" w:type="dxa"/>
              <w:right w:w="0" w:type="dxa"/>
            </w:tcMar>
            <w:vAlign w:val="center"/>
            <w:hideMark/>
          </w:tcPr>
          <w:p w14:paraId="5B8C3391" w14:textId="77777777" w:rsidR="00000000" w:rsidRDefault="00EB4933">
            <w:pPr>
              <w:pStyle w:val="NormalWeb"/>
              <w:spacing w:before="0" w:beforeAutospacing="0" w:after="0" w:afterAutospacing="0"/>
              <w:rPr>
                <w:sz w:val="20"/>
                <w:szCs w:val="20"/>
              </w:rPr>
            </w:pPr>
            <w:r>
              <w:rPr>
                <w:sz w:val="20"/>
                <w:szCs w:val="20"/>
              </w:rPr>
              <w:t> </w:t>
            </w:r>
          </w:p>
        </w:tc>
      </w:tr>
      <w:tr w:rsidR="00000000" w14:paraId="0CFAE410" w14:textId="77777777">
        <w:trPr>
          <w:divId w:val="98525094"/>
          <w:trHeight w:val="225"/>
          <w:tblCellSpacing w:w="15" w:type="dxa"/>
        </w:trPr>
        <w:tc>
          <w:tcPr>
            <w:tcW w:w="0" w:type="auto"/>
            <w:shd w:val="clear" w:color="auto" w:fill="CCEEFF"/>
            <w:hideMark/>
          </w:tcPr>
          <w:p w14:paraId="07E7CE31" w14:textId="77777777" w:rsidR="00000000" w:rsidRDefault="00EB4933">
            <w:pPr>
              <w:pStyle w:val="NormalWeb"/>
              <w:spacing w:before="0" w:beforeAutospacing="0" w:after="0" w:afterAutospacing="0"/>
              <w:rPr>
                <w:sz w:val="20"/>
                <w:szCs w:val="20"/>
              </w:rPr>
            </w:pPr>
            <w:r>
              <w:rPr>
                <w:sz w:val="20"/>
                <w:szCs w:val="20"/>
              </w:rPr>
              <w:t>Cash and cash equivalents at end of year</w:t>
            </w:r>
          </w:p>
        </w:tc>
        <w:tc>
          <w:tcPr>
            <w:tcW w:w="50" w:type="pct"/>
            <w:shd w:val="clear" w:color="auto" w:fill="CCEEFF"/>
            <w:noWrap/>
            <w:vAlign w:val="center"/>
            <w:hideMark/>
          </w:tcPr>
          <w:p w14:paraId="62DDD23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2D66C7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270BB499" w14:textId="77777777" w:rsidR="00000000" w:rsidRDefault="00EB4933">
            <w:pPr>
              <w:jc w:val="right"/>
              <w:rPr>
                <w:rFonts w:eastAsia="Times New Roman"/>
                <w:sz w:val="20"/>
                <w:szCs w:val="20"/>
              </w:rPr>
            </w:pPr>
            <w:r>
              <w:rPr>
                <w:rFonts w:eastAsia="Times New Roman"/>
                <w:sz w:val="20"/>
                <w:szCs w:val="20"/>
              </w:rPr>
              <w:t>21,717</w:t>
            </w:r>
          </w:p>
        </w:tc>
        <w:tc>
          <w:tcPr>
            <w:tcW w:w="50" w:type="pct"/>
            <w:shd w:val="clear" w:color="auto" w:fill="CCEEFF"/>
            <w:noWrap/>
            <w:tcMar>
              <w:top w:w="0" w:type="dxa"/>
              <w:left w:w="0" w:type="dxa"/>
              <w:bottom w:w="45" w:type="dxa"/>
              <w:right w:w="0" w:type="dxa"/>
            </w:tcMar>
            <w:vAlign w:val="center"/>
            <w:hideMark/>
          </w:tcPr>
          <w:p w14:paraId="071C213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33B17E"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32D1F8B"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151FD923"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45" w:type="dxa"/>
              <w:right w:w="0" w:type="dxa"/>
            </w:tcMar>
            <w:vAlign w:val="center"/>
            <w:hideMark/>
          </w:tcPr>
          <w:p w14:paraId="01D9CBB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67ECB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CF0F0C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double" w:sz="6" w:space="0" w:color="auto"/>
            </w:tcBorders>
            <w:shd w:val="clear" w:color="auto" w:fill="CCEEFF"/>
            <w:vAlign w:val="bottom"/>
            <w:hideMark/>
          </w:tcPr>
          <w:p w14:paraId="42524ABA" w14:textId="77777777" w:rsidR="00000000" w:rsidRDefault="00EB4933">
            <w:pPr>
              <w:jc w:val="right"/>
              <w:rPr>
                <w:rFonts w:eastAsia="Times New Roman"/>
                <w:sz w:val="20"/>
                <w:szCs w:val="20"/>
              </w:rPr>
            </w:pPr>
            <w:r>
              <w:rPr>
                <w:rFonts w:eastAsia="Times New Roman"/>
                <w:sz w:val="20"/>
                <w:szCs w:val="20"/>
              </w:rPr>
              <w:t>21,717</w:t>
            </w:r>
          </w:p>
        </w:tc>
        <w:tc>
          <w:tcPr>
            <w:tcW w:w="50" w:type="pct"/>
            <w:shd w:val="clear" w:color="auto" w:fill="CCEEFF"/>
            <w:noWrap/>
            <w:tcMar>
              <w:top w:w="0" w:type="dxa"/>
              <w:left w:w="0" w:type="dxa"/>
              <w:bottom w:w="45" w:type="dxa"/>
              <w:right w:w="0" w:type="dxa"/>
            </w:tcMar>
            <w:vAlign w:val="center"/>
            <w:hideMark/>
          </w:tcPr>
          <w:p w14:paraId="6A099736" w14:textId="77777777" w:rsidR="00000000" w:rsidRDefault="00EB4933">
            <w:pPr>
              <w:pStyle w:val="NormalWeb"/>
              <w:spacing w:before="0" w:beforeAutospacing="0" w:after="0" w:afterAutospacing="0"/>
              <w:rPr>
                <w:sz w:val="20"/>
                <w:szCs w:val="20"/>
              </w:rPr>
            </w:pPr>
            <w:r>
              <w:rPr>
                <w:sz w:val="20"/>
                <w:szCs w:val="20"/>
              </w:rPr>
              <w:t> </w:t>
            </w:r>
          </w:p>
        </w:tc>
      </w:tr>
    </w:tbl>
    <w:p w14:paraId="100BED71"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62451C2" w14:textId="77777777">
        <w:trPr>
          <w:divId w:val="98525094"/>
          <w:trHeight w:val="225"/>
          <w:tblCellSpacing w:w="15" w:type="dxa"/>
        </w:trPr>
        <w:tc>
          <w:tcPr>
            <w:tcW w:w="0" w:type="auto"/>
            <w:vAlign w:val="center"/>
            <w:hideMark/>
          </w:tcPr>
          <w:p w14:paraId="34A0C14C" w14:textId="77777777" w:rsidR="00000000" w:rsidRDefault="00EB4933">
            <w:pPr>
              <w:rPr>
                <w:sz w:val="20"/>
                <w:szCs w:val="20"/>
              </w:rPr>
            </w:pPr>
          </w:p>
        </w:tc>
      </w:tr>
      <w:tr w:rsidR="00000000" w14:paraId="520B7CD9" w14:textId="77777777">
        <w:trPr>
          <w:divId w:val="98525094"/>
          <w:trHeight w:val="225"/>
          <w:tblCellSpacing w:w="15" w:type="dxa"/>
        </w:trPr>
        <w:tc>
          <w:tcPr>
            <w:tcW w:w="0" w:type="auto"/>
            <w:tcBorders>
              <w:bottom w:val="single" w:sz="6" w:space="0" w:color="000000"/>
            </w:tcBorders>
            <w:vAlign w:val="center"/>
            <w:hideMark/>
          </w:tcPr>
          <w:p w14:paraId="0A614E74" w14:textId="77777777" w:rsidR="00000000" w:rsidRDefault="00EB4933">
            <w:pPr>
              <w:jc w:val="center"/>
              <w:rPr>
                <w:rFonts w:eastAsia="Times New Roman"/>
                <w:sz w:val="20"/>
                <w:szCs w:val="20"/>
              </w:rPr>
            </w:pPr>
            <w:r>
              <w:rPr>
                <w:rFonts w:eastAsia="Times New Roman"/>
                <w:sz w:val="20"/>
                <w:szCs w:val="20"/>
              </w:rPr>
              <w:t>A-4</w:t>
            </w:r>
          </w:p>
        </w:tc>
      </w:tr>
      <w:tr w:rsidR="00000000" w14:paraId="2364D4C8" w14:textId="77777777">
        <w:trPr>
          <w:divId w:val="98525094"/>
          <w:trHeight w:val="225"/>
          <w:tblCellSpacing w:w="15" w:type="dxa"/>
        </w:trPr>
        <w:tc>
          <w:tcPr>
            <w:tcW w:w="0" w:type="auto"/>
            <w:vAlign w:val="center"/>
            <w:hideMark/>
          </w:tcPr>
          <w:p w14:paraId="1DC18054" w14:textId="77777777" w:rsidR="00000000" w:rsidRDefault="00EB4933">
            <w:pPr>
              <w:rPr>
                <w:rFonts w:eastAsia="Times New Roman"/>
                <w:sz w:val="20"/>
                <w:szCs w:val="20"/>
              </w:rPr>
            </w:pPr>
          </w:p>
        </w:tc>
      </w:tr>
      <w:tr w:rsidR="00000000" w14:paraId="3B353B8F" w14:textId="77777777">
        <w:trPr>
          <w:divId w:val="98525094"/>
          <w:trHeight w:val="225"/>
          <w:tblCellSpacing w:w="15" w:type="dxa"/>
        </w:trPr>
        <w:tc>
          <w:tcPr>
            <w:tcW w:w="0" w:type="auto"/>
            <w:vAlign w:val="center"/>
            <w:hideMark/>
          </w:tcPr>
          <w:p w14:paraId="6E43D452" w14:textId="77777777" w:rsidR="00000000" w:rsidRDefault="00EB4933">
            <w:pPr>
              <w:rPr>
                <w:rFonts w:eastAsia="Times New Roman"/>
                <w:sz w:val="20"/>
                <w:szCs w:val="20"/>
              </w:rPr>
            </w:pPr>
          </w:p>
        </w:tc>
      </w:tr>
    </w:tbl>
    <w:p w14:paraId="043ABAD7"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5C1E6E12" w14:textId="77777777" w:rsidR="00000000" w:rsidRDefault="00EB4933">
      <w:pPr>
        <w:pStyle w:val="NormalWeb"/>
        <w:spacing w:before="0" w:beforeAutospacing="0" w:after="0" w:afterAutospacing="0"/>
        <w:jc w:val="right"/>
        <w:divId w:val="98525094"/>
        <w:rPr>
          <w:sz w:val="20"/>
          <w:szCs w:val="20"/>
        </w:rPr>
      </w:pPr>
      <w:r>
        <w:rPr>
          <w:sz w:val="20"/>
          <w:szCs w:val="20"/>
          <w:u w:val="single"/>
        </w:rPr>
        <w:t>Appendix 1</w:t>
      </w:r>
      <w:r>
        <w:rPr>
          <w:sz w:val="20"/>
          <w:szCs w:val="20"/>
        </w:rPr>
        <w:t xml:space="preserve"> (Cont’d)</w:t>
      </w:r>
    </w:p>
    <w:p w14:paraId="16718993"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1CB7887F" w14:textId="77777777" w:rsidR="00000000" w:rsidRDefault="00EB4933">
      <w:pPr>
        <w:pStyle w:val="NormalWeb"/>
        <w:spacing w:before="0" w:beforeAutospacing="0" w:after="0" w:afterAutospacing="0"/>
        <w:jc w:val="both"/>
        <w:divId w:val="98525094"/>
        <w:rPr>
          <w:sz w:val="20"/>
          <w:szCs w:val="20"/>
        </w:rPr>
      </w:pPr>
      <w:r>
        <w:rPr>
          <w:sz w:val="20"/>
          <w:szCs w:val="20"/>
        </w:rPr>
        <w:t>The following pertains to the classification error in the cash flow statement for the financial year ended 2016. The cash flow statement has been extracted to reflect the Company’s proper classification of loans receivable from investing activities to oper</w:t>
      </w:r>
      <w:r>
        <w:rPr>
          <w:sz w:val="20"/>
          <w:szCs w:val="20"/>
        </w:rPr>
        <w:t>ating activities. As this pertains to a matter of classification, we have presented the extract of the cash flow statement for which the items were being reclassified.</w:t>
      </w:r>
    </w:p>
    <w:p w14:paraId="47FC3D8A"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5752"/>
        <w:gridCol w:w="104"/>
        <w:gridCol w:w="116"/>
        <w:gridCol w:w="808"/>
        <w:gridCol w:w="104"/>
        <w:gridCol w:w="104"/>
        <w:gridCol w:w="136"/>
        <w:gridCol w:w="983"/>
        <w:gridCol w:w="104"/>
        <w:gridCol w:w="104"/>
        <w:gridCol w:w="109"/>
        <w:gridCol w:w="816"/>
        <w:gridCol w:w="120"/>
      </w:tblGrid>
      <w:tr w:rsidR="00000000" w14:paraId="17DCA6FC" w14:textId="77777777">
        <w:trPr>
          <w:divId w:val="98525094"/>
          <w:trHeight w:val="225"/>
          <w:tblCellSpacing w:w="15" w:type="dxa"/>
        </w:trPr>
        <w:tc>
          <w:tcPr>
            <w:tcW w:w="0" w:type="auto"/>
            <w:vAlign w:val="center"/>
            <w:hideMark/>
          </w:tcPr>
          <w:p w14:paraId="32D1A2F6"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F658A50"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10"/>
            <w:tcBorders>
              <w:bottom w:val="single" w:sz="6" w:space="0" w:color="auto"/>
            </w:tcBorders>
            <w:vAlign w:val="bottom"/>
            <w:hideMark/>
          </w:tcPr>
          <w:p w14:paraId="6577FBD2" w14:textId="77777777" w:rsidR="00000000" w:rsidRDefault="00EB4933">
            <w:pPr>
              <w:pStyle w:val="NormalWeb"/>
              <w:spacing w:before="0" w:beforeAutospacing="0" w:after="0" w:afterAutospacing="0"/>
              <w:jc w:val="center"/>
              <w:rPr>
                <w:sz w:val="20"/>
                <w:szCs w:val="20"/>
              </w:rPr>
            </w:pPr>
            <w:r>
              <w:rPr>
                <w:rStyle w:val="Strong"/>
                <w:sz w:val="20"/>
                <w:szCs w:val="20"/>
              </w:rPr>
              <w:t>December 31, 2016</w:t>
            </w:r>
          </w:p>
        </w:tc>
        <w:tc>
          <w:tcPr>
            <w:tcW w:w="0" w:type="auto"/>
            <w:noWrap/>
            <w:vAlign w:val="center"/>
            <w:hideMark/>
          </w:tcPr>
          <w:p w14:paraId="4704A28C" w14:textId="77777777" w:rsidR="00000000" w:rsidRDefault="00EB4933">
            <w:pPr>
              <w:pStyle w:val="NormalWeb"/>
              <w:spacing w:before="0" w:beforeAutospacing="0" w:after="0" w:afterAutospacing="0"/>
              <w:rPr>
                <w:sz w:val="20"/>
                <w:szCs w:val="20"/>
              </w:rPr>
            </w:pPr>
            <w:r>
              <w:rPr>
                <w:sz w:val="20"/>
                <w:szCs w:val="20"/>
              </w:rPr>
              <w:t> </w:t>
            </w:r>
          </w:p>
        </w:tc>
      </w:tr>
      <w:tr w:rsidR="00000000" w14:paraId="40CC6177" w14:textId="77777777">
        <w:trPr>
          <w:divId w:val="98525094"/>
          <w:trHeight w:val="225"/>
          <w:tblCellSpacing w:w="15" w:type="dxa"/>
        </w:trPr>
        <w:tc>
          <w:tcPr>
            <w:tcW w:w="0" w:type="auto"/>
            <w:vAlign w:val="bottom"/>
            <w:hideMark/>
          </w:tcPr>
          <w:p w14:paraId="06FEC806" w14:textId="77777777" w:rsidR="00000000" w:rsidRDefault="00EB4933">
            <w:pPr>
              <w:pStyle w:val="NormalWeb"/>
              <w:spacing w:before="0" w:beforeAutospacing="0" w:after="0" w:afterAutospacing="0"/>
              <w:rPr>
                <w:sz w:val="20"/>
                <w:szCs w:val="20"/>
              </w:rPr>
            </w:pPr>
            <w:r>
              <w:rPr>
                <w:rStyle w:val="Strong"/>
                <w:sz w:val="20"/>
                <w:szCs w:val="20"/>
              </w:rPr>
              <w:t>Cash flow Statement (extract)</w:t>
            </w:r>
          </w:p>
        </w:tc>
        <w:tc>
          <w:tcPr>
            <w:tcW w:w="0" w:type="auto"/>
            <w:noWrap/>
            <w:vAlign w:val="center"/>
            <w:hideMark/>
          </w:tcPr>
          <w:p w14:paraId="774C43A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3CD3836" w14:textId="77777777" w:rsidR="00000000" w:rsidRDefault="00EB4933">
            <w:pPr>
              <w:pStyle w:val="NormalWeb"/>
              <w:spacing w:before="0" w:beforeAutospacing="0" w:after="0" w:afterAutospacing="0"/>
              <w:jc w:val="center"/>
              <w:rPr>
                <w:sz w:val="20"/>
                <w:szCs w:val="20"/>
              </w:rPr>
            </w:pPr>
            <w:r>
              <w:rPr>
                <w:rStyle w:val="Strong"/>
                <w:sz w:val="20"/>
                <w:szCs w:val="20"/>
              </w:rPr>
              <w:t>As previously reported</w:t>
            </w:r>
          </w:p>
        </w:tc>
        <w:tc>
          <w:tcPr>
            <w:tcW w:w="0" w:type="auto"/>
            <w:noWrap/>
            <w:tcMar>
              <w:top w:w="0" w:type="dxa"/>
              <w:left w:w="0" w:type="dxa"/>
              <w:bottom w:w="15" w:type="dxa"/>
              <w:right w:w="0" w:type="dxa"/>
            </w:tcMar>
            <w:vAlign w:val="center"/>
            <w:hideMark/>
          </w:tcPr>
          <w:p w14:paraId="32F24CE7"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147D193B"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E3DA1B6" w14:textId="77777777" w:rsidR="00000000" w:rsidRDefault="00EB4933">
            <w:pPr>
              <w:pStyle w:val="NormalWeb"/>
              <w:spacing w:before="0" w:beforeAutospacing="0" w:after="0" w:afterAutospacing="0"/>
              <w:jc w:val="center"/>
              <w:rPr>
                <w:sz w:val="20"/>
                <w:szCs w:val="20"/>
              </w:rPr>
            </w:pPr>
            <w:r>
              <w:rPr>
                <w:rStyle w:val="Strong"/>
                <w:sz w:val="20"/>
                <w:szCs w:val="20"/>
              </w:rPr>
              <w:t>Adjustments</w:t>
            </w:r>
          </w:p>
        </w:tc>
        <w:tc>
          <w:tcPr>
            <w:tcW w:w="0" w:type="auto"/>
            <w:noWrap/>
            <w:tcMar>
              <w:top w:w="0" w:type="dxa"/>
              <w:left w:w="0" w:type="dxa"/>
              <w:bottom w:w="15" w:type="dxa"/>
              <w:right w:w="0" w:type="dxa"/>
            </w:tcMar>
            <w:vAlign w:val="center"/>
            <w:hideMark/>
          </w:tcPr>
          <w:p w14:paraId="3D717C37"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45B70D31"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A81E805" w14:textId="77777777" w:rsidR="00000000" w:rsidRDefault="00EB4933">
            <w:pPr>
              <w:pStyle w:val="NormalWeb"/>
              <w:spacing w:before="0" w:beforeAutospacing="0" w:after="0" w:afterAutospacing="0"/>
              <w:jc w:val="center"/>
              <w:rPr>
                <w:sz w:val="20"/>
                <w:szCs w:val="20"/>
              </w:rPr>
            </w:pPr>
            <w:r>
              <w:rPr>
                <w:rStyle w:val="Strong"/>
                <w:sz w:val="20"/>
                <w:szCs w:val="20"/>
              </w:rPr>
              <w:t>As currently reported</w:t>
            </w:r>
          </w:p>
        </w:tc>
        <w:tc>
          <w:tcPr>
            <w:tcW w:w="0" w:type="auto"/>
            <w:noWrap/>
            <w:tcMar>
              <w:top w:w="0" w:type="dxa"/>
              <w:left w:w="0" w:type="dxa"/>
              <w:bottom w:w="15" w:type="dxa"/>
              <w:right w:w="0" w:type="dxa"/>
            </w:tcMar>
            <w:vAlign w:val="center"/>
            <w:hideMark/>
          </w:tcPr>
          <w:p w14:paraId="04AECBC8" w14:textId="77777777" w:rsidR="00000000" w:rsidRDefault="00EB4933">
            <w:pPr>
              <w:pStyle w:val="NormalWeb"/>
              <w:spacing w:before="0" w:beforeAutospacing="0" w:after="0" w:afterAutospacing="0"/>
              <w:rPr>
                <w:sz w:val="20"/>
                <w:szCs w:val="20"/>
              </w:rPr>
            </w:pPr>
            <w:r>
              <w:rPr>
                <w:sz w:val="20"/>
                <w:szCs w:val="20"/>
              </w:rPr>
              <w:t> </w:t>
            </w:r>
          </w:p>
        </w:tc>
      </w:tr>
      <w:tr w:rsidR="00000000" w14:paraId="5CD24F1E" w14:textId="77777777">
        <w:trPr>
          <w:divId w:val="98525094"/>
          <w:trHeight w:val="225"/>
          <w:tblCellSpacing w:w="15" w:type="dxa"/>
        </w:trPr>
        <w:tc>
          <w:tcPr>
            <w:tcW w:w="0" w:type="auto"/>
            <w:vAlign w:val="center"/>
            <w:hideMark/>
          </w:tcPr>
          <w:p w14:paraId="7BC3F9B4"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284F68AD"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096F791C" w14:textId="77777777" w:rsidR="00000000" w:rsidRDefault="00EB4933">
            <w:pPr>
              <w:pStyle w:val="NormalWeb"/>
              <w:spacing w:before="0" w:beforeAutospacing="0" w:after="0" w:afterAutospacing="0"/>
              <w:jc w:val="center"/>
              <w:rPr>
                <w:sz w:val="20"/>
                <w:szCs w:val="20"/>
              </w:rPr>
            </w:pPr>
            <w:r>
              <w:rPr>
                <w:sz w:val="20"/>
                <w:szCs w:val="20"/>
              </w:rPr>
              <w:t xml:space="preserve">RMB’000 </w:t>
            </w:r>
          </w:p>
        </w:tc>
        <w:tc>
          <w:tcPr>
            <w:tcW w:w="0" w:type="auto"/>
            <w:noWrap/>
            <w:vAlign w:val="center"/>
            <w:hideMark/>
          </w:tcPr>
          <w:p w14:paraId="1485ECDC"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70DC648C"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520A4AA4" w14:textId="77777777" w:rsidR="00000000" w:rsidRDefault="00EB4933">
            <w:pPr>
              <w:pStyle w:val="NormalWeb"/>
              <w:spacing w:before="0" w:beforeAutospacing="0" w:after="0" w:afterAutospacing="0"/>
              <w:jc w:val="center"/>
              <w:rPr>
                <w:sz w:val="20"/>
                <w:szCs w:val="20"/>
              </w:rPr>
            </w:pPr>
            <w:r>
              <w:rPr>
                <w:sz w:val="20"/>
                <w:szCs w:val="20"/>
              </w:rPr>
              <w:t>RMB’000</w:t>
            </w:r>
          </w:p>
        </w:tc>
        <w:tc>
          <w:tcPr>
            <w:tcW w:w="0" w:type="auto"/>
            <w:noWrap/>
            <w:vAlign w:val="center"/>
            <w:hideMark/>
          </w:tcPr>
          <w:p w14:paraId="6FDE521D" w14:textId="77777777" w:rsidR="00000000" w:rsidRDefault="00EB4933">
            <w:pPr>
              <w:pStyle w:val="NormalWeb"/>
              <w:spacing w:before="0" w:beforeAutospacing="0" w:after="0" w:afterAutospacing="0"/>
              <w:rPr>
                <w:sz w:val="20"/>
                <w:szCs w:val="20"/>
              </w:rPr>
            </w:pPr>
            <w:r>
              <w:rPr>
                <w:sz w:val="20"/>
                <w:szCs w:val="20"/>
              </w:rPr>
              <w:t> </w:t>
            </w:r>
          </w:p>
        </w:tc>
        <w:tc>
          <w:tcPr>
            <w:tcW w:w="0" w:type="auto"/>
            <w:noWrap/>
            <w:vAlign w:val="center"/>
            <w:hideMark/>
          </w:tcPr>
          <w:p w14:paraId="3F0108E3"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bottom"/>
            <w:hideMark/>
          </w:tcPr>
          <w:p w14:paraId="25BECB1A" w14:textId="77777777" w:rsidR="00000000" w:rsidRDefault="00EB4933">
            <w:pPr>
              <w:pStyle w:val="NormalWeb"/>
              <w:spacing w:before="0" w:beforeAutospacing="0" w:after="0" w:afterAutospacing="0"/>
              <w:jc w:val="center"/>
              <w:rPr>
                <w:sz w:val="20"/>
                <w:szCs w:val="20"/>
              </w:rPr>
            </w:pPr>
            <w:r>
              <w:rPr>
                <w:sz w:val="20"/>
                <w:szCs w:val="20"/>
              </w:rPr>
              <w:t>RMB’000</w:t>
            </w:r>
          </w:p>
        </w:tc>
        <w:tc>
          <w:tcPr>
            <w:tcW w:w="0" w:type="auto"/>
            <w:noWrap/>
            <w:vAlign w:val="center"/>
            <w:hideMark/>
          </w:tcPr>
          <w:p w14:paraId="238267BC" w14:textId="77777777" w:rsidR="00000000" w:rsidRDefault="00EB4933">
            <w:pPr>
              <w:pStyle w:val="NormalWeb"/>
              <w:spacing w:before="0" w:beforeAutospacing="0" w:after="0" w:afterAutospacing="0"/>
              <w:rPr>
                <w:sz w:val="20"/>
                <w:szCs w:val="20"/>
              </w:rPr>
            </w:pPr>
            <w:r>
              <w:rPr>
                <w:sz w:val="20"/>
                <w:szCs w:val="20"/>
              </w:rPr>
              <w:t> </w:t>
            </w:r>
          </w:p>
        </w:tc>
      </w:tr>
      <w:tr w:rsidR="00000000" w14:paraId="3AE54A43" w14:textId="77777777">
        <w:trPr>
          <w:divId w:val="98525094"/>
          <w:trHeight w:val="225"/>
          <w:tblCellSpacing w:w="15" w:type="dxa"/>
        </w:trPr>
        <w:tc>
          <w:tcPr>
            <w:tcW w:w="0" w:type="auto"/>
            <w:vAlign w:val="center"/>
            <w:hideMark/>
          </w:tcPr>
          <w:p w14:paraId="0B32181B"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BD36DF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92F8D3B"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049CFBF"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AB3BEE2"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1CAEBE8B"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76D0972F"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3B44EB3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5E00BB01"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D12F246" w14:textId="77777777" w:rsidR="00000000" w:rsidRDefault="00EB4933">
            <w:pPr>
              <w:pStyle w:val="NormalWeb"/>
              <w:spacing w:before="0" w:beforeAutospacing="0" w:after="0" w:afterAutospacing="0"/>
              <w:rPr>
                <w:sz w:val="20"/>
                <w:szCs w:val="20"/>
              </w:rPr>
            </w:pPr>
            <w:r>
              <w:rPr>
                <w:sz w:val="20"/>
                <w:szCs w:val="20"/>
              </w:rPr>
              <w:t> </w:t>
            </w:r>
          </w:p>
        </w:tc>
      </w:tr>
      <w:tr w:rsidR="00000000" w14:paraId="1A372F79" w14:textId="77777777">
        <w:trPr>
          <w:divId w:val="98525094"/>
          <w:trHeight w:val="225"/>
          <w:tblCellSpacing w:w="15" w:type="dxa"/>
        </w:trPr>
        <w:tc>
          <w:tcPr>
            <w:tcW w:w="0" w:type="auto"/>
            <w:hideMark/>
          </w:tcPr>
          <w:p w14:paraId="095EB639" w14:textId="77777777" w:rsidR="00000000" w:rsidRDefault="00EB4933">
            <w:pPr>
              <w:pStyle w:val="NormalWeb"/>
              <w:spacing w:before="0" w:beforeAutospacing="0" w:after="0" w:afterAutospacing="0"/>
              <w:rPr>
                <w:sz w:val="20"/>
                <w:szCs w:val="20"/>
              </w:rPr>
            </w:pPr>
            <w:r>
              <w:rPr>
                <w:rStyle w:val="Strong"/>
                <w:sz w:val="20"/>
                <w:szCs w:val="20"/>
              </w:rPr>
              <w:t>Cash flow from operating activities</w:t>
            </w:r>
          </w:p>
        </w:tc>
        <w:tc>
          <w:tcPr>
            <w:tcW w:w="50" w:type="pct"/>
            <w:noWrap/>
            <w:vAlign w:val="center"/>
            <w:hideMark/>
          </w:tcPr>
          <w:p w14:paraId="11815FE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2B4A0248"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1464F4F"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15D6AA9"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47D18A85"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4CBBE1D7"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5ED3C08F" w14:textId="77777777" w:rsidR="00000000" w:rsidRDefault="00EB4933">
            <w:pPr>
              <w:pStyle w:val="NormalWeb"/>
              <w:spacing w:before="0" w:beforeAutospacing="0" w:after="0" w:afterAutospacing="0"/>
              <w:rPr>
                <w:sz w:val="20"/>
                <w:szCs w:val="20"/>
              </w:rPr>
            </w:pPr>
            <w:r>
              <w:rPr>
                <w:sz w:val="20"/>
                <w:szCs w:val="20"/>
              </w:rPr>
              <w:t> </w:t>
            </w:r>
          </w:p>
        </w:tc>
        <w:tc>
          <w:tcPr>
            <w:tcW w:w="450" w:type="pct"/>
            <w:gridSpan w:val="2"/>
            <w:vAlign w:val="center"/>
            <w:hideMark/>
          </w:tcPr>
          <w:p w14:paraId="7C8F046A" w14:textId="77777777" w:rsidR="00000000" w:rsidRDefault="00EB4933">
            <w:pPr>
              <w:pStyle w:val="NormalWeb"/>
              <w:spacing w:before="0" w:beforeAutospacing="0" w:after="0" w:afterAutospacing="0"/>
              <w:rPr>
                <w:sz w:val="20"/>
                <w:szCs w:val="20"/>
              </w:rPr>
            </w:pPr>
            <w:r>
              <w:rPr>
                <w:sz w:val="20"/>
                <w:szCs w:val="20"/>
              </w:rPr>
              <w:t> </w:t>
            </w:r>
          </w:p>
        </w:tc>
        <w:tc>
          <w:tcPr>
            <w:tcW w:w="50" w:type="pct"/>
            <w:noWrap/>
            <w:vAlign w:val="center"/>
            <w:hideMark/>
          </w:tcPr>
          <w:p w14:paraId="15A947E1" w14:textId="77777777" w:rsidR="00000000" w:rsidRDefault="00EB4933">
            <w:pPr>
              <w:pStyle w:val="NormalWeb"/>
              <w:spacing w:before="0" w:beforeAutospacing="0" w:after="0" w:afterAutospacing="0"/>
              <w:rPr>
                <w:sz w:val="20"/>
                <w:szCs w:val="20"/>
              </w:rPr>
            </w:pPr>
            <w:r>
              <w:rPr>
                <w:sz w:val="20"/>
                <w:szCs w:val="20"/>
              </w:rPr>
              <w:t> </w:t>
            </w:r>
          </w:p>
        </w:tc>
      </w:tr>
      <w:tr w:rsidR="00000000" w14:paraId="511E6741" w14:textId="77777777">
        <w:trPr>
          <w:divId w:val="98525094"/>
          <w:trHeight w:val="225"/>
          <w:tblCellSpacing w:w="15" w:type="dxa"/>
        </w:trPr>
        <w:tc>
          <w:tcPr>
            <w:tcW w:w="0" w:type="auto"/>
            <w:shd w:val="clear" w:color="auto" w:fill="CCEEFF"/>
            <w:hideMark/>
          </w:tcPr>
          <w:p w14:paraId="5224F94A" w14:textId="77777777" w:rsidR="00000000" w:rsidRDefault="00EB4933">
            <w:pPr>
              <w:pStyle w:val="NormalWeb"/>
              <w:spacing w:before="0" w:beforeAutospacing="0" w:after="0" w:afterAutospacing="0"/>
              <w:rPr>
                <w:sz w:val="20"/>
                <w:szCs w:val="20"/>
              </w:rPr>
            </w:pPr>
            <w:r>
              <w:rPr>
                <w:sz w:val="20"/>
                <w:szCs w:val="20"/>
              </w:rPr>
              <w:t>Loans receivable (note 8)</w:t>
            </w:r>
          </w:p>
        </w:tc>
        <w:tc>
          <w:tcPr>
            <w:tcW w:w="50" w:type="pct"/>
            <w:shd w:val="clear" w:color="auto" w:fill="CCEEFF"/>
            <w:noWrap/>
            <w:vAlign w:val="center"/>
            <w:hideMark/>
          </w:tcPr>
          <w:p w14:paraId="6F7C7EE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61D106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40BFB8A"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0ABDC41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D1849A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7CE2DFD"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BC6FDBA" w14:textId="77777777" w:rsidR="00000000" w:rsidRDefault="00EB4933">
            <w:pPr>
              <w:jc w:val="right"/>
              <w:rPr>
                <w:rFonts w:eastAsia="Times New Roman"/>
                <w:sz w:val="20"/>
                <w:szCs w:val="20"/>
              </w:rPr>
            </w:pPr>
            <w:r>
              <w:rPr>
                <w:rFonts w:eastAsia="Times New Roman"/>
                <w:sz w:val="20"/>
                <w:szCs w:val="20"/>
              </w:rPr>
              <w:t>(213,138</w:t>
            </w:r>
          </w:p>
        </w:tc>
        <w:tc>
          <w:tcPr>
            <w:tcW w:w="50" w:type="pct"/>
            <w:shd w:val="clear" w:color="auto" w:fill="CCEEFF"/>
            <w:noWrap/>
            <w:tcMar>
              <w:top w:w="0" w:type="dxa"/>
              <w:left w:w="0" w:type="dxa"/>
              <w:bottom w:w="15" w:type="dxa"/>
              <w:right w:w="0" w:type="dxa"/>
            </w:tcMar>
            <w:vAlign w:val="bottom"/>
            <w:hideMark/>
          </w:tcPr>
          <w:p w14:paraId="7C00B8F6"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2C4A0E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C5D177C"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A5A9C8D" w14:textId="77777777" w:rsidR="00000000" w:rsidRDefault="00EB4933">
            <w:pPr>
              <w:jc w:val="right"/>
              <w:rPr>
                <w:rFonts w:eastAsia="Times New Roman"/>
                <w:sz w:val="20"/>
                <w:szCs w:val="20"/>
              </w:rPr>
            </w:pPr>
            <w:r>
              <w:rPr>
                <w:rFonts w:eastAsia="Times New Roman"/>
                <w:sz w:val="20"/>
                <w:szCs w:val="20"/>
              </w:rPr>
              <w:t>(213,138</w:t>
            </w:r>
          </w:p>
        </w:tc>
        <w:tc>
          <w:tcPr>
            <w:tcW w:w="50" w:type="pct"/>
            <w:shd w:val="clear" w:color="auto" w:fill="CCEEFF"/>
            <w:noWrap/>
            <w:tcMar>
              <w:top w:w="0" w:type="dxa"/>
              <w:left w:w="0" w:type="dxa"/>
              <w:bottom w:w="15" w:type="dxa"/>
              <w:right w:w="0" w:type="dxa"/>
            </w:tcMar>
            <w:vAlign w:val="bottom"/>
            <w:hideMark/>
          </w:tcPr>
          <w:p w14:paraId="3134C961" w14:textId="77777777" w:rsidR="00000000" w:rsidRDefault="00EB4933">
            <w:pPr>
              <w:rPr>
                <w:rFonts w:eastAsia="Times New Roman"/>
                <w:sz w:val="20"/>
                <w:szCs w:val="20"/>
              </w:rPr>
            </w:pPr>
            <w:r>
              <w:rPr>
                <w:rFonts w:eastAsia="Times New Roman"/>
                <w:sz w:val="20"/>
                <w:szCs w:val="20"/>
              </w:rPr>
              <w:t>)</w:t>
            </w:r>
          </w:p>
        </w:tc>
      </w:tr>
      <w:tr w:rsidR="00000000" w14:paraId="6A54C9FA" w14:textId="77777777">
        <w:trPr>
          <w:divId w:val="98525094"/>
          <w:trHeight w:val="225"/>
          <w:tblCellSpacing w:w="15" w:type="dxa"/>
        </w:trPr>
        <w:tc>
          <w:tcPr>
            <w:tcW w:w="0" w:type="auto"/>
            <w:shd w:val="clear" w:color="auto" w:fill="FFFFFF"/>
            <w:hideMark/>
          </w:tcPr>
          <w:p w14:paraId="166BFA5D" w14:textId="77777777" w:rsidR="00000000" w:rsidRDefault="00EB4933">
            <w:pPr>
              <w:pStyle w:val="NormalWeb"/>
              <w:spacing w:before="0" w:beforeAutospacing="0" w:after="0" w:afterAutospacing="0"/>
              <w:rPr>
                <w:sz w:val="20"/>
                <w:szCs w:val="20"/>
              </w:rPr>
            </w:pPr>
            <w:r>
              <w:rPr>
                <w:rStyle w:val="Strong"/>
                <w:sz w:val="20"/>
                <w:szCs w:val="20"/>
              </w:rPr>
              <w:t>Net cash generated/(used) by operating activities</w:t>
            </w:r>
          </w:p>
        </w:tc>
        <w:tc>
          <w:tcPr>
            <w:tcW w:w="50" w:type="pct"/>
            <w:shd w:val="clear" w:color="auto" w:fill="FFFFFF"/>
            <w:noWrap/>
            <w:vAlign w:val="center"/>
            <w:hideMark/>
          </w:tcPr>
          <w:p w14:paraId="47707BC8"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14971C3"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99E11F8" w14:textId="77777777" w:rsidR="00000000" w:rsidRDefault="00EB4933">
            <w:pPr>
              <w:jc w:val="right"/>
              <w:rPr>
                <w:rFonts w:eastAsia="Times New Roman"/>
                <w:sz w:val="20"/>
                <w:szCs w:val="20"/>
              </w:rPr>
            </w:pPr>
            <w:r>
              <w:rPr>
                <w:rFonts w:eastAsia="Times New Roman"/>
                <w:sz w:val="20"/>
                <w:szCs w:val="20"/>
              </w:rPr>
              <w:t>38,167</w:t>
            </w:r>
          </w:p>
        </w:tc>
        <w:tc>
          <w:tcPr>
            <w:tcW w:w="50" w:type="pct"/>
            <w:shd w:val="clear" w:color="auto" w:fill="FFFFFF"/>
            <w:noWrap/>
            <w:tcMar>
              <w:top w:w="0" w:type="dxa"/>
              <w:left w:w="0" w:type="dxa"/>
              <w:bottom w:w="15" w:type="dxa"/>
              <w:right w:w="0" w:type="dxa"/>
            </w:tcMar>
            <w:vAlign w:val="center"/>
            <w:hideMark/>
          </w:tcPr>
          <w:p w14:paraId="00241F8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DB3081"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7E074E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8F1479A" w14:textId="77777777" w:rsidR="00000000" w:rsidRDefault="00EB4933">
            <w:pPr>
              <w:jc w:val="right"/>
              <w:rPr>
                <w:rFonts w:eastAsia="Times New Roman"/>
                <w:sz w:val="20"/>
                <w:szCs w:val="20"/>
              </w:rPr>
            </w:pPr>
            <w:r>
              <w:rPr>
                <w:rFonts w:eastAsia="Times New Roman"/>
                <w:sz w:val="20"/>
                <w:szCs w:val="20"/>
              </w:rPr>
              <w:t>(213,138</w:t>
            </w:r>
          </w:p>
        </w:tc>
        <w:tc>
          <w:tcPr>
            <w:tcW w:w="50" w:type="pct"/>
            <w:shd w:val="clear" w:color="auto" w:fill="FFFFFF"/>
            <w:noWrap/>
            <w:tcMar>
              <w:top w:w="0" w:type="dxa"/>
              <w:left w:w="0" w:type="dxa"/>
              <w:bottom w:w="15" w:type="dxa"/>
              <w:right w:w="0" w:type="dxa"/>
            </w:tcMar>
            <w:vAlign w:val="bottom"/>
            <w:hideMark/>
          </w:tcPr>
          <w:p w14:paraId="4B549A70"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7B59D1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D5781F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121FD69" w14:textId="77777777" w:rsidR="00000000" w:rsidRDefault="00EB4933">
            <w:pPr>
              <w:jc w:val="right"/>
              <w:rPr>
                <w:rFonts w:eastAsia="Times New Roman"/>
                <w:sz w:val="20"/>
                <w:szCs w:val="20"/>
              </w:rPr>
            </w:pPr>
            <w:r>
              <w:rPr>
                <w:rFonts w:eastAsia="Times New Roman"/>
                <w:sz w:val="20"/>
                <w:szCs w:val="20"/>
              </w:rPr>
              <w:t>(174,971</w:t>
            </w:r>
          </w:p>
        </w:tc>
        <w:tc>
          <w:tcPr>
            <w:tcW w:w="50" w:type="pct"/>
            <w:shd w:val="clear" w:color="auto" w:fill="FFFFFF"/>
            <w:noWrap/>
            <w:tcMar>
              <w:top w:w="0" w:type="dxa"/>
              <w:left w:w="0" w:type="dxa"/>
              <w:bottom w:w="15" w:type="dxa"/>
              <w:right w:w="0" w:type="dxa"/>
            </w:tcMar>
            <w:vAlign w:val="bottom"/>
            <w:hideMark/>
          </w:tcPr>
          <w:p w14:paraId="1003515B" w14:textId="77777777" w:rsidR="00000000" w:rsidRDefault="00EB4933">
            <w:pPr>
              <w:rPr>
                <w:rFonts w:eastAsia="Times New Roman"/>
                <w:sz w:val="20"/>
                <w:szCs w:val="20"/>
              </w:rPr>
            </w:pPr>
            <w:r>
              <w:rPr>
                <w:rFonts w:eastAsia="Times New Roman"/>
                <w:sz w:val="20"/>
                <w:szCs w:val="20"/>
              </w:rPr>
              <w:t>)</w:t>
            </w:r>
          </w:p>
        </w:tc>
      </w:tr>
      <w:tr w:rsidR="00000000" w14:paraId="3FF74B60" w14:textId="77777777">
        <w:trPr>
          <w:divId w:val="98525094"/>
          <w:trHeight w:val="225"/>
          <w:tblCellSpacing w:w="15" w:type="dxa"/>
        </w:trPr>
        <w:tc>
          <w:tcPr>
            <w:tcW w:w="0" w:type="auto"/>
            <w:shd w:val="clear" w:color="auto" w:fill="CCEEFF"/>
            <w:hideMark/>
          </w:tcPr>
          <w:p w14:paraId="51D570D2" w14:textId="77777777" w:rsidR="00000000" w:rsidRDefault="00EB4933">
            <w:pPr>
              <w:pStyle w:val="NormalWeb"/>
              <w:spacing w:before="0" w:beforeAutospacing="0" w:after="0" w:afterAutospacing="0"/>
              <w:rPr>
                <w:sz w:val="20"/>
                <w:szCs w:val="20"/>
              </w:rPr>
            </w:pPr>
            <w:r>
              <w:rPr>
                <w:rStyle w:val="Strong"/>
                <w:sz w:val="20"/>
                <w:szCs w:val="20"/>
              </w:rPr>
              <w:t>Net cash generated/(used) by operating activities</w:t>
            </w:r>
          </w:p>
        </w:tc>
        <w:tc>
          <w:tcPr>
            <w:tcW w:w="50" w:type="pct"/>
            <w:shd w:val="clear" w:color="auto" w:fill="CCEEFF"/>
            <w:noWrap/>
            <w:vAlign w:val="center"/>
            <w:hideMark/>
          </w:tcPr>
          <w:p w14:paraId="04560727"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35D14FE"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4FB4C75" w14:textId="77777777" w:rsidR="00000000" w:rsidRDefault="00EB4933">
            <w:pPr>
              <w:jc w:val="right"/>
              <w:rPr>
                <w:rFonts w:eastAsia="Times New Roman"/>
                <w:sz w:val="20"/>
                <w:szCs w:val="20"/>
              </w:rPr>
            </w:pPr>
            <w:r>
              <w:rPr>
                <w:rFonts w:eastAsia="Times New Roman"/>
                <w:sz w:val="20"/>
                <w:szCs w:val="20"/>
              </w:rPr>
              <w:t>16,708</w:t>
            </w:r>
          </w:p>
        </w:tc>
        <w:tc>
          <w:tcPr>
            <w:tcW w:w="50" w:type="pct"/>
            <w:shd w:val="clear" w:color="auto" w:fill="CCEEFF"/>
            <w:noWrap/>
            <w:tcMar>
              <w:top w:w="0" w:type="dxa"/>
              <w:left w:w="0" w:type="dxa"/>
              <w:bottom w:w="15" w:type="dxa"/>
              <w:right w:w="0" w:type="dxa"/>
            </w:tcMar>
            <w:vAlign w:val="center"/>
            <w:hideMark/>
          </w:tcPr>
          <w:p w14:paraId="47B10BD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1FB05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0BDAC4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78757E5" w14:textId="77777777" w:rsidR="00000000" w:rsidRDefault="00EB4933">
            <w:pPr>
              <w:jc w:val="right"/>
              <w:rPr>
                <w:rFonts w:eastAsia="Times New Roman"/>
                <w:sz w:val="20"/>
                <w:szCs w:val="20"/>
              </w:rPr>
            </w:pPr>
            <w:r>
              <w:rPr>
                <w:rFonts w:eastAsia="Times New Roman"/>
                <w:sz w:val="20"/>
                <w:szCs w:val="20"/>
              </w:rPr>
              <w:t>(213,138</w:t>
            </w:r>
          </w:p>
        </w:tc>
        <w:tc>
          <w:tcPr>
            <w:tcW w:w="50" w:type="pct"/>
            <w:shd w:val="clear" w:color="auto" w:fill="CCEEFF"/>
            <w:noWrap/>
            <w:tcMar>
              <w:top w:w="0" w:type="dxa"/>
              <w:left w:w="0" w:type="dxa"/>
              <w:bottom w:w="15" w:type="dxa"/>
              <w:right w:w="0" w:type="dxa"/>
            </w:tcMar>
            <w:vAlign w:val="bottom"/>
            <w:hideMark/>
          </w:tcPr>
          <w:p w14:paraId="3E43AAD5"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4FD8186"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C5ECAD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B98A026" w14:textId="77777777" w:rsidR="00000000" w:rsidRDefault="00EB4933">
            <w:pPr>
              <w:jc w:val="right"/>
              <w:rPr>
                <w:rFonts w:eastAsia="Times New Roman"/>
                <w:sz w:val="20"/>
                <w:szCs w:val="20"/>
              </w:rPr>
            </w:pPr>
            <w:r>
              <w:rPr>
                <w:rFonts w:eastAsia="Times New Roman"/>
                <w:sz w:val="20"/>
                <w:szCs w:val="20"/>
              </w:rPr>
              <w:t>(196,430</w:t>
            </w:r>
          </w:p>
        </w:tc>
        <w:tc>
          <w:tcPr>
            <w:tcW w:w="50" w:type="pct"/>
            <w:shd w:val="clear" w:color="auto" w:fill="CCEEFF"/>
            <w:noWrap/>
            <w:tcMar>
              <w:top w:w="0" w:type="dxa"/>
              <w:left w:w="0" w:type="dxa"/>
              <w:bottom w:w="15" w:type="dxa"/>
              <w:right w:w="0" w:type="dxa"/>
            </w:tcMar>
            <w:vAlign w:val="bottom"/>
            <w:hideMark/>
          </w:tcPr>
          <w:p w14:paraId="5944D048" w14:textId="77777777" w:rsidR="00000000" w:rsidRDefault="00EB4933">
            <w:pPr>
              <w:rPr>
                <w:rFonts w:eastAsia="Times New Roman"/>
                <w:sz w:val="20"/>
                <w:szCs w:val="20"/>
              </w:rPr>
            </w:pPr>
            <w:r>
              <w:rPr>
                <w:rFonts w:eastAsia="Times New Roman"/>
                <w:sz w:val="20"/>
                <w:szCs w:val="20"/>
              </w:rPr>
              <w:t>)</w:t>
            </w:r>
          </w:p>
        </w:tc>
      </w:tr>
      <w:tr w:rsidR="00000000" w14:paraId="0976374C" w14:textId="77777777">
        <w:trPr>
          <w:divId w:val="98525094"/>
          <w:trHeight w:val="225"/>
          <w:tblCellSpacing w:w="15" w:type="dxa"/>
        </w:trPr>
        <w:tc>
          <w:tcPr>
            <w:tcW w:w="0" w:type="auto"/>
            <w:shd w:val="clear" w:color="auto" w:fill="FFFFFF"/>
            <w:vAlign w:val="center"/>
            <w:hideMark/>
          </w:tcPr>
          <w:p w14:paraId="0D1366F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61B0F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CF36D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A77D602"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259E6E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FB7C5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DDE26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24390A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119E4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F1DF7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1596C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045B73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91B268" w14:textId="77777777" w:rsidR="00000000" w:rsidRDefault="00EB4933">
            <w:pPr>
              <w:pStyle w:val="NormalWeb"/>
              <w:spacing w:before="0" w:beforeAutospacing="0" w:after="0" w:afterAutospacing="0"/>
              <w:rPr>
                <w:sz w:val="20"/>
                <w:szCs w:val="20"/>
              </w:rPr>
            </w:pPr>
            <w:r>
              <w:rPr>
                <w:sz w:val="20"/>
                <w:szCs w:val="20"/>
              </w:rPr>
              <w:t> </w:t>
            </w:r>
          </w:p>
        </w:tc>
      </w:tr>
      <w:tr w:rsidR="00000000" w14:paraId="3D9D7EC8" w14:textId="77777777">
        <w:trPr>
          <w:divId w:val="98525094"/>
          <w:trHeight w:val="225"/>
          <w:tblCellSpacing w:w="15" w:type="dxa"/>
        </w:trPr>
        <w:tc>
          <w:tcPr>
            <w:tcW w:w="0" w:type="auto"/>
            <w:shd w:val="clear" w:color="auto" w:fill="CCEEFF"/>
            <w:hideMark/>
          </w:tcPr>
          <w:p w14:paraId="1734074C" w14:textId="77777777" w:rsidR="00000000" w:rsidRDefault="00EB4933">
            <w:pPr>
              <w:pStyle w:val="NormalWeb"/>
              <w:spacing w:before="0" w:beforeAutospacing="0" w:after="0" w:afterAutospacing="0"/>
              <w:rPr>
                <w:sz w:val="20"/>
                <w:szCs w:val="20"/>
              </w:rPr>
            </w:pPr>
            <w:r>
              <w:rPr>
                <w:rStyle w:val="Strong"/>
                <w:sz w:val="20"/>
                <w:szCs w:val="20"/>
              </w:rPr>
              <w:t>Cash flow from investing activities</w:t>
            </w:r>
          </w:p>
        </w:tc>
        <w:tc>
          <w:tcPr>
            <w:tcW w:w="50" w:type="pct"/>
            <w:shd w:val="clear" w:color="auto" w:fill="CCEEFF"/>
            <w:noWrap/>
            <w:vAlign w:val="center"/>
            <w:hideMark/>
          </w:tcPr>
          <w:p w14:paraId="4208BA4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DF6DE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D87A8D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64C78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4738D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5C9626"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AF92E4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71716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1734F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5786FA"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0E1F4E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7DBBE1" w14:textId="77777777" w:rsidR="00000000" w:rsidRDefault="00EB4933">
            <w:pPr>
              <w:pStyle w:val="NormalWeb"/>
              <w:spacing w:before="0" w:beforeAutospacing="0" w:after="0" w:afterAutospacing="0"/>
              <w:rPr>
                <w:sz w:val="20"/>
                <w:szCs w:val="20"/>
              </w:rPr>
            </w:pPr>
            <w:r>
              <w:rPr>
                <w:sz w:val="20"/>
                <w:szCs w:val="20"/>
              </w:rPr>
              <w:t> </w:t>
            </w:r>
          </w:p>
        </w:tc>
      </w:tr>
      <w:tr w:rsidR="00000000" w14:paraId="70791B88" w14:textId="77777777">
        <w:trPr>
          <w:divId w:val="98525094"/>
          <w:trHeight w:val="225"/>
          <w:tblCellSpacing w:w="15" w:type="dxa"/>
        </w:trPr>
        <w:tc>
          <w:tcPr>
            <w:tcW w:w="0" w:type="auto"/>
            <w:shd w:val="clear" w:color="auto" w:fill="FFFFFF"/>
            <w:hideMark/>
          </w:tcPr>
          <w:p w14:paraId="5E15828A" w14:textId="77777777" w:rsidR="00000000" w:rsidRDefault="00EB4933">
            <w:pPr>
              <w:pStyle w:val="NormalWeb"/>
              <w:spacing w:before="0" w:beforeAutospacing="0" w:after="0" w:afterAutospacing="0"/>
              <w:rPr>
                <w:sz w:val="20"/>
                <w:szCs w:val="20"/>
              </w:rPr>
            </w:pPr>
            <w:r>
              <w:rPr>
                <w:sz w:val="20"/>
                <w:szCs w:val="20"/>
              </w:rPr>
              <w:t>Originated loan disbursements (note 8)</w:t>
            </w:r>
          </w:p>
        </w:tc>
        <w:tc>
          <w:tcPr>
            <w:tcW w:w="50" w:type="pct"/>
            <w:shd w:val="clear" w:color="auto" w:fill="FFFFFF"/>
            <w:noWrap/>
            <w:vAlign w:val="center"/>
            <w:hideMark/>
          </w:tcPr>
          <w:p w14:paraId="7A3DD7B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88D9A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A11A2AB" w14:textId="77777777" w:rsidR="00000000" w:rsidRDefault="00EB4933">
            <w:pPr>
              <w:jc w:val="right"/>
              <w:rPr>
                <w:rFonts w:eastAsia="Times New Roman"/>
                <w:sz w:val="20"/>
                <w:szCs w:val="20"/>
              </w:rPr>
            </w:pPr>
            <w:r>
              <w:rPr>
                <w:rFonts w:eastAsia="Times New Roman"/>
                <w:sz w:val="20"/>
                <w:szCs w:val="20"/>
              </w:rPr>
              <w:t>(446,264</w:t>
            </w:r>
          </w:p>
        </w:tc>
        <w:tc>
          <w:tcPr>
            <w:tcW w:w="50" w:type="pct"/>
            <w:shd w:val="clear" w:color="auto" w:fill="FFFFFF"/>
            <w:noWrap/>
            <w:vAlign w:val="bottom"/>
            <w:hideMark/>
          </w:tcPr>
          <w:p w14:paraId="419A6844"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B9ED2F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112F6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953F65A" w14:textId="77777777" w:rsidR="00000000" w:rsidRDefault="00EB4933">
            <w:pPr>
              <w:jc w:val="right"/>
              <w:rPr>
                <w:rFonts w:eastAsia="Times New Roman"/>
                <w:sz w:val="20"/>
                <w:szCs w:val="20"/>
              </w:rPr>
            </w:pPr>
            <w:r>
              <w:rPr>
                <w:rFonts w:eastAsia="Times New Roman"/>
                <w:sz w:val="20"/>
                <w:szCs w:val="20"/>
              </w:rPr>
              <w:t>446,264</w:t>
            </w:r>
          </w:p>
        </w:tc>
        <w:tc>
          <w:tcPr>
            <w:tcW w:w="50" w:type="pct"/>
            <w:shd w:val="clear" w:color="auto" w:fill="FFFFFF"/>
            <w:noWrap/>
            <w:vAlign w:val="center"/>
            <w:hideMark/>
          </w:tcPr>
          <w:p w14:paraId="551ED19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5C0B4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28EF04"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56658F3"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26F3CB8" w14:textId="77777777" w:rsidR="00000000" w:rsidRDefault="00EB4933">
            <w:pPr>
              <w:pStyle w:val="NormalWeb"/>
              <w:spacing w:before="0" w:beforeAutospacing="0" w:after="0" w:afterAutospacing="0"/>
              <w:rPr>
                <w:sz w:val="20"/>
                <w:szCs w:val="20"/>
              </w:rPr>
            </w:pPr>
            <w:r>
              <w:rPr>
                <w:sz w:val="20"/>
                <w:szCs w:val="20"/>
              </w:rPr>
              <w:t> </w:t>
            </w:r>
          </w:p>
        </w:tc>
      </w:tr>
      <w:tr w:rsidR="00000000" w14:paraId="1DE55C96" w14:textId="77777777">
        <w:trPr>
          <w:divId w:val="98525094"/>
          <w:trHeight w:val="225"/>
          <w:tblCellSpacing w:w="15" w:type="dxa"/>
        </w:trPr>
        <w:tc>
          <w:tcPr>
            <w:tcW w:w="0" w:type="auto"/>
            <w:shd w:val="clear" w:color="auto" w:fill="CCEEFF"/>
            <w:hideMark/>
          </w:tcPr>
          <w:p w14:paraId="7122358D" w14:textId="77777777" w:rsidR="00000000" w:rsidRDefault="00EB4933">
            <w:pPr>
              <w:pStyle w:val="NormalWeb"/>
              <w:spacing w:before="0" w:beforeAutospacing="0" w:after="0" w:afterAutospacing="0"/>
              <w:rPr>
                <w:sz w:val="20"/>
                <w:szCs w:val="20"/>
              </w:rPr>
            </w:pPr>
            <w:r>
              <w:rPr>
                <w:sz w:val="20"/>
                <w:szCs w:val="20"/>
              </w:rPr>
              <w:t>Repayments of loans from customers (note 8)</w:t>
            </w:r>
          </w:p>
        </w:tc>
        <w:tc>
          <w:tcPr>
            <w:tcW w:w="50" w:type="pct"/>
            <w:shd w:val="clear" w:color="auto" w:fill="CCEEFF"/>
            <w:noWrap/>
            <w:vAlign w:val="center"/>
            <w:hideMark/>
          </w:tcPr>
          <w:p w14:paraId="486D59E2"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61E1017"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A5C05CA" w14:textId="77777777" w:rsidR="00000000" w:rsidRDefault="00EB4933">
            <w:pPr>
              <w:jc w:val="right"/>
              <w:rPr>
                <w:rFonts w:eastAsia="Times New Roman"/>
                <w:sz w:val="20"/>
                <w:szCs w:val="20"/>
              </w:rPr>
            </w:pPr>
            <w:r>
              <w:rPr>
                <w:rFonts w:eastAsia="Times New Roman"/>
                <w:sz w:val="20"/>
                <w:szCs w:val="20"/>
              </w:rPr>
              <w:t>233,126</w:t>
            </w:r>
          </w:p>
        </w:tc>
        <w:tc>
          <w:tcPr>
            <w:tcW w:w="50" w:type="pct"/>
            <w:shd w:val="clear" w:color="auto" w:fill="CCEEFF"/>
            <w:noWrap/>
            <w:tcMar>
              <w:top w:w="0" w:type="dxa"/>
              <w:left w:w="0" w:type="dxa"/>
              <w:bottom w:w="15" w:type="dxa"/>
              <w:right w:w="0" w:type="dxa"/>
            </w:tcMar>
            <w:vAlign w:val="center"/>
            <w:hideMark/>
          </w:tcPr>
          <w:p w14:paraId="6757028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07ECD4"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B152BF4"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643E631" w14:textId="77777777" w:rsidR="00000000" w:rsidRDefault="00EB4933">
            <w:pPr>
              <w:jc w:val="right"/>
              <w:rPr>
                <w:rFonts w:eastAsia="Times New Roman"/>
                <w:sz w:val="20"/>
                <w:szCs w:val="20"/>
              </w:rPr>
            </w:pPr>
            <w:r>
              <w:rPr>
                <w:rFonts w:eastAsia="Times New Roman"/>
                <w:sz w:val="20"/>
                <w:szCs w:val="20"/>
              </w:rPr>
              <w:t>(233,126</w:t>
            </w:r>
          </w:p>
        </w:tc>
        <w:tc>
          <w:tcPr>
            <w:tcW w:w="50" w:type="pct"/>
            <w:shd w:val="clear" w:color="auto" w:fill="CCEEFF"/>
            <w:noWrap/>
            <w:tcMar>
              <w:top w:w="0" w:type="dxa"/>
              <w:left w:w="0" w:type="dxa"/>
              <w:bottom w:w="15" w:type="dxa"/>
              <w:right w:w="0" w:type="dxa"/>
            </w:tcMar>
            <w:vAlign w:val="bottom"/>
            <w:hideMark/>
          </w:tcPr>
          <w:p w14:paraId="45E2A245"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277FAF3"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FE2F37F"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0A44A51"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69C3F6F1" w14:textId="77777777" w:rsidR="00000000" w:rsidRDefault="00EB4933">
            <w:pPr>
              <w:pStyle w:val="NormalWeb"/>
              <w:spacing w:before="0" w:beforeAutospacing="0" w:after="0" w:afterAutospacing="0"/>
              <w:rPr>
                <w:sz w:val="20"/>
                <w:szCs w:val="20"/>
              </w:rPr>
            </w:pPr>
            <w:r>
              <w:rPr>
                <w:sz w:val="20"/>
                <w:szCs w:val="20"/>
              </w:rPr>
              <w:t> </w:t>
            </w:r>
          </w:p>
        </w:tc>
      </w:tr>
      <w:tr w:rsidR="00000000" w14:paraId="6D4B4B10" w14:textId="77777777">
        <w:trPr>
          <w:divId w:val="98525094"/>
          <w:trHeight w:val="225"/>
          <w:tblCellSpacing w:w="15" w:type="dxa"/>
        </w:trPr>
        <w:tc>
          <w:tcPr>
            <w:tcW w:w="0" w:type="auto"/>
            <w:shd w:val="clear" w:color="auto" w:fill="FFFFFF"/>
            <w:hideMark/>
          </w:tcPr>
          <w:p w14:paraId="031DA297" w14:textId="77777777" w:rsidR="00000000" w:rsidRDefault="00EB4933">
            <w:pPr>
              <w:pStyle w:val="NormalWeb"/>
              <w:spacing w:before="0" w:beforeAutospacing="0" w:after="0" w:afterAutospacing="0"/>
              <w:rPr>
                <w:sz w:val="20"/>
                <w:szCs w:val="20"/>
              </w:rPr>
            </w:pPr>
            <w:r>
              <w:rPr>
                <w:rStyle w:val="Strong"/>
                <w:sz w:val="20"/>
                <w:szCs w:val="20"/>
              </w:rPr>
              <w:t xml:space="preserve">Net cash used in investing activities </w:t>
            </w:r>
            <w:r>
              <w:rPr>
                <w:sz w:val="20"/>
                <w:szCs w:val="20"/>
              </w:rPr>
              <w:t>(note 8)</w:t>
            </w:r>
          </w:p>
        </w:tc>
        <w:tc>
          <w:tcPr>
            <w:tcW w:w="50" w:type="pct"/>
            <w:shd w:val="clear" w:color="auto" w:fill="FFFFFF"/>
            <w:noWrap/>
            <w:vAlign w:val="center"/>
            <w:hideMark/>
          </w:tcPr>
          <w:p w14:paraId="22F321E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4681A05"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8BB1BC5" w14:textId="77777777" w:rsidR="00000000" w:rsidRDefault="00EB4933">
            <w:pPr>
              <w:jc w:val="right"/>
              <w:rPr>
                <w:rFonts w:eastAsia="Times New Roman"/>
                <w:sz w:val="20"/>
                <w:szCs w:val="20"/>
              </w:rPr>
            </w:pPr>
            <w:r>
              <w:rPr>
                <w:rFonts w:eastAsia="Times New Roman"/>
                <w:sz w:val="20"/>
                <w:szCs w:val="20"/>
              </w:rPr>
              <w:t>(213,138</w:t>
            </w:r>
          </w:p>
        </w:tc>
        <w:tc>
          <w:tcPr>
            <w:tcW w:w="50" w:type="pct"/>
            <w:shd w:val="clear" w:color="auto" w:fill="FFFFFF"/>
            <w:noWrap/>
            <w:tcMar>
              <w:top w:w="0" w:type="dxa"/>
              <w:left w:w="0" w:type="dxa"/>
              <w:bottom w:w="15" w:type="dxa"/>
              <w:right w:w="0" w:type="dxa"/>
            </w:tcMar>
            <w:vAlign w:val="bottom"/>
            <w:hideMark/>
          </w:tcPr>
          <w:p w14:paraId="0D2501E7"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FC6AA45"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37F1179"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CCE4B31" w14:textId="77777777" w:rsidR="00000000" w:rsidRDefault="00EB4933">
            <w:pPr>
              <w:jc w:val="right"/>
              <w:rPr>
                <w:rFonts w:eastAsia="Times New Roman"/>
                <w:sz w:val="20"/>
                <w:szCs w:val="20"/>
              </w:rPr>
            </w:pPr>
            <w:r>
              <w:rPr>
                <w:rFonts w:eastAsia="Times New Roman"/>
                <w:sz w:val="20"/>
                <w:szCs w:val="20"/>
              </w:rPr>
              <w:t>213,138</w:t>
            </w:r>
          </w:p>
        </w:tc>
        <w:tc>
          <w:tcPr>
            <w:tcW w:w="50" w:type="pct"/>
            <w:shd w:val="clear" w:color="auto" w:fill="FFFFFF"/>
            <w:noWrap/>
            <w:tcMar>
              <w:top w:w="0" w:type="dxa"/>
              <w:left w:w="0" w:type="dxa"/>
              <w:bottom w:w="15" w:type="dxa"/>
              <w:right w:w="0" w:type="dxa"/>
            </w:tcMar>
            <w:vAlign w:val="center"/>
            <w:hideMark/>
          </w:tcPr>
          <w:p w14:paraId="3127506C"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450CDC" w14:textId="77777777" w:rsidR="00000000" w:rsidRDefault="00EB4933">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00B34A8" w14:textId="77777777" w:rsidR="00000000" w:rsidRDefault="00EB4933">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8EFD79E" w14:textId="77777777" w:rsidR="00000000" w:rsidRDefault="00EB4933">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442F7FEC" w14:textId="77777777" w:rsidR="00000000" w:rsidRDefault="00EB4933">
            <w:pPr>
              <w:pStyle w:val="NormalWeb"/>
              <w:spacing w:before="0" w:beforeAutospacing="0" w:after="0" w:afterAutospacing="0"/>
              <w:rPr>
                <w:sz w:val="20"/>
                <w:szCs w:val="20"/>
              </w:rPr>
            </w:pPr>
            <w:r>
              <w:rPr>
                <w:sz w:val="20"/>
                <w:szCs w:val="20"/>
              </w:rPr>
              <w:t> </w:t>
            </w:r>
          </w:p>
        </w:tc>
      </w:tr>
      <w:tr w:rsidR="00000000" w14:paraId="29AF6795" w14:textId="77777777">
        <w:trPr>
          <w:divId w:val="98525094"/>
          <w:trHeight w:val="225"/>
          <w:tblCellSpacing w:w="15" w:type="dxa"/>
        </w:trPr>
        <w:tc>
          <w:tcPr>
            <w:tcW w:w="0" w:type="auto"/>
            <w:shd w:val="clear" w:color="auto" w:fill="CCEEFF"/>
            <w:vAlign w:val="center"/>
            <w:hideMark/>
          </w:tcPr>
          <w:p w14:paraId="7C8B85D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9A920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DFDE7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2658A1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6F638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84B183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EC3FA9"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952F5C9"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ABED2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B4949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B4D532"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A63BA6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F3CA94" w14:textId="77777777" w:rsidR="00000000" w:rsidRDefault="00EB4933">
            <w:pPr>
              <w:pStyle w:val="NormalWeb"/>
              <w:spacing w:before="0" w:beforeAutospacing="0" w:after="0" w:afterAutospacing="0"/>
              <w:rPr>
                <w:sz w:val="20"/>
                <w:szCs w:val="20"/>
              </w:rPr>
            </w:pPr>
            <w:r>
              <w:rPr>
                <w:sz w:val="20"/>
                <w:szCs w:val="20"/>
              </w:rPr>
              <w:t> </w:t>
            </w:r>
          </w:p>
        </w:tc>
      </w:tr>
      <w:tr w:rsidR="00000000" w14:paraId="17BC6B16" w14:textId="77777777">
        <w:trPr>
          <w:divId w:val="98525094"/>
          <w:trHeight w:val="225"/>
          <w:tblCellSpacing w:w="15" w:type="dxa"/>
        </w:trPr>
        <w:tc>
          <w:tcPr>
            <w:tcW w:w="0" w:type="auto"/>
            <w:shd w:val="clear" w:color="auto" w:fill="FFFFFF"/>
            <w:hideMark/>
          </w:tcPr>
          <w:p w14:paraId="49259479" w14:textId="77777777" w:rsidR="00000000" w:rsidRDefault="00EB4933">
            <w:pPr>
              <w:pStyle w:val="NormalWeb"/>
              <w:spacing w:before="0" w:beforeAutospacing="0" w:after="0" w:afterAutospacing="0"/>
              <w:rPr>
                <w:sz w:val="20"/>
                <w:szCs w:val="20"/>
              </w:rPr>
            </w:pPr>
            <w:r>
              <w:rPr>
                <w:rStyle w:val="Strong"/>
                <w:sz w:val="20"/>
                <w:szCs w:val="20"/>
              </w:rPr>
              <w:t>Cash flow from financing activities</w:t>
            </w:r>
          </w:p>
        </w:tc>
        <w:tc>
          <w:tcPr>
            <w:tcW w:w="50" w:type="pct"/>
            <w:shd w:val="clear" w:color="auto" w:fill="FFFFFF"/>
            <w:noWrap/>
            <w:vAlign w:val="center"/>
            <w:hideMark/>
          </w:tcPr>
          <w:p w14:paraId="41BDBB8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CFEE2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1F02C4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DF7F0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19043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C36F3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08DBA5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335C86"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71593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79942F"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B36C82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A994C1" w14:textId="77777777" w:rsidR="00000000" w:rsidRDefault="00EB4933">
            <w:pPr>
              <w:pStyle w:val="NormalWeb"/>
              <w:spacing w:before="0" w:beforeAutospacing="0" w:after="0" w:afterAutospacing="0"/>
              <w:rPr>
                <w:sz w:val="20"/>
                <w:szCs w:val="20"/>
              </w:rPr>
            </w:pPr>
            <w:r>
              <w:rPr>
                <w:sz w:val="20"/>
                <w:szCs w:val="20"/>
              </w:rPr>
              <w:t> </w:t>
            </w:r>
          </w:p>
        </w:tc>
      </w:tr>
      <w:tr w:rsidR="00000000" w14:paraId="63519D43" w14:textId="77777777">
        <w:trPr>
          <w:divId w:val="98525094"/>
          <w:trHeight w:val="225"/>
          <w:tblCellSpacing w:w="15" w:type="dxa"/>
        </w:trPr>
        <w:tc>
          <w:tcPr>
            <w:tcW w:w="0" w:type="auto"/>
            <w:shd w:val="clear" w:color="auto" w:fill="CCEEFF"/>
            <w:hideMark/>
          </w:tcPr>
          <w:p w14:paraId="3264DC99" w14:textId="77777777" w:rsidR="00000000" w:rsidRDefault="00EB4933">
            <w:pPr>
              <w:pStyle w:val="NormalWeb"/>
              <w:spacing w:before="0" w:beforeAutospacing="0" w:after="0" w:afterAutospacing="0"/>
              <w:rPr>
                <w:sz w:val="20"/>
                <w:szCs w:val="20"/>
              </w:rPr>
            </w:pPr>
            <w:r>
              <w:rPr>
                <w:sz w:val="20"/>
                <w:szCs w:val="20"/>
              </w:rPr>
              <w:t>Proceeds received from shareholders’ loans (note 10)</w:t>
            </w:r>
          </w:p>
        </w:tc>
        <w:tc>
          <w:tcPr>
            <w:tcW w:w="50" w:type="pct"/>
            <w:shd w:val="clear" w:color="auto" w:fill="CCEEFF"/>
            <w:noWrap/>
            <w:vAlign w:val="center"/>
            <w:hideMark/>
          </w:tcPr>
          <w:p w14:paraId="626F967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ED79D3"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A677EE0" w14:textId="77777777" w:rsidR="00000000" w:rsidRDefault="00EB4933">
            <w:pPr>
              <w:jc w:val="right"/>
              <w:rPr>
                <w:rFonts w:eastAsia="Times New Roman"/>
                <w:sz w:val="20"/>
                <w:szCs w:val="20"/>
              </w:rPr>
            </w:pPr>
            <w:r>
              <w:rPr>
                <w:rFonts w:eastAsia="Times New Roman"/>
                <w:sz w:val="20"/>
                <w:szCs w:val="20"/>
              </w:rPr>
              <w:t>2,000</w:t>
            </w:r>
          </w:p>
        </w:tc>
        <w:tc>
          <w:tcPr>
            <w:tcW w:w="50" w:type="pct"/>
            <w:shd w:val="clear" w:color="auto" w:fill="CCEEFF"/>
            <w:noWrap/>
            <w:vAlign w:val="center"/>
            <w:hideMark/>
          </w:tcPr>
          <w:p w14:paraId="7F7B2E8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B4614F"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05E825"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FA7A21E" w14:textId="77777777" w:rsidR="00000000" w:rsidRDefault="00EB4933">
            <w:pPr>
              <w:jc w:val="right"/>
              <w:rPr>
                <w:rFonts w:eastAsia="Times New Roman"/>
                <w:sz w:val="20"/>
                <w:szCs w:val="20"/>
              </w:rPr>
            </w:pPr>
            <w:r>
              <w:rPr>
                <w:rFonts w:eastAsia="Times New Roman"/>
                <w:sz w:val="20"/>
                <w:szCs w:val="20"/>
              </w:rPr>
              <w:t>48,000</w:t>
            </w:r>
          </w:p>
        </w:tc>
        <w:tc>
          <w:tcPr>
            <w:tcW w:w="50" w:type="pct"/>
            <w:shd w:val="clear" w:color="auto" w:fill="CCEEFF"/>
            <w:noWrap/>
            <w:vAlign w:val="center"/>
            <w:hideMark/>
          </w:tcPr>
          <w:p w14:paraId="1D03281A"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2620B3"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C12FCB"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0536480" w14:textId="77777777" w:rsidR="00000000" w:rsidRDefault="00EB4933">
            <w:pPr>
              <w:jc w:val="right"/>
              <w:rPr>
                <w:rFonts w:eastAsia="Times New Roman"/>
                <w:sz w:val="20"/>
                <w:szCs w:val="20"/>
              </w:rPr>
            </w:pPr>
            <w:r>
              <w:rPr>
                <w:rFonts w:eastAsia="Times New Roman"/>
                <w:sz w:val="20"/>
                <w:szCs w:val="20"/>
              </w:rPr>
              <w:t>50,000</w:t>
            </w:r>
          </w:p>
        </w:tc>
        <w:tc>
          <w:tcPr>
            <w:tcW w:w="50" w:type="pct"/>
            <w:shd w:val="clear" w:color="auto" w:fill="CCEEFF"/>
            <w:noWrap/>
            <w:vAlign w:val="center"/>
            <w:hideMark/>
          </w:tcPr>
          <w:p w14:paraId="5A434F9A" w14:textId="77777777" w:rsidR="00000000" w:rsidRDefault="00EB4933">
            <w:pPr>
              <w:pStyle w:val="NormalWeb"/>
              <w:spacing w:before="0" w:beforeAutospacing="0" w:after="0" w:afterAutospacing="0"/>
              <w:rPr>
                <w:sz w:val="20"/>
                <w:szCs w:val="20"/>
              </w:rPr>
            </w:pPr>
            <w:r>
              <w:rPr>
                <w:sz w:val="20"/>
                <w:szCs w:val="20"/>
              </w:rPr>
              <w:t> </w:t>
            </w:r>
          </w:p>
        </w:tc>
      </w:tr>
      <w:tr w:rsidR="00000000" w14:paraId="13D078CA" w14:textId="77777777">
        <w:trPr>
          <w:divId w:val="98525094"/>
          <w:trHeight w:val="225"/>
          <w:tblCellSpacing w:w="15" w:type="dxa"/>
        </w:trPr>
        <w:tc>
          <w:tcPr>
            <w:tcW w:w="0" w:type="auto"/>
            <w:shd w:val="clear" w:color="auto" w:fill="FFFFFF"/>
            <w:hideMark/>
          </w:tcPr>
          <w:p w14:paraId="4D0AF6C5" w14:textId="77777777" w:rsidR="00000000" w:rsidRDefault="00EB4933">
            <w:pPr>
              <w:pStyle w:val="NormalWeb"/>
              <w:spacing w:before="0" w:beforeAutospacing="0" w:after="0" w:afterAutospacing="0"/>
              <w:rPr>
                <w:sz w:val="20"/>
                <w:szCs w:val="20"/>
              </w:rPr>
            </w:pPr>
            <w:r>
              <w:rPr>
                <w:sz w:val="20"/>
                <w:szCs w:val="20"/>
              </w:rPr>
              <w:t>Repayments of shareholders’ loans (note 10)</w:t>
            </w:r>
          </w:p>
        </w:tc>
        <w:tc>
          <w:tcPr>
            <w:tcW w:w="50" w:type="pct"/>
            <w:shd w:val="clear" w:color="auto" w:fill="FFFFFF"/>
            <w:noWrap/>
            <w:vAlign w:val="center"/>
            <w:hideMark/>
          </w:tcPr>
          <w:p w14:paraId="38A9BED4"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0AADF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BC1E774" w14:textId="77777777" w:rsidR="00000000" w:rsidRDefault="00EB4933">
            <w:pPr>
              <w:jc w:val="right"/>
              <w:rPr>
                <w:rFonts w:eastAsia="Times New Roman"/>
                <w:sz w:val="20"/>
                <w:szCs w:val="20"/>
              </w:rPr>
            </w:pPr>
            <w:r>
              <w:rPr>
                <w:rFonts w:eastAsia="Times New Roman"/>
                <w:sz w:val="20"/>
                <w:szCs w:val="20"/>
              </w:rPr>
              <w:t>(2,000</w:t>
            </w:r>
          </w:p>
        </w:tc>
        <w:tc>
          <w:tcPr>
            <w:tcW w:w="50" w:type="pct"/>
            <w:shd w:val="clear" w:color="auto" w:fill="FFFFFF"/>
            <w:noWrap/>
            <w:vAlign w:val="bottom"/>
            <w:hideMark/>
          </w:tcPr>
          <w:p w14:paraId="48D9227C"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D0CC49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DFA581"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7DD4A57" w14:textId="77777777" w:rsidR="00000000" w:rsidRDefault="00EB4933">
            <w:pPr>
              <w:jc w:val="right"/>
              <w:rPr>
                <w:rFonts w:eastAsia="Times New Roman"/>
                <w:sz w:val="20"/>
                <w:szCs w:val="20"/>
              </w:rPr>
            </w:pPr>
            <w:r>
              <w:rPr>
                <w:rFonts w:eastAsia="Times New Roman"/>
                <w:sz w:val="20"/>
                <w:szCs w:val="20"/>
              </w:rPr>
              <w:t>(58,000</w:t>
            </w:r>
          </w:p>
        </w:tc>
        <w:tc>
          <w:tcPr>
            <w:tcW w:w="50" w:type="pct"/>
            <w:shd w:val="clear" w:color="auto" w:fill="FFFFFF"/>
            <w:noWrap/>
            <w:vAlign w:val="bottom"/>
            <w:hideMark/>
          </w:tcPr>
          <w:p w14:paraId="4F79A47A"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8A7B0FE"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3DBD7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F9B4D9B" w14:textId="77777777" w:rsidR="00000000" w:rsidRDefault="00EB4933">
            <w:pPr>
              <w:jc w:val="right"/>
              <w:rPr>
                <w:rFonts w:eastAsia="Times New Roman"/>
                <w:sz w:val="20"/>
                <w:szCs w:val="20"/>
              </w:rPr>
            </w:pPr>
            <w:r>
              <w:rPr>
                <w:rFonts w:eastAsia="Times New Roman"/>
                <w:sz w:val="20"/>
                <w:szCs w:val="20"/>
              </w:rPr>
              <w:t>(60,000</w:t>
            </w:r>
          </w:p>
        </w:tc>
        <w:tc>
          <w:tcPr>
            <w:tcW w:w="50" w:type="pct"/>
            <w:shd w:val="clear" w:color="auto" w:fill="FFFFFF"/>
            <w:noWrap/>
            <w:vAlign w:val="bottom"/>
            <w:hideMark/>
          </w:tcPr>
          <w:p w14:paraId="33FD3469" w14:textId="77777777" w:rsidR="00000000" w:rsidRDefault="00EB4933">
            <w:pPr>
              <w:rPr>
                <w:rFonts w:eastAsia="Times New Roman"/>
                <w:sz w:val="20"/>
                <w:szCs w:val="20"/>
              </w:rPr>
            </w:pPr>
            <w:r>
              <w:rPr>
                <w:rFonts w:eastAsia="Times New Roman"/>
                <w:sz w:val="20"/>
                <w:szCs w:val="20"/>
              </w:rPr>
              <w:t>)</w:t>
            </w:r>
          </w:p>
        </w:tc>
      </w:tr>
      <w:tr w:rsidR="00000000" w14:paraId="2717FB66" w14:textId="77777777">
        <w:trPr>
          <w:divId w:val="98525094"/>
          <w:trHeight w:val="225"/>
          <w:tblCellSpacing w:w="15" w:type="dxa"/>
        </w:trPr>
        <w:tc>
          <w:tcPr>
            <w:tcW w:w="0" w:type="auto"/>
            <w:shd w:val="clear" w:color="auto" w:fill="CCEEFF"/>
            <w:hideMark/>
          </w:tcPr>
          <w:p w14:paraId="3FB68C4A" w14:textId="77777777" w:rsidR="00000000" w:rsidRDefault="00EB4933">
            <w:pPr>
              <w:pStyle w:val="NormalWeb"/>
              <w:spacing w:before="0" w:beforeAutospacing="0" w:after="0" w:afterAutospacing="0"/>
              <w:rPr>
                <w:sz w:val="20"/>
                <w:szCs w:val="20"/>
              </w:rPr>
            </w:pPr>
            <w:r>
              <w:rPr>
                <w:sz w:val="20"/>
                <w:szCs w:val="20"/>
              </w:rPr>
              <w:t>Proceeds received from loans payable (note 10)</w:t>
            </w:r>
          </w:p>
        </w:tc>
        <w:tc>
          <w:tcPr>
            <w:tcW w:w="50" w:type="pct"/>
            <w:shd w:val="clear" w:color="auto" w:fill="CCEEFF"/>
            <w:noWrap/>
            <w:vAlign w:val="center"/>
            <w:hideMark/>
          </w:tcPr>
          <w:p w14:paraId="5930C17B"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7B7A4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20ED388" w14:textId="77777777" w:rsidR="00000000" w:rsidRDefault="00EB4933">
            <w:pPr>
              <w:jc w:val="right"/>
              <w:rPr>
                <w:rFonts w:eastAsia="Times New Roman"/>
                <w:sz w:val="20"/>
                <w:szCs w:val="20"/>
              </w:rPr>
            </w:pPr>
            <w:r>
              <w:rPr>
                <w:rFonts w:eastAsia="Times New Roman"/>
                <w:sz w:val="20"/>
                <w:szCs w:val="20"/>
              </w:rPr>
              <w:t>384,240</w:t>
            </w:r>
          </w:p>
        </w:tc>
        <w:tc>
          <w:tcPr>
            <w:tcW w:w="50" w:type="pct"/>
            <w:shd w:val="clear" w:color="auto" w:fill="CCEEFF"/>
            <w:noWrap/>
            <w:vAlign w:val="center"/>
            <w:hideMark/>
          </w:tcPr>
          <w:p w14:paraId="2DD5C4CD"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EBAF61"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B4244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1E1BF25" w14:textId="77777777" w:rsidR="00000000" w:rsidRDefault="00EB4933">
            <w:pPr>
              <w:jc w:val="right"/>
              <w:rPr>
                <w:rFonts w:eastAsia="Times New Roman"/>
                <w:sz w:val="20"/>
                <w:szCs w:val="20"/>
              </w:rPr>
            </w:pPr>
            <w:r>
              <w:rPr>
                <w:rFonts w:eastAsia="Times New Roman"/>
                <w:sz w:val="20"/>
                <w:szCs w:val="20"/>
              </w:rPr>
              <w:t>(48,000</w:t>
            </w:r>
          </w:p>
        </w:tc>
        <w:tc>
          <w:tcPr>
            <w:tcW w:w="50" w:type="pct"/>
            <w:shd w:val="clear" w:color="auto" w:fill="CCEEFF"/>
            <w:noWrap/>
            <w:vAlign w:val="bottom"/>
            <w:hideMark/>
          </w:tcPr>
          <w:p w14:paraId="3C6EBD31" w14:textId="77777777" w:rsidR="00000000" w:rsidRDefault="00EB4933">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F5CD6F7"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AFBD97"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C090713" w14:textId="77777777" w:rsidR="00000000" w:rsidRDefault="00EB4933">
            <w:pPr>
              <w:jc w:val="right"/>
              <w:rPr>
                <w:rFonts w:eastAsia="Times New Roman"/>
                <w:sz w:val="20"/>
                <w:szCs w:val="20"/>
              </w:rPr>
            </w:pPr>
            <w:r>
              <w:rPr>
                <w:rFonts w:eastAsia="Times New Roman"/>
                <w:sz w:val="20"/>
                <w:szCs w:val="20"/>
              </w:rPr>
              <w:t>336,240</w:t>
            </w:r>
          </w:p>
        </w:tc>
        <w:tc>
          <w:tcPr>
            <w:tcW w:w="50" w:type="pct"/>
            <w:shd w:val="clear" w:color="auto" w:fill="CCEEFF"/>
            <w:noWrap/>
            <w:vAlign w:val="center"/>
            <w:hideMark/>
          </w:tcPr>
          <w:p w14:paraId="216126BE" w14:textId="77777777" w:rsidR="00000000" w:rsidRDefault="00EB4933">
            <w:pPr>
              <w:pStyle w:val="NormalWeb"/>
              <w:spacing w:before="0" w:beforeAutospacing="0" w:after="0" w:afterAutospacing="0"/>
              <w:rPr>
                <w:sz w:val="20"/>
                <w:szCs w:val="20"/>
              </w:rPr>
            </w:pPr>
            <w:r>
              <w:rPr>
                <w:sz w:val="20"/>
                <w:szCs w:val="20"/>
              </w:rPr>
              <w:t> </w:t>
            </w:r>
          </w:p>
        </w:tc>
      </w:tr>
      <w:tr w:rsidR="00000000" w14:paraId="51C9BC7D" w14:textId="77777777">
        <w:trPr>
          <w:divId w:val="98525094"/>
          <w:trHeight w:val="225"/>
          <w:tblCellSpacing w:w="15" w:type="dxa"/>
        </w:trPr>
        <w:tc>
          <w:tcPr>
            <w:tcW w:w="0" w:type="auto"/>
            <w:shd w:val="clear" w:color="auto" w:fill="FFFFFF"/>
            <w:hideMark/>
          </w:tcPr>
          <w:p w14:paraId="5E14509E" w14:textId="77777777" w:rsidR="00000000" w:rsidRDefault="00EB4933">
            <w:pPr>
              <w:pStyle w:val="NormalWeb"/>
              <w:spacing w:before="0" w:beforeAutospacing="0" w:after="0" w:afterAutospacing="0"/>
              <w:rPr>
                <w:sz w:val="20"/>
                <w:szCs w:val="20"/>
              </w:rPr>
            </w:pPr>
            <w:r>
              <w:rPr>
                <w:sz w:val="20"/>
                <w:szCs w:val="20"/>
              </w:rPr>
              <w:t>Repayments of loans payable (note 10)</w:t>
            </w:r>
          </w:p>
        </w:tc>
        <w:tc>
          <w:tcPr>
            <w:tcW w:w="50" w:type="pct"/>
            <w:shd w:val="clear" w:color="auto" w:fill="FFFFFF"/>
            <w:noWrap/>
            <w:vAlign w:val="center"/>
            <w:hideMark/>
          </w:tcPr>
          <w:p w14:paraId="4C65B21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6CE288"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03B69A1" w14:textId="77777777" w:rsidR="00000000" w:rsidRDefault="00EB4933">
            <w:pPr>
              <w:jc w:val="right"/>
              <w:rPr>
                <w:rFonts w:eastAsia="Times New Roman"/>
                <w:sz w:val="20"/>
                <w:szCs w:val="20"/>
              </w:rPr>
            </w:pPr>
            <w:r>
              <w:rPr>
                <w:rFonts w:eastAsia="Times New Roman"/>
                <w:sz w:val="20"/>
                <w:szCs w:val="20"/>
              </w:rPr>
              <w:t>(332,990</w:t>
            </w:r>
          </w:p>
        </w:tc>
        <w:tc>
          <w:tcPr>
            <w:tcW w:w="50" w:type="pct"/>
            <w:shd w:val="clear" w:color="auto" w:fill="FFFFFF"/>
            <w:noWrap/>
            <w:vAlign w:val="bottom"/>
            <w:hideMark/>
          </w:tcPr>
          <w:p w14:paraId="52500075" w14:textId="77777777" w:rsidR="00000000" w:rsidRDefault="00EB4933">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22E6078"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37BEE0"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DA264B3" w14:textId="77777777" w:rsidR="00000000" w:rsidRDefault="00EB4933">
            <w:pPr>
              <w:jc w:val="right"/>
              <w:rPr>
                <w:rFonts w:eastAsia="Times New Roman"/>
                <w:sz w:val="20"/>
                <w:szCs w:val="20"/>
              </w:rPr>
            </w:pPr>
            <w:r>
              <w:rPr>
                <w:rFonts w:eastAsia="Times New Roman"/>
                <w:sz w:val="20"/>
                <w:szCs w:val="20"/>
              </w:rPr>
              <w:t>58,000</w:t>
            </w:r>
          </w:p>
        </w:tc>
        <w:tc>
          <w:tcPr>
            <w:tcW w:w="50" w:type="pct"/>
            <w:shd w:val="clear" w:color="auto" w:fill="FFFFFF"/>
            <w:noWrap/>
            <w:vAlign w:val="center"/>
            <w:hideMark/>
          </w:tcPr>
          <w:p w14:paraId="59FE1240"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0EF865" w14:textId="77777777" w:rsidR="00000000" w:rsidRDefault="00EB4933">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5BF7AE" w14:textId="77777777" w:rsidR="00000000" w:rsidRDefault="00EB4933">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339C8E0" w14:textId="77777777" w:rsidR="00000000" w:rsidRDefault="00EB4933">
            <w:pPr>
              <w:jc w:val="right"/>
              <w:rPr>
                <w:rFonts w:eastAsia="Times New Roman"/>
                <w:sz w:val="20"/>
                <w:szCs w:val="20"/>
              </w:rPr>
            </w:pPr>
            <w:r>
              <w:rPr>
                <w:rFonts w:eastAsia="Times New Roman"/>
                <w:sz w:val="20"/>
                <w:szCs w:val="20"/>
              </w:rPr>
              <w:t>(274,990</w:t>
            </w:r>
          </w:p>
        </w:tc>
        <w:tc>
          <w:tcPr>
            <w:tcW w:w="50" w:type="pct"/>
            <w:shd w:val="clear" w:color="auto" w:fill="FFFFFF"/>
            <w:noWrap/>
            <w:vAlign w:val="bottom"/>
            <w:hideMark/>
          </w:tcPr>
          <w:p w14:paraId="2ADBEAC1" w14:textId="77777777" w:rsidR="00000000" w:rsidRDefault="00EB4933">
            <w:pPr>
              <w:rPr>
                <w:rFonts w:eastAsia="Times New Roman"/>
                <w:sz w:val="20"/>
                <w:szCs w:val="20"/>
              </w:rPr>
            </w:pPr>
            <w:r>
              <w:rPr>
                <w:rFonts w:eastAsia="Times New Roman"/>
                <w:sz w:val="20"/>
                <w:szCs w:val="20"/>
              </w:rPr>
              <w:t>)</w:t>
            </w:r>
          </w:p>
        </w:tc>
      </w:tr>
    </w:tbl>
    <w:p w14:paraId="4350E119" w14:textId="77777777" w:rsidR="00000000" w:rsidRDefault="00EB4933">
      <w:pPr>
        <w:pStyle w:val="NormalWeb"/>
        <w:spacing w:before="0" w:beforeAutospacing="0" w:after="0" w:afterAutospacing="0"/>
        <w:jc w:val="both"/>
        <w:divId w:val="98525094"/>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8D4D457" w14:textId="77777777">
        <w:trPr>
          <w:divId w:val="98525094"/>
          <w:trHeight w:val="225"/>
          <w:tblCellSpacing w:w="15" w:type="dxa"/>
        </w:trPr>
        <w:tc>
          <w:tcPr>
            <w:tcW w:w="0" w:type="auto"/>
            <w:vAlign w:val="center"/>
            <w:hideMark/>
          </w:tcPr>
          <w:p w14:paraId="10D8662F" w14:textId="77777777" w:rsidR="00000000" w:rsidRDefault="00EB4933">
            <w:pPr>
              <w:rPr>
                <w:sz w:val="20"/>
                <w:szCs w:val="20"/>
              </w:rPr>
            </w:pPr>
          </w:p>
        </w:tc>
      </w:tr>
      <w:tr w:rsidR="00000000" w14:paraId="5ABB4535" w14:textId="77777777">
        <w:trPr>
          <w:divId w:val="98525094"/>
          <w:trHeight w:val="225"/>
          <w:tblCellSpacing w:w="15" w:type="dxa"/>
        </w:trPr>
        <w:tc>
          <w:tcPr>
            <w:tcW w:w="0" w:type="auto"/>
            <w:tcBorders>
              <w:bottom w:val="single" w:sz="6" w:space="0" w:color="000000"/>
            </w:tcBorders>
            <w:vAlign w:val="center"/>
            <w:hideMark/>
          </w:tcPr>
          <w:p w14:paraId="77E30171" w14:textId="77777777" w:rsidR="00000000" w:rsidRDefault="00EB4933">
            <w:pPr>
              <w:jc w:val="center"/>
              <w:rPr>
                <w:rFonts w:eastAsia="Times New Roman"/>
                <w:sz w:val="20"/>
                <w:szCs w:val="20"/>
              </w:rPr>
            </w:pPr>
            <w:r>
              <w:rPr>
                <w:rFonts w:eastAsia="Times New Roman"/>
                <w:sz w:val="20"/>
                <w:szCs w:val="20"/>
              </w:rPr>
              <w:t>A-5</w:t>
            </w:r>
          </w:p>
        </w:tc>
      </w:tr>
    </w:tbl>
    <w:p w14:paraId="5D5AF784" w14:textId="77777777" w:rsidR="00000000" w:rsidRDefault="00EB4933">
      <w:pPr>
        <w:pStyle w:val="NormalWeb"/>
        <w:spacing w:before="0" w:beforeAutospacing="0" w:after="0" w:afterAutospacing="0"/>
        <w:jc w:val="both"/>
        <w:divId w:val="98525094"/>
        <w:rPr>
          <w:sz w:val="20"/>
          <w:szCs w:val="20"/>
        </w:rPr>
      </w:pPr>
      <w:r>
        <w:rPr>
          <w:sz w:val="20"/>
          <w:szCs w:val="20"/>
        </w:rPr>
        <w:t> </w:t>
      </w:r>
    </w:p>
    <w:p w14:paraId="05D66710" w14:textId="77777777" w:rsidR="00000000" w:rsidRDefault="00EB4933">
      <w:pPr>
        <w:jc w:val="both"/>
        <w:divId w:val="2032606299"/>
        <w:rPr>
          <w:rFonts w:eastAsia="Times New Roman"/>
          <w:sz w:val="20"/>
          <w:szCs w:val="20"/>
        </w:rPr>
      </w:pPr>
      <w:r>
        <w:rPr>
          <w:rFonts w:eastAsia="Times New Roman"/>
          <w:sz w:val="20"/>
          <w:szCs w:val="20"/>
        </w:rPr>
        <w:t> </w:t>
      </w:r>
    </w:p>
    <w:p w14:paraId="0D3C77B4" w14:textId="77777777" w:rsidR="00000000" w:rsidRDefault="00EB4933">
      <w:pPr>
        <w:jc w:val="both"/>
        <w:rPr>
          <w:rFonts w:eastAsia="Times New Roman"/>
          <w:sz w:val="20"/>
          <w:szCs w:val="20"/>
        </w:rPr>
      </w:pPr>
    </w:p>
    <w:p w14:paraId="63C8F248" w14:textId="77777777" w:rsidR="00000000" w:rsidRDefault="00EB4933">
      <w:pPr>
        <w:pStyle w:val="NormalWeb"/>
        <w:spacing w:before="0" w:beforeAutospacing="0" w:after="0" w:afterAutospacing="0"/>
        <w:jc w:val="right"/>
        <w:divId w:val="1888255505"/>
        <w:rPr>
          <w:sz w:val="20"/>
          <w:szCs w:val="20"/>
        </w:rPr>
      </w:pPr>
      <w:r>
        <w:rPr>
          <w:sz w:val="20"/>
          <w:szCs w:val="20"/>
        </w:rPr>
        <w:t xml:space="preserve">  </w:t>
      </w:r>
      <w:r>
        <w:rPr>
          <w:rStyle w:val="Strong"/>
          <w:sz w:val="20"/>
          <w:szCs w:val="20"/>
        </w:rPr>
        <w:t>EXHIBIT 4.8</w:t>
      </w:r>
    </w:p>
    <w:p w14:paraId="2F038F58" w14:textId="77777777" w:rsidR="00000000" w:rsidRDefault="00EB4933">
      <w:pPr>
        <w:pStyle w:val="NormalWeb"/>
        <w:spacing w:before="0" w:beforeAutospacing="0" w:after="0" w:afterAutospacing="0"/>
        <w:jc w:val="both"/>
        <w:divId w:val="1888255505"/>
        <w:rPr>
          <w:sz w:val="20"/>
          <w:szCs w:val="20"/>
        </w:rPr>
      </w:pPr>
      <w:r>
        <w:rPr>
          <w:sz w:val="20"/>
          <w:szCs w:val="20"/>
        </w:rPr>
        <w:t> </w:t>
      </w:r>
    </w:p>
    <w:p w14:paraId="369EFEFB" w14:textId="77777777" w:rsidR="00000000" w:rsidRDefault="00EB4933">
      <w:pPr>
        <w:pStyle w:val="NormalWeb"/>
        <w:spacing w:before="0" w:beforeAutospacing="0" w:after="0" w:afterAutospacing="0"/>
        <w:jc w:val="both"/>
        <w:divId w:val="1888255505"/>
        <w:rPr>
          <w:sz w:val="20"/>
          <w:szCs w:val="20"/>
        </w:rPr>
      </w:pPr>
      <w:r>
        <w:rPr>
          <w:sz w:val="20"/>
          <w:szCs w:val="20"/>
        </w:rPr>
        <w:t> </w:t>
      </w:r>
    </w:p>
    <w:p w14:paraId="0CA8BF20" w14:textId="77777777" w:rsidR="00000000" w:rsidRDefault="00EB4933">
      <w:pPr>
        <w:pStyle w:val="NormalWeb"/>
        <w:spacing w:before="0" w:beforeAutospacing="0" w:after="0" w:afterAutospacing="0"/>
        <w:jc w:val="both"/>
        <w:divId w:val="1888255505"/>
        <w:rPr>
          <w:sz w:val="20"/>
          <w:szCs w:val="20"/>
        </w:rPr>
      </w:pPr>
      <w:r>
        <w:rPr>
          <w:sz w:val="20"/>
          <w:szCs w:val="20"/>
        </w:rPr>
        <w:t> </w:t>
      </w:r>
    </w:p>
    <w:p w14:paraId="40B8DD3B" w14:textId="77777777" w:rsidR="00000000" w:rsidRDefault="00EB4933">
      <w:pPr>
        <w:pStyle w:val="NormalWeb"/>
        <w:spacing w:before="0" w:beforeAutospacing="0" w:after="0" w:afterAutospacing="0"/>
        <w:jc w:val="center"/>
        <w:divId w:val="1888255505"/>
        <w:rPr>
          <w:sz w:val="20"/>
          <w:szCs w:val="20"/>
        </w:rPr>
      </w:pPr>
      <w:r>
        <w:rPr>
          <w:noProof/>
          <w:sz w:val="20"/>
          <w:szCs w:val="20"/>
        </w:rPr>
        <w:drawing>
          <wp:inline distT="0" distB="0" distL="0" distR="0" wp14:anchorId="13C4D319" wp14:editId="00E31092">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29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sz w:val="20"/>
          <w:szCs w:val="20"/>
        </w:rPr>
        <w:t> </w:t>
      </w:r>
    </w:p>
    <w:p w14:paraId="0F0BF987" w14:textId="77777777" w:rsidR="00000000" w:rsidRDefault="00EB4933">
      <w:pPr>
        <w:pStyle w:val="NormalWeb"/>
        <w:spacing w:before="0" w:beforeAutospacing="0" w:after="0" w:afterAutospacing="0"/>
        <w:jc w:val="both"/>
        <w:divId w:val="1888255505"/>
        <w:rPr>
          <w:sz w:val="20"/>
          <w:szCs w:val="20"/>
        </w:rPr>
      </w:pPr>
      <w:r>
        <w:rPr>
          <w:sz w:val="20"/>
          <w:szCs w:val="20"/>
        </w:rPr>
        <w:t> </w:t>
      </w:r>
    </w:p>
    <w:p w14:paraId="59706265" w14:textId="77777777" w:rsidR="00000000" w:rsidRDefault="00EB4933">
      <w:pPr>
        <w:pStyle w:val="NormalWeb"/>
        <w:spacing w:before="0" w:beforeAutospacing="0" w:after="0" w:afterAutospacing="0"/>
        <w:jc w:val="both"/>
        <w:divId w:val="1888255505"/>
        <w:rPr>
          <w:sz w:val="20"/>
          <w:szCs w:val="20"/>
        </w:rPr>
      </w:pPr>
      <w:r>
        <w:rPr>
          <w:sz w:val="20"/>
          <w:szCs w:val="20"/>
        </w:rPr>
        <w:lastRenderedPageBreak/>
        <w:t> </w:t>
      </w:r>
    </w:p>
    <w:p w14:paraId="477B98EE" w14:textId="77777777" w:rsidR="00000000" w:rsidRDefault="00EB4933">
      <w:pPr>
        <w:jc w:val="both"/>
        <w:divId w:val="1926455354"/>
        <w:rPr>
          <w:rFonts w:eastAsia="Times New Roman"/>
          <w:sz w:val="20"/>
          <w:szCs w:val="20"/>
        </w:rPr>
      </w:pPr>
      <w:r>
        <w:rPr>
          <w:rFonts w:eastAsia="Times New Roman"/>
          <w:sz w:val="20"/>
          <w:szCs w:val="20"/>
        </w:rPr>
        <w:t> </w:t>
      </w:r>
    </w:p>
    <w:p w14:paraId="6BA6ACF0" w14:textId="77777777" w:rsidR="00000000" w:rsidRDefault="00EB4933">
      <w:pPr>
        <w:jc w:val="both"/>
        <w:rPr>
          <w:rFonts w:eastAsia="Times New Roman"/>
          <w:sz w:val="20"/>
          <w:szCs w:val="20"/>
        </w:rPr>
      </w:pPr>
    </w:p>
    <w:p w14:paraId="74456227" w14:textId="77777777" w:rsidR="00000000" w:rsidRDefault="00EB4933">
      <w:pPr>
        <w:pStyle w:val="NormalWeb"/>
        <w:spacing w:before="0" w:beforeAutospacing="0" w:after="0" w:afterAutospacing="0"/>
        <w:jc w:val="right"/>
        <w:divId w:val="1086994407"/>
        <w:rPr>
          <w:sz w:val="20"/>
          <w:szCs w:val="20"/>
        </w:rPr>
      </w:pPr>
      <w:r>
        <w:rPr>
          <w:sz w:val="20"/>
          <w:szCs w:val="20"/>
        </w:rPr>
        <w:t xml:space="preserve">  </w:t>
      </w:r>
      <w:r>
        <w:rPr>
          <w:rStyle w:val="Strong"/>
          <w:sz w:val="20"/>
          <w:szCs w:val="20"/>
        </w:rPr>
        <w:t>EXHIBIT 4.9</w:t>
      </w:r>
    </w:p>
    <w:p w14:paraId="24D372D2" w14:textId="77777777" w:rsidR="00000000" w:rsidRDefault="00EB4933">
      <w:pPr>
        <w:pStyle w:val="NormalWeb"/>
        <w:spacing w:before="0" w:beforeAutospacing="0" w:after="0" w:afterAutospacing="0"/>
        <w:jc w:val="both"/>
        <w:divId w:val="1086994407"/>
        <w:rPr>
          <w:sz w:val="20"/>
          <w:szCs w:val="20"/>
        </w:rPr>
      </w:pPr>
      <w:r>
        <w:rPr>
          <w:sz w:val="20"/>
          <w:szCs w:val="20"/>
        </w:rPr>
        <w:t> </w:t>
      </w:r>
    </w:p>
    <w:p w14:paraId="5EE8B77B" w14:textId="77777777" w:rsidR="00000000" w:rsidRDefault="00EB4933">
      <w:pPr>
        <w:pStyle w:val="NormalWeb"/>
        <w:spacing w:before="0" w:beforeAutospacing="0" w:after="0" w:afterAutospacing="0"/>
        <w:jc w:val="both"/>
        <w:divId w:val="1086994407"/>
        <w:rPr>
          <w:sz w:val="20"/>
          <w:szCs w:val="20"/>
        </w:rPr>
      </w:pPr>
      <w:r>
        <w:rPr>
          <w:sz w:val="20"/>
          <w:szCs w:val="20"/>
        </w:rPr>
        <w:t> </w:t>
      </w:r>
    </w:p>
    <w:p w14:paraId="20D3D7AE" w14:textId="77777777" w:rsidR="00000000" w:rsidRDefault="00EB4933">
      <w:pPr>
        <w:pStyle w:val="NormalWeb"/>
        <w:spacing w:before="0" w:beforeAutospacing="0" w:after="0" w:afterAutospacing="0"/>
        <w:jc w:val="both"/>
        <w:divId w:val="1086994407"/>
        <w:rPr>
          <w:sz w:val="20"/>
          <w:szCs w:val="20"/>
        </w:rPr>
      </w:pPr>
      <w:r>
        <w:rPr>
          <w:sz w:val="20"/>
          <w:szCs w:val="20"/>
        </w:rPr>
        <w:t> </w:t>
      </w:r>
    </w:p>
    <w:p w14:paraId="7A05FA8F" w14:textId="77777777" w:rsidR="00000000" w:rsidRDefault="00EB4933">
      <w:pPr>
        <w:pStyle w:val="NormalWeb"/>
        <w:spacing w:before="0" w:beforeAutospacing="0" w:after="0" w:afterAutospacing="0"/>
        <w:jc w:val="center"/>
        <w:divId w:val="1086994407"/>
        <w:rPr>
          <w:sz w:val="20"/>
          <w:szCs w:val="20"/>
        </w:rPr>
      </w:pPr>
      <w:r>
        <w:rPr>
          <w:noProof/>
          <w:sz w:val="20"/>
          <w:szCs w:val="20"/>
        </w:rPr>
        <w:drawing>
          <wp:inline distT="0" distB="0" distL="0" distR="0" wp14:anchorId="21FF6424" wp14:editId="5DB18E45">
            <wp:extent cx="3048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29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sz w:val="20"/>
          <w:szCs w:val="20"/>
        </w:rPr>
        <w:t> </w:t>
      </w:r>
    </w:p>
    <w:p w14:paraId="526A43AC" w14:textId="77777777" w:rsidR="00000000" w:rsidRDefault="00EB4933">
      <w:pPr>
        <w:pStyle w:val="NormalWeb"/>
        <w:spacing w:before="0" w:beforeAutospacing="0" w:after="0" w:afterAutospacing="0"/>
        <w:jc w:val="both"/>
        <w:divId w:val="1086994407"/>
        <w:rPr>
          <w:sz w:val="20"/>
          <w:szCs w:val="20"/>
        </w:rPr>
      </w:pPr>
      <w:r>
        <w:rPr>
          <w:sz w:val="20"/>
          <w:szCs w:val="20"/>
        </w:rPr>
        <w:t> </w:t>
      </w:r>
    </w:p>
    <w:p w14:paraId="51B303E9" w14:textId="77777777" w:rsidR="00000000" w:rsidRDefault="00EB4933">
      <w:pPr>
        <w:pStyle w:val="NormalWeb"/>
        <w:spacing w:before="0" w:beforeAutospacing="0" w:after="0" w:afterAutospacing="0"/>
        <w:jc w:val="both"/>
        <w:divId w:val="1086994407"/>
        <w:rPr>
          <w:sz w:val="20"/>
          <w:szCs w:val="20"/>
        </w:rPr>
      </w:pPr>
      <w:r>
        <w:rPr>
          <w:sz w:val="20"/>
          <w:szCs w:val="20"/>
        </w:rPr>
        <w:t> </w:t>
      </w:r>
    </w:p>
    <w:p w14:paraId="5BA9E719" w14:textId="77777777" w:rsidR="00000000" w:rsidRDefault="00EB4933">
      <w:pPr>
        <w:jc w:val="both"/>
        <w:divId w:val="1075084632"/>
        <w:rPr>
          <w:rFonts w:eastAsia="Times New Roman"/>
          <w:sz w:val="20"/>
          <w:szCs w:val="20"/>
        </w:rPr>
      </w:pPr>
      <w:r>
        <w:rPr>
          <w:rFonts w:eastAsia="Times New Roman"/>
          <w:sz w:val="20"/>
          <w:szCs w:val="20"/>
        </w:rPr>
        <w:t> </w:t>
      </w:r>
    </w:p>
    <w:p w14:paraId="201381AD" w14:textId="77777777" w:rsidR="00000000" w:rsidRDefault="00EB4933">
      <w:pPr>
        <w:jc w:val="both"/>
        <w:rPr>
          <w:rFonts w:eastAsia="Times New Roman"/>
          <w:sz w:val="20"/>
          <w:szCs w:val="20"/>
        </w:rPr>
      </w:pPr>
    </w:p>
    <w:p w14:paraId="27628A4A" w14:textId="77777777" w:rsidR="00000000" w:rsidRDefault="00EB4933">
      <w:pPr>
        <w:pStyle w:val="NormalWeb"/>
        <w:spacing w:before="0" w:beforeAutospacing="0" w:after="0" w:afterAutospacing="0"/>
        <w:jc w:val="right"/>
        <w:divId w:val="11762396"/>
        <w:rPr>
          <w:sz w:val="20"/>
          <w:szCs w:val="20"/>
        </w:rPr>
      </w:pPr>
      <w:r>
        <w:rPr>
          <w:rStyle w:val="Strong"/>
          <w:sz w:val="20"/>
          <w:szCs w:val="20"/>
        </w:rPr>
        <w:t>EXHIBIT 8.1</w:t>
      </w:r>
    </w:p>
    <w:p w14:paraId="0A5FF474" w14:textId="77777777" w:rsidR="00000000" w:rsidRDefault="00EB4933">
      <w:pPr>
        <w:pStyle w:val="NormalWeb"/>
        <w:spacing w:before="0" w:beforeAutospacing="0" w:after="0" w:afterAutospacing="0"/>
        <w:jc w:val="both"/>
        <w:divId w:val="11762396"/>
        <w:rPr>
          <w:sz w:val="20"/>
          <w:szCs w:val="20"/>
        </w:rPr>
      </w:pPr>
      <w:r>
        <w:rPr>
          <w:sz w:val="20"/>
          <w:szCs w:val="20"/>
        </w:rPr>
        <w:t> </w:t>
      </w:r>
    </w:p>
    <w:p w14:paraId="1E31C921" w14:textId="77777777" w:rsidR="00000000" w:rsidRDefault="00EB4933">
      <w:pPr>
        <w:pStyle w:val="NormalWeb"/>
        <w:spacing w:before="0" w:beforeAutospacing="0" w:after="0" w:afterAutospacing="0"/>
        <w:jc w:val="center"/>
        <w:divId w:val="11762396"/>
        <w:rPr>
          <w:sz w:val="20"/>
          <w:szCs w:val="20"/>
        </w:rPr>
      </w:pPr>
      <w:r>
        <w:rPr>
          <w:rStyle w:val="Strong"/>
          <w:sz w:val="20"/>
          <w:szCs w:val="20"/>
        </w:rPr>
        <w:t>Principal Subsidiaries of Dunxin Financial Holdings Limited</w:t>
      </w:r>
    </w:p>
    <w:p w14:paraId="76FDB94C" w14:textId="77777777" w:rsidR="00000000" w:rsidRDefault="00EB4933">
      <w:pPr>
        <w:pStyle w:val="NormalWeb"/>
        <w:spacing w:before="0" w:beforeAutospacing="0" w:after="0" w:afterAutospacing="0"/>
        <w:jc w:val="both"/>
        <w:divId w:val="11762396"/>
        <w:rPr>
          <w:sz w:val="20"/>
          <w:szCs w:val="20"/>
        </w:rPr>
      </w:pPr>
      <w:r>
        <w:rPr>
          <w:sz w:val="20"/>
          <w:szCs w:val="20"/>
        </w:rPr>
        <w:t> </w:t>
      </w:r>
    </w:p>
    <w:p w14:paraId="7EBA8F4B" w14:textId="77777777" w:rsidR="00000000" w:rsidRDefault="00EB4933">
      <w:pPr>
        <w:pStyle w:val="NormalWeb"/>
        <w:spacing w:before="0" w:beforeAutospacing="0" w:after="0" w:afterAutospacing="0"/>
        <w:jc w:val="both"/>
        <w:divId w:val="11762396"/>
        <w:rPr>
          <w:sz w:val="20"/>
          <w:szCs w:val="20"/>
        </w:rPr>
      </w:pPr>
      <w:r>
        <w:rPr>
          <w:sz w:val="20"/>
          <w:szCs w:val="20"/>
        </w:rPr>
        <w:t xml:space="preserve">Subsidiaries: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50A252B0" w14:textId="77777777">
        <w:trPr>
          <w:divId w:val="11762396"/>
          <w:trHeight w:val="225"/>
          <w:tblCellSpacing w:w="15" w:type="dxa"/>
        </w:trPr>
        <w:tc>
          <w:tcPr>
            <w:tcW w:w="200" w:type="pct"/>
            <w:vAlign w:val="center"/>
            <w:hideMark/>
          </w:tcPr>
          <w:p w14:paraId="561825A8"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77699025"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27CBCDC9" w14:textId="77777777" w:rsidR="00000000" w:rsidRDefault="00EB4933">
            <w:pPr>
              <w:rPr>
                <w:rFonts w:eastAsia="Times New Roman"/>
                <w:sz w:val="20"/>
                <w:szCs w:val="20"/>
              </w:rPr>
            </w:pPr>
            <w:r>
              <w:rPr>
                <w:rFonts w:eastAsia="Times New Roman"/>
                <w:sz w:val="20"/>
                <w:szCs w:val="20"/>
              </w:rPr>
              <w:t>True Silver Limited, a British Virgin Islands company</w:t>
            </w:r>
          </w:p>
        </w:tc>
      </w:tr>
      <w:tr w:rsidR="00000000" w14:paraId="54E7ADAD" w14:textId="77777777">
        <w:trPr>
          <w:divId w:val="11762396"/>
          <w:trHeight w:val="225"/>
          <w:tblCellSpacing w:w="15" w:type="dxa"/>
        </w:trPr>
        <w:tc>
          <w:tcPr>
            <w:tcW w:w="0" w:type="auto"/>
            <w:vAlign w:val="center"/>
            <w:hideMark/>
          </w:tcPr>
          <w:p w14:paraId="7E4B0C64"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20274C18"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1E9F00A0" w14:textId="77777777" w:rsidR="00000000" w:rsidRDefault="00EB4933">
            <w:pPr>
              <w:rPr>
                <w:rFonts w:eastAsia="Times New Roman"/>
                <w:sz w:val="20"/>
                <w:szCs w:val="20"/>
              </w:rPr>
            </w:pPr>
            <w:r>
              <w:rPr>
                <w:rFonts w:eastAsia="Times New Roman"/>
                <w:sz w:val="20"/>
                <w:szCs w:val="20"/>
              </w:rPr>
              <w:t>Chutian Financial Holdings (Hong Kong) Limited, a Hong Kong company</w:t>
            </w:r>
          </w:p>
        </w:tc>
      </w:tr>
      <w:tr w:rsidR="00000000" w14:paraId="1F32D6CC" w14:textId="77777777">
        <w:trPr>
          <w:divId w:val="11762396"/>
          <w:trHeight w:val="225"/>
          <w:tblCellSpacing w:w="15" w:type="dxa"/>
        </w:trPr>
        <w:tc>
          <w:tcPr>
            <w:tcW w:w="0" w:type="auto"/>
            <w:vAlign w:val="center"/>
            <w:hideMark/>
          </w:tcPr>
          <w:p w14:paraId="56FE9E7D"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0112F6AF"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4F8E3FCF" w14:textId="77777777" w:rsidR="00000000" w:rsidRDefault="00EB4933">
            <w:pPr>
              <w:rPr>
                <w:rFonts w:eastAsia="Times New Roman"/>
                <w:sz w:val="20"/>
                <w:szCs w:val="20"/>
              </w:rPr>
            </w:pPr>
            <w:r>
              <w:rPr>
                <w:rFonts w:eastAsia="Times New Roman"/>
                <w:sz w:val="20"/>
                <w:szCs w:val="20"/>
              </w:rPr>
              <w:t>Wuhan Chutian Investment Holdings Ltd, a PRC company</w:t>
            </w:r>
          </w:p>
        </w:tc>
      </w:tr>
    </w:tbl>
    <w:p w14:paraId="7C6712F1" w14:textId="77777777" w:rsidR="00000000" w:rsidRDefault="00EB4933">
      <w:pPr>
        <w:pStyle w:val="NormalWeb"/>
        <w:spacing w:before="0" w:beforeAutospacing="0" w:after="0" w:afterAutospacing="0"/>
        <w:jc w:val="both"/>
        <w:divId w:val="11762396"/>
        <w:rPr>
          <w:sz w:val="20"/>
          <w:szCs w:val="20"/>
        </w:rPr>
      </w:pPr>
      <w:r>
        <w:rPr>
          <w:sz w:val="20"/>
          <w:szCs w:val="20"/>
        </w:rPr>
        <w:t> </w:t>
      </w:r>
    </w:p>
    <w:p w14:paraId="194EA8A8" w14:textId="77777777" w:rsidR="00000000" w:rsidRDefault="00EB4933">
      <w:pPr>
        <w:pStyle w:val="NormalWeb"/>
        <w:spacing w:before="0" w:beforeAutospacing="0" w:after="0" w:afterAutospacing="0"/>
        <w:jc w:val="both"/>
        <w:divId w:val="11762396"/>
        <w:rPr>
          <w:sz w:val="20"/>
          <w:szCs w:val="20"/>
        </w:rPr>
      </w:pPr>
      <w:r>
        <w:rPr>
          <w:sz w:val="20"/>
          <w:szCs w:val="20"/>
        </w:rPr>
        <w:t>Variable Interest Entity:</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328612A3" w14:textId="77777777">
        <w:trPr>
          <w:divId w:val="11762396"/>
          <w:trHeight w:val="225"/>
          <w:tblCellSpacing w:w="15" w:type="dxa"/>
        </w:trPr>
        <w:tc>
          <w:tcPr>
            <w:tcW w:w="200" w:type="pct"/>
            <w:vAlign w:val="center"/>
            <w:hideMark/>
          </w:tcPr>
          <w:p w14:paraId="79A8E74E"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5FBE96F7" w14:textId="77777777" w:rsidR="00000000" w:rsidRDefault="00EB4933">
            <w:pPr>
              <w:pStyle w:val="NormalWeb"/>
              <w:spacing w:before="0" w:beforeAutospacing="0" w:after="0" w:afterAutospacing="0"/>
              <w:rPr>
                <w:sz w:val="20"/>
                <w:szCs w:val="20"/>
              </w:rPr>
            </w:pPr>
            <w:r>
              <w:rPr>
                <w:rFonts w:ascii="Symbol" w:hAnsi="Symbol"/>
                <w:sz w:val="20"/>
                <w:szCs w:val="20"/>
              </w:rPr>
              <w:t>·</w:t>
            </w:r>
          </w:p>
        </w:tc>
        <w:tc>
          <w:tcPr>
            <w:tcW w:w="0" w:type="auto"/>
            <w:hideMark/>
          </w:tcPr>
          <w:p w14:paraId="2DB276D8" w14:textId="77777777" w:rsidR="00000000" w:rsidRDefault="00EB4933">
            <w:pPr>
              <w:rPr>
                <w:rFonts w:eastAsia="Times New Roman"/>
                <w:sz w:val="20"/>
                <w:szCs w:val="20"/>
              </w:rPr>
            </w:pPr>
            <w:r>
              <w:rPr>
                <w:rFonts w:eastAsia="Times New Roman"/>
                <w:sz w:val="20"/>
                <w:szCs w:val="20"/>
              </w:rPr>
              <w:t>Hubei Chutian Microfinance Co., Ltd., a PRC company</w:t>
            </w:r>
          </w:p>
        </w:tc>
      </w:tr>
    </w:tbl>
    <w:p w14:paraId="5C85CCB5" w14:textId="77777777" w:rsidR="00000000" w:rsidRDefault="00EB4933">
      <w:pPr>
        <w:pStyle w:val="NormalWeb"/>
        <w:spacing w:before="0" w:beforeAutospacing="0" w:after="0" w:afterAutospacing="0"/>
        <w:jc w:val="both"/>
        <w:divId w:val="11762396"/>
        <w:rPr>
          <w:sz w:val="20"/>
          <w:szCs w:val="20"/>
        </w:rPr>
      </w:pPr>
      <w:r>
        <w:rPr>
          <w:sz w:val="20"/>
          <w:szCs w:val="20"/>
        </w:rPr>
        <w:t> </w:t>
      </w:r>
    </w:p>
    <w:p w14:paraId="140B1F43" w14:textId="77777777" w:rsidR="00000000" w:rsidRDefault="00EB4933">
      <w:pPr>
        <w:jc w:val="both"/>
        <w:divId w:val="27148782"/>
        <w:rPr>
          <w:rFonts w:eastAsia="Times New Roman"/>
          <w:sz w:val="20"/>
          <w:szCs w:val="20"/>
        </w:rPr>
      </w:pPr>
      <w:r>
        <w:rPr>
          <w:rFonts w:eastAsia="Times New Roman"/>
          <w:sz w:val="20"/>
          <w:szCs w:val="20"/>
        </w:rPr>
        <w:t> </w:t>
      </w:r>
    </w:p>
    <w:p w14:paraId="09BB0936" w14:textId="77777777" w:rsidR="00000000" w:rsidRDefault="00EB4933">
      <w:pPr>
        <w:jc w:val="both"/>
        <w:rPr>
          <w:rFonts w:eastAsia="Times New Roman"/>
          <w:sz w:val="20"/>
          <w:szCs w:val="20"/>
        </w:rPr>
      </w:pPr>
    </w:p>
    <w:p w14:paraId="675D151C" w14:textId="77777777" w:rsidR="00000000" w:rsidRDefault="00EB4933">
      <w:pPr>
        <w:pStyle w:val="NormalWeb"/>
        <w:spacing w:before="0" w:beforeAutospacing="0" w:after="0" w:afterAutospacing="0"/>
        <w:jc w:val="right"/>
        <w:divId w:val="1855915653"/>
        <w:rPr>
          <w:sz w:val="20"/>
          <w:szCs w:val="20"/>
        </w:rPr>
      </w:pPr>
      <w:r>
        <w:rPr>
          <w:rStyle w:val="Strong"/>
          <w:sz w:val="20"/>
          <w:szCs w:val="20"/>
        </w:rPr>
        <w:t>EXHIBIT 12.1</w:t>
      </w:r>
    </w:p>
    <w:p w14:paraId="78FFD1B9" w14:textId="77777777" w:rsidR="00000000" w:rsidRDefault="00EB4933">
      <w:pPr>
        <w:pStyle w:val="NormalWeb"/>
        <w:spacing w:before="0" w:beforeAutospacing="0" w:after="0" w:afterAutospacing="0"/>
        <w:jc w:val="center"/>
        <w:divId w:val="1855915653"/>
        <w:rPr>
          <w:sz w:val="20"/>
          <w:szCs w:val="20"/>
        </w:rPr>
      </w:pPr>
      <w:r>
        <w:rPr>
          <w:rStyle w:val="Strong"/>
          <w:sz w:val="20"/>
          <w:szCs w:val="20"/>
        </w:rPr>
        <w:t> </w:t>
      </w:r>
    </w:p>
    <w:p w14:paraId="091D9E65" w14:textId="77777777" w:rsidR="00000000" w:rsidRDefault="00EB4933">
      <w:pPr>
        <w:pStyle w:val="NormalWeb"/>
        <w:spacing w:before="0" w:beforeAutospacing="0" w:after="0" w:afterAutospacing="0"/>
        <w:jc w:val="center"/>
        <w:divId w:val="1855915653"/>
        <w:rPr>
          <w:sz w:val="20"/>
          <w:szCs w:val="20"/>
        </w:rPr>
      </w:pPr>
      <w:r>
        <w:rPr>
          <w:rStyle w:val="Strong"/>
          <w:sz w:val="20"/>
          <w:szCs w:val="20"/>
        </w:rPr>
        <w:t>CERTIFICATION</w:t>
      </w:r>
    </w:p>
    <w:p w14:paraId="505249A7" w14:textId="77777777" w:rsidR="00000000" w:rsidRDefault="00EB4933">
      <w:pPr>
        <w:pStyle w:val="NormalWeb"/>
        <w:spacing w:before="0" w:beforeAutospacing="0" w:after="0" w:afterAutospacing="0"/>
        <w:jc w:val="both"/>
        <w:divId w:val="1855915653"/>
        <w:rPr>
          <w:sz w:val="20"/>
          <w:szCs w:val="20"/>
        </w:rPr>
      </w:pPr>
      <w:r>
        <w:rPr>
          <w:sz w:val="20"/>
          <w:szCs w:val="20"/>
        </w:rPr>
        <w:t> </w:t>
      </w:r>
    </w:p>
    <w:p w14:paraId="7FE07803" w14:textId="77777777" w:rsidR="00000000" w:rsidRDefault="00EB4933">
      <w:pPr>
        <w:pStyle w:val="NormalWeb"/>
        <w:spacing w:before="0" w:beforeAutospacing="0" w:after="0" w:afterAutospacing="0"/>
        <w:jc w:val="both"/>
        <w:divId w:val="1855915653"/>
        <w:rPr>
          <w:sz w:val="20"/>
          <w:szCs w:val="20"/>
        </w:rPr>
      </w:pPr>
      <w:r>
        <w:rPr>
          <w:sz w:val="20"/>
          <w:szCs w:val="20"/>
        </w:rPr>
        <w:t>I, Qizhi Wei, certify that:</w:t>
      </w:r>
    </w:p>
    <w:p w14:paraId="6168FDF4" w14:textId="77777777" w:rsidR="00000000" w:rsidRDefault="00EB4933">
      <w:pPr>
        <w:pStyle w:val="NormalWeb"/>
        <w:spacing w:before="0" w:beforeAutospacing="0" w:after="0" w:afterAutospacing="0"/>
        <w:jc w:val="both"/>
        <w:divId w:val="1855915653"/>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4414B1DD" w14:textId="77777777">
        <w:trPr>
          <w:divId w:val="1855915653"/>
          <w:trHeight w:val="225"/>
          <w:tblCellSpacing w:w="15" w:type="dxa"/>
        </w:trPr>
        <w:tc>
          <w:tcPr>
            <w:tcW w:w="200" w:type="pct"/>
            <w:hideMark/>
          </w:tcPr>
          <w:p w14:paraId="13E36504" w14:textId="77777777" w:rsidR="00000000" w:rsidRDefault="00EB4933">
            <w:pPr>
              <w:pStyle w:val="NormalWeb"/>
              <w:spacing w:before="0" w:beforeAutospacing="0" w:after="0" w:afterAutospacing="0"/>
              <w:jc w:val="both"/>
              <w:rPr>
                <w:sz w:val="20"/>
                <w:szCs w:val="20"/>
              </w:rPr>
            </w:pPr>
            <w:r>
              <w:rPr>
                <w:sz w:val="20"/>
                <w:szCs w:val="20"/>
              </w:rPr>
              <w:t>1.</w:t>
            </w:r>
          </w:p>
        </w:tc>
        <w:tc>
          <w:tcPr>
            <w:tcW w:w="0" w:type="auto"/>
            <w:hideMark/>
          </w:tcPr>
          <w:p w14:paraId="15A70919" w14:textId="77777777" w:rsidR="00000000" w:rsidRDefault="00EB4933">
            <w:pPr>
              <w:pStyle w:val="NormalWeb"/>
              <w:spacing w:before="0" w:beforeAutospacing="0" w:after="0" w:afterAutospacing="0"/>
              <w:jc w:val="both"/>
              <w:rPr>
                <w:sz w:val="20"/>
                <w:szCs w:val="20"/>
              </w:rPr>
            </w:pPr>
            <w:r>
              <w:rPr>
                <w:sz w:val="20"/>
                <w:szCs w:val="20"/>
              </w:rPr>
              <w:t>I have reviewed this annual report on Form 20-F of Dunxin Financial Holdings Limited (the “Company”);</w:t>
            </w:r>
          </w:p>
        </w:tc>
      </w:tr>
      <w:tr w:rsidR="00000000" w14:paraId="5E31B9FB" w14:textId="77777777">
        <w:trPr>
          <w:divId w:val="1855915653"/>
          <w:trHeight w:val="225"/>
          <w:tblCellSpacing w:w="15" w:type="dxa"/>
        </w:trPr>
        <w:tc>
          <w:tcPr>
            <w:tcW w:w="0" w:type="auto"/>
            <w:vAlign w:val="center"/>
            <w:hideMark/>
          </w:tcPr>
          <w:p w14:paraId="68F84473"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1766CF77" w14:textId="77777777" w:rsidR="00000000" w:rsidRDefault="00EB4933">
            <w:pPr>
              <w:pStyle w:val="NormalWeb"/>
              <w:spacing w:before="0" w:beforeAutospacing="0" w:after="0" w:afterAutospacing="0"/>
              <w:rPr>
                <w:sz w:val="20"/>
                <w:szCs w:val="20"/>
              </w:rPr>
            </w:pPr>
            <w:r>
              <w:rPr>
                <w:sz w:val="20"/>
                <w:szCs w:val="20"/>
              </w:rPr>
              <w:t> </w:t>
            </w:r>
          </w:p>
        </w:tc>
      </w:tr>
      <w:tr w:rsidR="00000000" w14:paraId="6E1F1978" w14:textId="77777777">
        <w:trPr>
          <w:divId w:val="1855915653"/>
          <w:trHeight w:val="225"/>
          <w:tblCellSpacing w:w="15" w:type="dxa"/>
        </w:trPr>
        <w:tc>
          <w:tcPr>
            <w:tcW w:w="0" w:type="auto"/>
            <w:hideMark/>
          </w:tcPr>
          <w:p w14:paraId="34B8C367" w14:textId="77777777" w:rsidR="00000000" w:rsidRDefault="00EB4933">
            <w:pPr>
              <w:pStyle w:val="NormalWeb"/>
              <w:spacing w:before="0" w:beforeAutospacing="0" w:after="0" w:afterAutospacing="0"/>
              <w:jc w:val="both"/>
              <w:rPr>
                <w:sz w:val="20"/>
                <w:szCs w:val="20"/>
              </w:rPr>
            </w:pPr>
            <w:r>
              <w:rPr>
                <w:sz w:val="20"/>
                <w:szCs w:val="20"/>
              </w:rPr>
              <w:t>2.</w:t>
            </w:r>
          </w:p>
        </w:tc>
        <w:tc>
          <w:tcPr>
            <w:tcW w:w="0" w:type="auto"/>
            <w:hideMark/>
          </w:tcPr>
          <w:p w14:paraId="2F2D0B81" w14:textId="77777777" w:rsidR="00000000" w:rsidRDefault="00EB4933">
            <w:pPr>
              <w:pStyle w:val="NormalWeb"/>
              <w:spacing w:before="0" w:beforeAutospacing="0" w:after="0" w:afterAutospacing="0"/>
              <w:jc w:val="both"/>
              <w:rPr>
                <w:sz w:val="20"/>
                <w:szCs w:val="20"/>
              </w:rPr>
            </w:pPr>
            <w:r>
              <w:rPr>
                <w:sz w:val="20"/>
                <w:szCs w:val="20"/>
              </w:rPr>
              <w:t>Based on my knowledge, this annual report does not contain any untrue statement of a material fact or omit to state a material fact necessary to make the statements made, in light of the circumstances under which such statements were made, not misleading w</w:t>
            </w:r>
            <w:r>
              <w:rPr>
                <w:sz w:val="20"/>
                <w:szCs w:val="20"/>
              </w:rPr>
              <w:t>ith respect to the period covered by this report;</w:t>
            </w:r>
          </w:p>
        </w:tc>
      </w:tr>
      <w:tr w:rsidR="00000000" w14:paraId="795D295E" w14:textId="77777777">
        <w:trPr>
          <w:divId w:val="1855915653"/>
          <w:trHeight w:val="225"/>
          <w:tblCellSpacing w:w="15" w:type="dxa"/>
        </w:trPr>
        <w:tc>
          <w:tcPr>
            <w:tcW w:w="0" w:type="auto"/>
            <w:vAlign w:val="center"/>
            <w:hideMark/>
          </w:tcPr>
          <w:p w14:paraId="3A2106FB"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2015A4BA" w14:textId="77777777" w:rsidR="00000000" w:rsidRDefault="00EB4933">
            <w:pPr>
              <w:pStyle w:val="NormalWeb"/>
              <w:spacing w:before="0" w:beforeAutospacing="0" w:after="0" w:afterAutospacing="0"/>
              <w:rPr>
                <w:sz w:val="20"/>
                <w:szCs w:val="20"/>
              </w:rPr>
            </w:pPr>
            <w:r>
              <w:rPr>
                <w:sz w:val="20"/>
                <w:szCs w:val="20"/>
              </w:rPr>
              <w:t> </w:t>
            </w:r>
          </w:p>
        </w:tc>
      </w:tr>
      <w:tr w:rsidR="00000000" w14:paraId="20A4F4FE" w14:textId="77777777">
        <w:trPr>
          <w:divId w:val="1855915653"/>
          <w:trHeight w:val="225"/>
          <w:tblCellSpacing w:w="15" w:type="dxa"/>
        </w:trPr>
        <w:tc>
          <w:tcPr>
            <w:tcW w:w="0" w:type="auto"/>
            <w:hideMark/>
          </w:tcPr>
          <w:p w14:paraId="0608E507" w14:textId="77777777" w:rsidR="00000000" w:rsidRDefault="00EB4933">
            <w:pPr>
              <w:pStyle w:val="NormalWeb"/>
              <w:spacing w:before="0" w:beforeAutospacing="0" w:after="0" w:afterAutospacing="0"/>
              <w:jc w:val="both"/>
              <w:rPr>
                <w:sz w:val="20"/>
                <w:szCs w:val="20"/>
              </w:rPr>
            </w:pPr>
            <w:r>
              <w:rPr>
                <w:sz w:val="20"/>
                <w:szCs w:val="20"/>
              </w:rPr>
              <w:t>3.</w:t>
            </w:r>
          </w:p>
        </w:tc>
        <w:tc>
          <w:tcPr>
            <w:tcW w:w="0" w:type="auto"/>
            <w:hideMark/>
          </w:tcPr>
          <w:p w14:paraId="1E46E3FC" w14:textId="77777777" w:rsidR="00000000" w:rsidRDefault="00EB4933">
            <w:pPr>
              <w:pStyle w:val="NormalWeb"/>
              <w:spacing w:before="0" w:beforeAutospacing="0" w:after="0" w:afterAutospacing="0"/>
              <w:jc w:val="both"/>
              <w:rPr>
                <w:sz w:val="20"/>
                <w:szCs w:val="20"/>
              </w:rPr>
            </w:pPr>
            <w:r>
              <w:rPr>
                <w:sz w:val="20"/>
                <w:szCs w:val="20"/>
              </w:rPr>
              <w:t>Based on my knowledge, the financial statements, and other financial information included in this annual report, fairly present in all material respects the financial condition, results of operat</w:t>
            </w:r>
            <w:r>
              <w:rPr>
                <w:sz w:val="20"/>
                <w:szCs w:val="20"/>
              </w:rPr>
              <w:t>ions and cash flows of the Company as of, and for, the periods presented in this report;</w:t>
            </w:r>
          </w:p>
        </w:tc>
      </w:tr>
      <w:tr w:rsidR="00000000" w14:paraId="7D05B4B9" w14:textId="77777777">
        <w:trPr>
          <w:divId w:val="1855915653"/>
          <w:trHeight w:val="225"/>
          <w:tblCellSpacing w:w="15" w:type="dxa"/>
        </w:trPr>
        <w:tc>
          <w:tcPr>
            <w:tcW w:w="0" w:type="auto"/>
            <w:vAlign w:val="center"/>
            <w:hideMark/>
          </w:tcPr>
          <w:p w14:paraId="735781D2"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7F1C556A" w14:textId="77777777" w:rsidR="00000000" w:rsidRDefault="00EB4933">
            <w:pPr>
              <w:pStyle w:val="NormalWeb"/>
              <w:spacing w:before="0" w:beforeAutospacing="0" w:after="0" w:afterAutospacing="0"/>
              <w:rPr>
                <w:sz w:val="20"/>
                <w:szCs w:val="20"/>
              </w:rPr>
            </w:pPr>
            <w:r>
              <w:rPr>
                <w:sz w:val="20"/>
                <w:szCs w:val="20"/>
              </w:rPr>
              <w:t> </w:t>
            </w:r>
          </w:p>
        </w:tc>
      </w:tr>
      <w:tr w:rsidR="00000000" w14:paraId="79DCDF5C" w14:textId="77777777">
        <w:trPr>
          <w:divId w:val="1855915653"/>
          <w:trHeight w:val="225"/>
          <w:tblCellSpacing w:w="15" w:type="dxa"/>
        </w:trPr>
        <w:tc>
          <w:tcPr>
            <w:tcW w:w="0" w:type="auto"/>
            <w:hideMark/>
          </w:tcPr>
          <w:p w14:paraId="5EF308BA" w14:textId="77777777" w:rsidR="00000000" w:rsidRDefault="00EB4933">
            <w:pPr>
              <w:pStyle w:val="NormalWeb"/>
              <w:spacing w:before="0" w:beforeAutospacing="0" w:after="0" w:afterAutospacing="0"/>
              <w:jc w:val="both"/>
              <w:rPr>
                <w:sz w:val="20"/>
                <w:szCs w:val="20"/>
              </w:rPr>
            </w:pPr>
            <w:r>
              <w:rPr>
                <w:sz w:val="20"/>
                <w:szCs w:val="20"/>
              </w:rPr>
              <w:t>4.</w:t>
            </w:r>
          </w:p>
        </w:tc>
        <w:tc>
          <w:tcPr>
            <w:tcW w:w="0" w:type="auto"/>
            <w:hideMark/>
          </w:tcPr>
          <w:p w14:paraId="2CA2BA96" w14:textId="77777777" w:rsidR="00000000" w:rsidRDefault="00EB4933">
            <w:pPr>
              <w:pStyle w:val="NormalWeb"/>
              <w:spacing w:before="0" w:beforeAutospacing="0" w:after="0" w:afterAutospacing="0"/>
              <w:jc w:val="both"/>
              <w:rPr>
                <w:sz w:val="20"/>
                <w:szCs w:val="20"/>
              </w:rPr>
            </w:pPr>
            <w:r>
              <w:rPr>
                <w:sz w:val="20"/>
                <w:szCs w:val="20"/>
              </w:rPr>
              <w:t>The Company’s other certifying officer and I are responsible for establishing and maintaining disclosure controls and procedures (as defined in Exchange Act</w:t>
            </w:r>
            <w:r>
              <w:rPr>
                <w:sz w:val="20"/>
                <w:szCs w:val="20"/>
              </w:rPr>
              <w:t xml:space="preserve"> Rules 13a-15(e) and 15d-15(e)) and internal control over financial reporting (as defined in Exchange Act Rules 13a-15(f) and 15d-15(f)) for the Company and have:</w:t>
            </w:r>
          </w:p>
        </w:tc>
      </w:tr>
    </w:tbl>
    <w:p w14:paraId="2971C894" w14:textId="77777777" w:rsidR="00000000" w:rsidRDefault="00EB4933">
      <w:pPr>
        <w:pStyle w:val="NormalWeb"/>
        <w:spacing w:before="0" w:beforeAutospacing="0" w:after="0" w:afterAutospacing="0"/>
        <w:jc w:val="both"/>
        <w:divId w:val="1855915653"/>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43CD7F7F" w14:textId="77777777">
        <w:trPr>
          <w:divId w:val="1855915653"/>
          <w:trHeight w:val="225"/>
          <w:tblCellSpacing w:w="15" w:type="dxa"/>
        </w:trPr>
        <w:tc>
          <w:tcPr>
            <w:tcW w:w="200" w:type="pct"/>
            <w:vAlign w:val="center"/>
            <w:hideMark/>
          </w:tcPr>
          <w:p w14:paraId="0D28AEDC"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6CC8E045" w14:textId="77777777" w:rsidR="00000000" w:rsidRDefault="00EB4933">
            <w:pPr>
              <w:pStyle w:val="NormalWeb"/>
              <w:spacing w:before="0" w:beforeAutospacing="0" w:after="0" w:afterAutospacing="0"/>
              <w:jc w:val="both"/>
              <w:rPr>
                <w:sz w:val="20"/>
                <w:szCs w:val="20"/>
              </w:rPr>
            </w:pPr>
            <w:r>
              <w:rPr>
                <w:sz w:val="20"/>
                <w:szCs w:val="20"/>
              </w:rPr>
              <w:t>(a)</w:t>
            </w:r>
          </w:p>
          <w:p w14:paraId="7150B9AA"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40EF9FAD" w14:textId="77777777" w:rsidR="00000000" w:rsidRDefault="00EB4933">
            <w:pPr>
              <w:pStyle w:val="NormalWeb"/>
              <w:spacing w:before="0" w:beforeAutospacing="0" w:after="0" w:afterAutospacing="0"/>
              <w:jc w:val="both"/>
              <w:rPr>
                <w:sz w:val="20"/>
                <w:szCs w:val="20"/>
              </w:rPr>
            </w:pPr>
            <w:r>
              <w:rPr>
                <w:sz w:val="20"/>
                <w:szCs w:val="20"/>
              </w:rPr>
              <w:t>Designed such disclosure controls and procedures, or caused such disclosure controls and procedures to be designed under our supervision, to ensure that material information relating to the Company, including its consolidated subsidiaries, is made known to</w:t>
            </w:r>
            <w:r>
              <w:rPr>
                <w:sz w:val="20"/>
                <w:szCs w:val="20"/>
              </w:rPr>
              <w:t xml:space="preserve"> us by others within those entities, particularly during the period in which this report is being prepared;</w:t>
            </w:r>
          </w:p>
        </w:tc>
      </w:tr>
      <w:tr w:rsidR="00000000" w14:paraId="36151D34" w14:textId="77777777">
        <w:trPr>
          <w:divId w:val="1855915653"/>
          <w:trHeight w:val="225"/>
          <w:tblCellSpacing w:w="15" w:type="dxa"/>
        </w:trPr>
        <w:tc>
          <w:tcPr>
            <w:tcW w:w="0" w:type="auto"/>
            <w:vAlign w:val="center"/>
            <w:hideMark/>
          </w:tcPr>
          <w:p w14:paraId="3DA10833"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65C456EE"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3847D076" w14:textId="77777777" w:rsidR="00000000" w:rsidRDefault="00EB4933">
            <w:pPr>
              <w:pStyle w:val="NormalWeb"/>
              <w:spacing w:before="0" w:beforeAutospacing="0" w:after="0" w:afterAutospacing="0"/>
              <w:rPr>
                <w:sz w:val="20"/>
                <w:szCs w:val="20"/>
              </w:rPr>
            </w:pPr>
            <w:r>
              <w:rPr>
                <w:sz w:val="20"/>
                <w:szCs w:val="20"/>
              </w:rPr>
              <w:t> </w:t>
            </w:r>
          </w:p>
        </w:tc>
      </w:tr>
      <w:tr w:rsidR="00000000" w14:paraId="25066F09" w14:textId="77777777">
        <w:trPr>
          <w:divId w:val="1855915653"/>
          <w:trHeight w:val="225"/>
          <w:tblCellSpacing w:w="15" w:type="dxa"/>
        </w:trPr>
        <w:tc>
          <w:tcPr>
            <w:tcW w:w="0" w:type="auto"/>
            <w:vAlign w:val="center"/>
            <w:hideMark/>
          </w:tcPr>
          <w:p w14:paraId="630E21AA" w14:textId="77777777" w:rsidR="00000000" w:rsidRDefault="00EB4933">
            <w:pPr>
              <w:pStyle w:val="NormalWeb"/>
              <w:spacing w:before="0" w:beforeAutospacing="0" w:after="0" w:afterAutospacing="0"/>
              <w:jc w:val="both"/>
              <w:rPr>
                <w:sz w:val="20"/>
                <w:szCs w:val="20"/>
              </w:rPr>
            </w:pPr>
            <w:r>
              <w:rPr>
                <w:sz w:val="20"/>
                <w:szCs w:val="20"/>
              </w:rPr>
              <w:lastRenderedPageBreak/>
              <w:t> </w:t>
            </w:r>
          </w:p>
        </w:tc>
        <w:tc>
          <w:tcPr>
            <w:tcW w:w="0" w:type="auto"/>
            <w:hideMark/>
          </w:tcPr>
          <w:p w14:paraId="302E656E" w14:textId="77777777" w:rsidR="00000000" w:rsidRDefault="00EB4933">
            <w:pPr>
              <w:pStyle w:val="NormalWeb"/>
              <w:spacing w:before="0" w:beforeAutospacing="0" w:after="0" w:afterAutospacing="0"/>
              <w:jc w:val="both"/>
              <w:rPr>
                <w:sz w:val="20"/>
                <w:szCs w:val="20"/>
              </w:rPr>
            </w:pPr>
            <w:r>
              <w:rPr>
                <w:sz w:val="20"/>
                <w:szCs w:val="20"/>
              </w:rPr>
              <w:t>(b)</w:t>
            </w:r>
          </w:p>
          <w:p w14:paraId="7EF5EB4C"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3B50C79C" w14:textId="77777777" w:rsidR="00000000" w:rsidRDefault="00EB4933">
            <w:pPr>
              <w:pStyle w:val="NormalWeb"/>
              <w:spacing w:before="0" w:beforeAutospacing="0" w:after="0" w:afterAutospacing="0"/>
              <w:jc w:val="both"/>
              <w:rPr>
                <w:sz w:val="20"/>
                <w:szCs w:val="20"/>
              </w:rPr>
            </w:pPr>
            <w:r>
              <w:rPr>
                <w:sz w:val="20"/>
                <w:szCs w:val="20"/>
              </w:rPr>
              <w:t>Designed such internal control over financial reporting, or caused such internal control over financial reporting to be designed u</w:t>
            </w:r>
            <w:r>
              <w:rPr>
                <w:sz w:val="20"/>
                <w:szCs w:val="20"/>
              </w:rPr>
              <w:t>nder our supervision, to provide reasonable assurance regarding the reliability of financial reporting and the preparation of financial statements for external purposes in accordance with generally accepted accounting principles;</w:t>
            </w:r>
          </w:p>
        </w:tc>
      </w:tr>
      <w:tr w:rsidR="00000000" w14:paraId="6FC2B7F3" w14:textId="77777777">
        <w:trPr>
          <w:divId w:val="1855915653"/>
          <w:trHeight w:val="225"/>
          <w:tblCellSpacing w:w="15" w:type="dxa"/>
        </w:trPr>
        <w:tc>
          <w:tcPr>
            <w:tcW w:w="0" w:type="auto"/>
            <w:vAlign w:val="center"/>
            <w:hideMark/>
          </w:tcPr>
          <w:p w14:paraId="02DE6B10"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29BE0088"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79273254" w14:textId="77777777" w:rsidR="00000000" w:rsidRDefault="00EB4933">
            <w:pPr>
              <w:pStyle w:val="NormalWeb"/>
              <w:spacing w:before="0" w:beforeAutospacing="0" w:after="0" w:afterAutospacing="0"/>
              <w:rPr>
                <w:sz w:val="20"/>
                <w:szCs w:val="20"/>
              </w:rPr>
            </w:pPr>
            <w:r>
              <w:rPr>
                <w:sz w:val="20"/>
                <w:szCs w:val="20"/>
              </w:rPr>
              <w:t> </w:t>
            </w:r>
          </w:p>
        </w:tc>
      </w:tr>
      <w:tr w:rsidR="00000000" w14:paraId="0910EA50" w14:textId="77777777">
        <w:trPr>
          <w:divId w:val="1855915653"/>
          <w:trHeight w:val="225"/>
          <w:tblCellSpacing w:w="15" w:type="dxa"/>
        </w:trPr>
        <w:tc>
          <w:tcPr>
            <w:tcW w:w="0" w:type="auto"/>
            <w:vAlign w:val="center"/>
            <w:hideMark/>
          </w:tcPr>
          <w:p w14:paraId="1C17D3CD"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59250FF3" w14:textId="77777777" w:rsidR="00000000" w:rsidRDefault="00EB4933">
            <w:pPr>
              <w:pStyle w:val="NormalWeb"/>
              <w:spacing w:before="0" w:beforeAutospacing="0" w:after="0" w:afterAutospacing="0"/>
              <w:jc w:val="both"/>
              <w:rPr>
                <w:sz w:val="20"/>
                <w:szCs w:val="20"/>
              </w:rPr>
            </w:pPr>
            <w:r>
              <w:rPr>
                <w:sz w:val="20"/>
                <w:szCs w:val="20"/>
              </w:rPr>
              <w:t>(c)</w:t>
            </w:r>
          </w:p>
          <w:p w14:paraId="7DE1CB1E"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5A3A490A" w14:textId="77777777" w:rsidR="00000000" w:rsidRDefault="00EB4933">
            <w:pPr>
              <w:pStyle w:val="NormalWeb"/>
              <w:spacing w:before="0" w:beforeAutospacing="0" w:after="0" w:afterAutospacing="0"/>
              <w:jc w:val="both"/>
              <w:rPr>
                <w:sz w:val="20"/>
                <w:szCs w:val="20"/>
              </w:rPr>
            </w:pPr>
            <w:r>
              <w:rPr>
                <w:sz w:val="20"/>
                <w:szCs w:val="20"/>
              </w:rPr>
              <w:t>Evaluated the effectiveness of the Company’s disclosure controls and procedures and presented in this report our conclusions about the effectiveness of the disclosure controls and procedures, as of the end of the period covered by this report based on such</w:t>
            </w:r>
            <w:r>
              <w:rPr>
                <w:sz w:val="20"/>
                <w:szCs w:val="20"/>
              </w:rPr>
              <w:t xml:space="preserve"> evaluation; and</w:t>
            </w:r>
          </w:p>
        </w:tc>
      </w:tr>
      <w:tr w:rsidR="00000000" w14:paraId="4B818AC9" w14:textId="77777777">
        <w:trPr>
          <w:divId w:val="1855915653"/>
          <w:trHeight w:val="225"/>
          <w:tblCellSpacing w:w="15" w:type="dxa"/>
        </w:trPr>
        <w:tc>
          <w:tcPr>
            <w:tcW w:w="0" w:type="auto"/>
            <w:vAlign w:val="center"/>
            <w:hideMark/>
          </w:tcPr>
          <w:p w14:paraId="68F9C531"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510EE99A"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44249C00" w14:textId="77777777" w:rsidR="00000000" w:rsidRDefault="00EB4933">
            <w:pPr>
              <w:pStyle w:val="NormalWeb"/>
              <w:spacing w:before="0" w:beforeAutospacing="0" w:after="0" w:afterAutospacing="0"/>
              <w:rPr>
                <w:sz w:val="20"/>
                <w:szCs w:val="20"/>
              </w:rPr>
            </w:pPr>
            <w:r>
              <w:rPr>
                <w:sz w:val="20"/>
                <w:szCs w:val="20"/>
              </w:rPr>
              <w:t> </w:t>
            </w:r>
          </w:p>
        </w:tc>
      </w:tr>
      <w:tr w:rsidR="00000000" w14:paraId="1C0E00E0" w14:textId="77777777">
        <w:trPr>
          <w:divId w:val="1855915653"/>
          <w:trHeight w:val="225"/>
          <w:tblCellSpacing w:w="15" w:type="dxa"/>
        </w:trPr>
        <w:tc>
          <w:tcPr>
            <w:tcW w:w="0" w:type="auto"/>
            <w:vAlign w:val="center"/>
            <w:hideMark/>
          </w:tcPr>
          <w:p w14:paraId="43B6123E"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3AE6AA78" w14:textId="77777777" w:rsidR="00000000" w:rsidRDefault="00EB4933">
            <w:pPr>
              <w:pStyle w:val="NormalWeb"/>
              <w:spacing w:before="0" w:beforeAutospacing="0" w:after="0" w:afterAutospacing="0"/>
              <w:jc w:val="both"/>
              <w:rPr>
                <w:sz w:val="20"/>
                <w:szCs w:val="20"/>
              </w:rPr>
            </w:pPr>
            <w:r>
              <w:rPr>
                <w:sz w:val="20"/>
                <w:szCs w:val="20"/>
              </w:rPr>
              <w:t>(d)</w:t>
            </w:r>
          </w:p>
          <w:p w14:paraId="3E267E2F"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65C39A94" w14:textId="77777777" w:rsidR="00000000" w:rsidRDefault="00EB4933">
            <w:pPr>
              <w:pStyle w:val="NormalWeb"/>
              <w:spacing w:before="0" w:beforeAutospacing="0" w:after="0" w:afterAutospacing="0"/>
              <w:jc w:val="both"/>
              <w:rPr>
                <w:sz w:val="20"/>
                <w:szCs w:val="20"/>
              </w:rPr>
            </w:pPr>
            <w:r>
              <w:rPr>
                <w:sz w:val="20"/>
                <w:szCs w:val="20"/>
              </w:rPr>
              <w:t>Disclosed in this report any change in the Company’s internal control over financial reporting that occurred during the period covered by the annual report that has materially affected, or is reasonably likely to material</w:t>
            </w:r>
            <w:r>
              <w:rPr>
                <w:sz w:val="20"/>
                <w:szCs w:val="20"/>
              </w:rPr>
              <w:t>ly affect, the company’s internal control over financial reporting.</w:t>
            </w:r>
          </w:p>
        </w:tc>
      </w:tr>
    </w:tbl>
    <w:p w14:paraId="6044546F" w14:textId="77777777" w:rsidR="00000000" w:rsidRDefault="00EB4933">
      <w:pPr>
        <w:pStyle w:val="NormalWeb"/>
        <w:spacing w:before="0" w:beforeAutospacing="0" w:after="0" w:afterAutospacing="0"/>
        <w:jc w:val="both"/>
        <w:divId w:val="1855915653"/>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32FC0E09" w14:textId="77777777">
        <w:trPr>
          <w:divId w:val="1855915653"/>
          <w:trHeight w:val="225"/>
          <w:tblCellSpacing w:w="15" w:type="dxa"/>
        </w:trPr>
        <w:tc>
          <w:tcPr>
            <w:tcW w:w="200" w:type="pct"/>
            <w:hideMark/>
          </w:tcPr>
          <w:p w14:paraId="386815F8" w14:textId="77777777" w:rsidR="00000000" w:rsidRDefault="00EB4933">
            <w:pPr>
              <w:pStyle w:val="NormalWeb"/>
              <w:spacing w:before="0" w:beforeAutospacing="0" w:after="0" w:afterAutospacing="0"/>
              <w:jc w:val="both"/>
              <w:rPr>
                <w:sz w:val="20"/>
                <w:szCs w:val="20"/>
              </w:rPr>
            </w:pPr>
            <w:r>
              <w:rPr>
                <w:sz w:val="20"/>
                <w:szCs w:val="20"/>
              </w:rPr>
              <w:t>5.</w:t>
            </w:r>
          </w:p>
        </w:tc>
        <w:tc>
          <w:tcPr>
            <w:tcW w:w="0" w:type="auto"/>
            <w:hideMark/>
          </w:tcPr>
          <w:p w14:paraId="0C1F974D" w14:textId="77777777" w:rsidR="00000000" w:rsidRDefault="00EB4933">
            <w:pPr>
              <w:pStyle w:val="NormalWeb"/>
              <w:spacing w:before="0" w:beforeAutospacing="0" w:after="0" w:afterAutospacing="0"/>
              <w:jc w:val="both"/>
              <w:rPr>
                <w:sz w:val="20"/>
                <w:szCs w:val="20"/>
              </w:rPr>
            </w:pPr>
            <w:r>
              <w:rPr>
                <w:sz w:val="20"/>
                <w:szCs w:val="20"/>
              </w:rPr>
              <w:t>The Company’</w:t>
            </w:r>
            <w:r>
              <w:rPr>
                <w:sz w:val="20"/>
                <w:szCs w:val="20"/>
              </w:rPr>
              <w:t>s other certifying officer and I have disclosed, based on our most recent evaluation of internal control over financial reporting, to the Company’s auditors and the audit committee of the Company’s board of directors (or persons performing the equivalent f</w:t>
            </w:r>
            <w:r>
              <w:rPr>
                <w:sz w:val="20"/>
                <w:szCs w:val="20"/>
              </w:rPr>
              <w:t>unctions):</w:t>
            </w:r>
          </w:p>
        </w:tc>
      </w:tr>
    </w:tbl>
    <w:p w14:paraId="0AB3376E" w14:textId="77777777" w:rsidR="00000000" w:rsidRDefault="00EB4933">
      <w:pPr>
        <w:pStyle w:val="NormalWeb"/>
        <w:spacing w:before="0" w:beforeAutospacing="0" w:after="0" w:afterAutospacing="0"/>
        <w:jc w:val="both"/>
        <w:divId w:val="1855915653"/>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7DC98601" w14:textId="77777777">
        <w:trPr>
          <w:divId w:val="1855915653"/>
          <w:trHeight w:val="225"/>
          <w:tblCellSpacing w:w="15" w:type="dxa"/>
        </w:trPr>
        <w:tc>
          <w:tcPr>
            <w:tcW w:w="200" w:type="pct"/>
            <w:vAlign w:val="center"/>
            <w:hideMark/>
          </w:tcPr>
          <w:p w14:paraId="1862275E" w14:textId="77777777" w:rsidR="00000000" w:rsidRDefault="00EB4933">
            <w:pPr>
              <w:pStyle w:val="NormalWeb"/>
              <w:spacing w:before="0" w:beforeAutospacing="0" w:after="0" w:afterAutospacing="0"/>
              <w:jc w:val="both"/>
              <w:rPr>
                <w:sz w:val="20"/>
                <w:szCs w:val="20"/>
              </w:rPr>
            </w:pPr>
            <w:r>
              <w:rPr>
                <w:sz w:val="20"/>
                <w:szCs w:val="20"/>
              </w:rPr>
              <w:t> </w:t>
            </w:r>
          </w:p>
        </w:tc>
        <w:tc>
          <w:tcPr>
            <w:tcW w:w="200" w:type="pct"/>
            <w:hideMark/>
          </w:tcPr>
          <w:p w14:paraId="088D01AA" w14:textId="77777777" w:rsidR="00000000" w:rsidRDefault="00EB4933">
            <w:pPr>
              <w:pStyle w:val="NormalWeb"/>
              <w:spacing w:before="0" w:beforeAutospacing="0" w:after="0" w:afterAutospacing="0"/>
              <w:jc w:val="both"/>
              <w:rPr>
                <w:sz w:val="20"/>
                <w:szCs w:val="20"/>
              </w:rPr>
            </w:pPr>
            <w:r>
              <w:rPr>
                <w:sz w:val="20"/>
                <w:szCs w:val="20"/>
              </w:rPr>
              <w:t>(a)</w:t>
            </w:r>
          </w:p>
          <w:p w14:paraId="2485994C"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3456B77A" w14:textId="77777777" w:rsidR="00000000" w:rsidRDefault="00EB4933">
            <w:pPr>
              <w:pStyle w:val="NormalWeb"/>
              <w:spacing w:before="0" w:beforeAutospacing="0" w:after="0" w:afterAutospacing="0"/>
              <w:jc w:val="both"/>
              <w:rPr>
                <w:sz w:val="20"/>
                <w:szCs w:val="20"/>
              </w:rPr>
            </w:pPr>
            <w:r>
              <w:rPr>
                <w:sz w:val="20"/>
                <w:szCs w:val="20"/>
              </w:rPr>
              <w:t>All significant deficiencies and material weaknesses in the design or operation of internal control over financial reporting which are reasonably likely to adversely affect the Company’s ability to record, process, summarize and report financial informatio</w:t>
            </w:r>
            <w:r>
              <w:rPr>
                <w:sz w:val="20"/>
                <w:szCs w:val="20"/>
              </w:rPr>
              <w:t>n; and</w:t>
            </w:r>
          </w:p>
        </w:tc>
      </w:tr>
      <w:tr w:rsidR="00000000" w14:paraId="6FEB910A" w14:textId="77777777">
        <w:trPr>
          <w:divId w:val="1855915653"/>
          <w:trHeight w:val="225"/>
          <w:tblCellSpacing w:w="15" w:type="dxa"/>
        </w:trPr>
        <w:tc>
          <w:tcPr>
            <w:tcW w:w="0" w:type="auto"/>
            <w:vAlign w:val="center"/>
            <w:hideMark/>
          </w:tcPr>
          <w:p w14:paraId="3726C787"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65C166EC"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4796669E" w14:textId="77777777" w:rsidR="00000000" w:rsidRDefault="00EB4933">
            <w:pPr>
              <w:pStyle w:val="NormalWeb"/>
              <w:spacing w:before="0" w:beforeAutospacing="0" w:after="0" w:afterAutospacing="0"/>
              <w:rPr>
                <w:sz w:val="20"/>
                <w:szCs w:val="20"/>
              </w:rPr>
            </w:pPr>
            <w:r>
              <w:rPr>
                <w:sz w:val="20"/>
                <w:szCs w:val="20"/>
              </w:rPr>
              <w:t> </w:t>
            </w:r>
          </w:p>
        </w:tc>
      </w:tr>
      <w:tr w:rsidR="00000000" w14:paraId="3032679E" w14:textId="77777777">
        <w:trPr>
          <w:divId w:val="1855915653"/>
          <w:trHeight w:val="225"/>
          <w:tblCellSpacing w:w="15" w:type="dxa"/>
        </w:trPr>
        <w:tc>
          <w:tcPr>
            <w:tcW w:w="0" w:type="auto"/>
            <w:vAlign w:val="center"/>
            <w:hideMark/>
          </w:tcPr>
          <w:p w14:paraId="3B281E13"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0D16990B" w14:textId="77777777" w:rsidR="00000000" w:rsidRDefault="00EB4933">
            <w:pPr>
              <w:pStyle w:val="NormalWeb"/>
              <w:spacing w:before="0" w:beforeAutospacing="0" w:after="0" w:afterAutospacing="0"/>
              <w:jc w:val="both"/>
              <w:rPr>
                <w:sz w:val="20"/>
                <w:szCs w:val="20"/>
              </w:rPr>
            </w:pPr>
            <w:r>
              <w:rPr>
                <w:sz w:val="20"/>
                <w:szCs w:val="20"/>
              </w:rPr>
              <w:t>(b)</w:t>
            </w:r>
          </w:p>
        </w:tc>
        <w:tc>
          <w:tcPr>
            <w:tcW w:w="0" w:type="auto"/>
            <w:hideMark/>
          </w:tcPr>
          <w:p w14:paraId="36FA022E" w14:textId="77777777" w:rsidR="00000000" w:rsidRDefault="00EB4933">
            <w:pPr>
              <w:pStyle w:val="NormalWeb"/>
              <w:spacing w:before="0" w:beforeAutospacing="0" w:after="0" w:afterAutospacing="0"/>
              <w:jc w:val="both"/>
              <w:rPr>
                <w:sz w:val="20"/>
                <w:szCs w:val="20"/>
              </w:rPr>
            </w:pPr>
            <w:r>
              <w:rPr>
                <w:sz w:val="20"/>
                <w:szCs w:val="20"/>
              </w:rPr>
              <w:t>Any fraud, whether or not material, that involves management or other employees who have a significant role in the Company’s internal control over financial reporting.</w:t>
            </w:r>
          </w:p>
        </w:tc>
      </w:tr>
    </w:tbl>
    <w:p w14:paraId="18BDE820" w14:textId="77777777" w:rsidR="00000000" w:rsidRDefault="00EB4933">
      <w:pPr>
        <w:pStyle w:val="NormalWeb"/>
        <w:spacing w:before="0" w:beforeAutospacing="0" w:after="0" w:afterAutospacing="0"/>
        <w:jc w:val="both"/>
        <w:divId w:val="1855915653"/>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625"/>
        <w:gridCol w:w="564"/>
        <w:gridCol w:w="3229"/>
        <w:gridCol w:w="942"/>
      </w:tblGrid>
      <w:tr w:rsidR="00000000" w14:paraId="37A2BB1C" w14:textId="77777777">
        <w:trPr>
          <w:divId w:val="1855915653"/>
          <w:trHeight w:val="225"/>
          <w:tblCellSpacing w:w="15" w:type="dxa"/>
        </w:trPr>
        <w:tc>
          <w:tcPr>
            <w:tcW w:w="2500" w:type="pct"/>
            <w:vAlign w:val="center"/>
            <w:hideMark/>
          </w:tcPr>
          <w:p w14:paraId="487ED14A" w14:textId="77777777" w:rsidR="00000000" w:rsidRDefault="00EB4933">
            <w:pPr>
              <w:rPr>
                <w:rFonts w:eastAsia="Times New Roman"/>
                <w:sz w:val="20"/>
                <w:szCs w:val="20"/>
              </w:rPr>
            </w:pPr>
            <w:r>
              <w:rPr>
                <w:rFonts w:eastAsia="Times New Roman"/>
                <w:sz w:val="20"/>
                <w:szCs w:val="20"/>
              </w:rPr>
              <w:t> </w:t>
            </w:r>
          </w:p>
        </w:tc>
        <w:tc>
          <w:tcPr>
            <w:tcW w:w="250" w:type="pct"/>
            <w:vAlign w:val="center"/>
            <w:hideMark/>
          </w:tcPr>
          <w:p w14:paraId="442FF087" w14:textId="77777777" w:rsidR="00000000" w:rsidRDefault="00EB4933">
            <w:pPr>
              <w:rPr>
                <w:rFonts w:eastAsia="Times New Roman"/>
                <w:sz w:val="20"/>
                <w:szCs w:val="20"/>
              </w:rPr>
            </w:pPr>
            <w:r>
              <w:rPr>
                <w:rFonts w:eastAsia="Times New Roman"/>
                <w:sz w:val="20"/>
                <w:szCs w:val="20"/>
              </w:rPr>
              <w:t> </w:t>
            </w:r>
          </w:p>
        </w:tc>
        <w:tc>
          <w:tcPr>
            <w:tcW w:w="1750" w:type="pct"/>
            <w:vAlign w:val="center"/>
            <w:hideMark/>
          </w:tcPr>
          <w:p w14:paraId="7E2B536A" w14:textId="77777777" w:rsidR="00000000" w:rsidRDefault="00EB4933">
            <w:pPr>
              <w:rPr>
                <w:rFonts w:eastAsia="Times New Roman"/>
                <w:sz w:val="20"/>
                <w:szCs w:val="20"/>
              </w:rPr>
            </w:pPr>
            <w:r>
              <w:rPr>
                <w:rFonts w:eastAsia="Times New Roman"/>
                <w:sz w:val="20"/>
                <w:szCs w:val="20"/>
              </w:rPr>
              <w:t> </w:t>
            </w:r>
          </w:p>
        </w:tc>
        <w:tc>
          <w:tcPr>
            <w:tcW w:w="500" w:type="pct"/>
            <w:vAlign w:val="center"/>
            <w:hideMark/>
          </w:tcPr>
          <w:p w14:paraId="5F2C0AAF" w14:textId="77777777" w:rsidR="00000000" w:rsidRDefault="00EB4933">
            <w:pPr>
              <w:rPr>
                <w:rFonts w:eastAsia="Times New Roman"/>
                <w:sz w:val="20"/>
                <w:szCs w:val="20"/>
              </w:rPr>
            </w:pPr>
            <w:r>
              <w:rPr>
                <w:rFonts w:eastAsia="Times New Roman"/>
                <w:sz w:val="20"/>
                <w:szCs w:val="20"/>
              </w:rPr>
              <w:t> </w:t>
            </w:r>
          </w:p>
        </w:tc>
      </w:tr>
      <w:tr w:rsidR="00000000" w14:paraId="00E606ED" w14:textId="77777777">
        <w:trPr>
          <w:divId w:val="1855915653"/>
          <w:trHeight w:val="225"/>
          <w:tblCellSpacing w:w="15" w:type="dxa"/>
        </w:trPr>
        <w:tc>
          <w:tcPr>
            <w:tcW w:w="0" w:type="auto"/>
            <w:vAlign w:val="center"/>
            <w:hideMark/>
          </w:tcPr>
          <w:p w14:paraId="78F0EB59" w14:textId="77777777" w:rsidR="00000000" w:rsidRDefault="00EB4933">
            <w:pPr>
              <w:rPr>
                <w:rFonts w:eastAsia="Times New Roman"/>
                <w:sz w:val="20"/>
                <w:szCs w:val="20"/>
              </w:rPr>
            </w:pPr>
            <w:r>
              <w:rPr>
                <w:rFonts w:eastAsia="Times New Roman"/>
                <w:sz w:val="20"/>
                <w:szCs w:val="20"/>
              </w:rPr>
              <w:t>Date: November 9, 2020</w:t>
            </w:r>
          </w:p>
        </w:tc>
        <w:tc>
          <w:tcPr>
            <w:tcW w:w="0" w:type="auto"/>
            <w:vAlign w:val="center"/>
            <w:hideMark/>
          </w:tcPr>
          <w:p w14:paraId="4D81AECA" w14:textId="77777777" w:rsidR="00000000" w:rsidRDefault="00EB4933">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031B6629" w14:textId="77777777" w:rsidR="00000000" w:rsidRDefault="00EB4933">
            <w:pPr>
              <w:pStyle w:val="NormalWeb"/>
              <w:spacing w:before="0" w:beforeAutospacing="0" w:after="0" w:afterAutospacing="0"/>
              <w:rPr>
                <w:sz w:val="20"/>
                <w:szCs w:val="20"/>
              </w:rPr>
            </w:pPr>
            <w:r>
              <w:rPr>
                <w:rStyle w:val="Emphasis"/>
                <w:sz w:val="20"/>
                <w:szCs w:val="20"/>
              </w:rPr>
              <w:t>/s/ Ricky Qizhi Wei</w:t>
            </w:r>
          </w:p>
        </w:tc>
        <w:tc>
          <w:tcPr>
            <w:tcW w:w="0" w:type="auto"/>
            <w:vAlign w:val="center"/>
            <w:hideMark/>
          </w:tcPr>
          <w:p w14:paraId="4D2AE027" w14:textId="77777777" w:rsidR="00000000" w:rsidRDefault="00EB4933">
            <w:pPr>
              <w:rPr>
                <w:sz w:val="20"/>
                <w:szCs w:val="20"/>
              </w:rPr>
            </w:pPr>
          </w:p>
        </w:tc>
      </w:tr>
      <w:tr w:rsidR="00000000" w14:paraId="1DEC2F2B" w14:textId="77777777">
        <w:trPr>
          <w:divId w:val="1855915653"/>
          <w:trHeight w:val="225"/>
          <w:tblCellSpacing w:w="15" w:type="dxa"/>
        </w:trPr>
        <w:tc>
          <w:tcPr>
            <w:tcW w:w="0" w:type="auto"/>
            <w:vAlign w:val="center"/>
            <w:hideMark/>
          </w:tcPr>
          <w:p w14:paraId="13A4528B"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21FF6AED" w14:textId="77777777" w:rsidR="00000000" w:rsidRDefault="00EB4933">
            <w:pPr>
              <w:pStyle w:val="NormalWeb"/>
              <w:spacing w:before="0" w:beforeAutospacing="0" w:after="0" w:afterAutospacing="0"/>
              <w:rPr>
                <w:sz w:val="20"/>
                <w:szCs w:val="20"/>
              </w:rPr>
            </w:pPr>
            <w:r>
              <w:rPr>
                <w:sz w:val="20"/>
                <w:szCs w:val="20"/>
              </w:rPr>
              <w:t xml:space="preserve">Name: </w:t>
            </w:r>
          </w:p>
        </w:tc>
        <w:tc>
          <w:tcPr>
            <w:tcW w:w="0" w:type="auto"/>
            <w:vAlign w:val="center"/>
            <w:hideMark/>
          </w:tcPr>
          <w:p w14:paraId="5EB5CF90" w14:textId="77777777" w:rsidR="00000000" w:rsidRDefault="00EB4933">
            <w:pPr>
              <w:pStyle w:val="NormalWeb"/>
              <w:spacing w:before="0" w:beforeAutospacing="0" w:after="0" w:afterAutospacing="0"/>
              <w:rPr>
                <w:sz w:val="20"/>
                <w:szCs w:val="20"/>
              </w:rPr>
            </w:pPr>
            <w:r>
              <w:rPr>
                <w:sz w:val="20"/>
                <w:szCs w:val="20"/>
              </w:rPr>
              <w:t>Ricky Qizhi Wei</w:t>
            </w:r>
          </w:p>
        </w:tc>
        <w:tc>
          <w:tcPr>
            <w:tcW w:w="0" w:type="auto"/>
            <w:vAlign w:val="center"/>
            <w:hideMark/>
          </w:tcPr>
          <w:p w14:paraId="7FE8B81D" w14:textId="77777777" w:rsidR="00000000" w:rsidRDefault="00EB4933">
            <w:pPr>
              <w:rPr>
                <w:rFonts w:eastAsia="Times New Roman"/>
                <w:sz w:val="20"/>
                <w:szCs w:val="20"/>
              </w:rPr>
            </w:pPr>
            <w:r>
              <w:rPr>
                <w:rFonts w:eastAsia="Times New Roman"/>
                <w:sz w:val="20"/>
                <w:szCs w:val="20"/>
              </w:rPr>
              <w:t> </w:t>
            </w:r>
          </w:p>
        </w:tc>
      </w:tr>
      <w:tr w:rsidR="00000000" w14:paraId="3F2411AE" w14:textId="77777777">
        <w:trPr>
          <w:divId w:val="1855915653"/>
          <w:trHeight w:val="225"/>
          <w:tblCellSpacing w:w="15" w:type="dxa"/>
        </w:trPr>
        <w:tc>
          <w:tcPr>
            <w:tcW w:w="0" w:type="auto"/>
            <w:vAlign w:val="center"/>
            <w:hideMark/>
          </w:tcPr>
          <w:p w14:paraId="08DA3734" w14:textId="77777777" w:rsidR="00000000" w:rsidRDefault="00EB4933">
            <w:pPr>
              <w:rPr>
                <w:rFonts w:eastAsia="Times New Roman"/>
                <w:sz w:val="20"/>
                <w:szCs w:val="20"/>
              </w:rPr>
            </w:pPr>
            <w:r>
              <w:rPr>
                <w:rFonts w:eastAsia="Times New Roman"/>
                <w:sz w:val="20"/>
                <w:szCs w:val="20"/>
              </w:rPr>
              <w:t> </w:t>
            </w:r>
          </w:p>
        </w:tc>
        <w:tc>
          <w:tcPr>
            <w:tcW w:w="0" w:type="auto"/>
            <w:vAlign w:val="center"/>
            <w:hideMark/>
          </w:tcPr>
          <w:p w14:paraId="36846A4F" w14:textId="77777777" w:rsidR="00000000" w:rsidRDefault="00EB4933">
            <w:pPr>
              <w:rPr>
                <w:rFonts w:eastAsia="Times New Roman"/>
                <w:sz w:val="20"/>
                <w:szCs w:val="20"/>
              </w:rPr>
            </w:pPr>
            <w:r>
              <w:rPr>
                <w:rFonts w:eastAsia="Times New Roman"/>
                <w:sz w:val="20"/>
                <w:szCs w:val="20"/>
              </w:rPr>
              <w:t xml:space="preserve">Title: </w:t>
            </w:r>
          </w:p>
        </w:tc>
        <w:tc>
          <w:tcPr>
            <w:tcW w:w="0" w:type="auto"/>
            <w:vAlign w:val="center"/>
            <w:hideMark/>
          </w:tcPr>
          <w:p w14:paraId="10EF16D1" w14:textId="77777777" w:rsidR="00000000" w:rsidRDefault="00EB4933">
            <w:pPr>
              <w:pStyle w:val="NormalWeb"/>
              <w:spacing w:before="0" w:beforeAutospacing="0" w:after="0" w:afterAutospacing="0"/>
              <w:rPr>
                <w:sz w:val="20"/>
                <w:szCs w:val="20"/>
              </w:rPr>
            </w:pPr>
            <w:r>
              <w:rPr>
                <w:sz w:val="20"/>
                <w:szCs w:val="20"/>
              </w:rPr>
              <w:t>Chief Executive Officer</w:t>
            </w:r>
          </w:p>
        </w:tc>
        <w:tc>
          <w:tcPr>
            <w:tcW w:w="0" w:type="auto"/>
            <w:vAlign w:val="center"/>
            <w:hideMark/>
          </w:tcPr>
          <w:p w14:paraId="3F4B19A8" w14:textId="77777777" w:rsidR="00000000" w:rsidRDefault="00EB4933">
            <w:pPr>
              <w:rPr>
                <w:rFonts w:eastAsia="Times New Roman"/>
                <w:sz w:val="20"/>
                <w:szCs w:val="20"/>
              </w:rPr>
            </w:pPr>
            <w:r>
              <w:rPr>
                <w:rFonts w:eastAsia="Times New Roman"/>
                <w:sz w:val="20"/>
                <w:szCs w:val="20"/>
              </w:rPr>
              <w:t> </w:t>
            </w:r>
          </w:p>
        </w:tc>
      </w:tr>
    </w:tbl>
    <w:p w14:paraId="65C71D45" w14:textId="77777777" w:rsidR="00000000" w:rsidRDefault="00EB4933">
      <w:pPr>
        <w:pStyle w:val="NormalWeb"/>
        <w:spacing w:before="0" w:beforeAutospacing="0" w:after="0" w:afterAutospacing="0"/>
        <w:jc w:val="both"/>
        <w:divId w:val="1855915653"/>
        <w:rPr>
          <w:sz w:val="20"/>
          <w:szCs w:val="20"/>
        </w:rPr>
      </w:pPr>
      <w:r>
        <w:rPr>
          <w:sz w:val="20"/>
          <w:szCs w:val="20"/>
        </w:rPr>
        <w:t> </w:t>
      </w:r>
    </w:p>
    <w:p w14:paraId="22BAD0D6" w14:textId="77777777" w:rsidR="00000000" w:rsidRDefault="00EB4933">
      <w:pPr>
        <w:jc w:val="both"/>
        <w:divId w:val="842820925"/>
        <w:rPr>
          <w:rFonts w:eastAsia="Times New Roman"/>
          <w:sz w:val="20"/>
          <w:szCs w:val="20"/>
        </w:rPr>
      </w:pPr>
      <w:r>
        <w:rPr>
          <w:rFonts w:eastAsia="Times New Roman"/>
          <w:sz w:val="20"/>
          <w:szCs w:val="20"/>
        </w:rPr>
        <w:t> </w:t>
      </w:r>
    </w:p>
    <w:p w14:paraId="73EA6360" w14:textId="77777777" w:rsidR="00000000" w:rsidRDefault="00EB4933">
      <w:pPr>
        <w:jc w:val="both"/>
        <w:rPr>
          <w:rFonts w:eastAsia="Times New Roman"/>
          <w:sz w:val="20"/>
          <w:szCs w:val="20"/>
        </w:rPr>
      </w:pPr>
    </w:p>
    <w:p w14:paraId="01F35E94" w14:textId="77777777" w:rsidR="00000000" w:rsidRDefault="00EB4933">
      <w:pPr>
        <w:pStyle w:val="NormalWeb"/>
        <w:spacing w:before="0" w:beforeAutospacing="0" w:after="0" w:afterAutospacing="0"/>
        <w:jc w:val="both"/>
        <w:divId w:val="1207181515"/>
        <w:rPr>
          <w:sz w:val="20"/>
          <w:szCs w:val="20"/>
        </w:rPr>
      </w:pPr>
      <w:r>
        <w:rPr>
          <w:sz w:val="20"/>
          <w:szCs w:val="20"/>
        </w:rPr>
        <w:t xml:space="preserve">  </w:t>
      </w:r>
    </w:p>
    <w:p w14:paraId="707FFB40" w14:textId="77777777" w:rsidR="00000000" w:rsidRDefault="00EB4933">
      <w:pPr>
        <w:pStyle w:val="NormalWeb"/>
        <w:spacing w:before="0" w:beforeAutospacing="0" w:after="0" w:afterAutospacing="0"/>
        <w:jc w:val="right"/>
        <w:divId w:val="1207181515"/>
        <w:rPr>
          <w:sz w:val="20"/>
          <w:szCs w:val="20"/>
        </w:rPr>
      </w:pPr>
      <w:r>
        <w:rPr>
          <w:rStyle w:val="Strong"/>
          <w:sz w:val="20"/>
          <w:szCs w:val="20"/>
        </w:rPr>
        <w:t>EXHIBIT 12.2</w:t>
      </w:r>
    </w:p>
    <w:p w14:paraId="78D6BBE3" w14:textId="77777777" w:rsidR="00000000" w:rsidRDefault="00EB4933">
      <w:pPr>
        <w:pStyle w:val="NormalWeb"/>
        <w:spacing w:before="0" w:beforeAutospacing="0" w:after="0" w:afterAutospacing="0"/>
        <w:jc w:val="center"/>
        <w:divId w:val="1207181515"/>
        <w:rPr>
          <w:sz w:val="20"/>
          <w:szCs w:val="20"/>
        </w:rPr>
      </w:pPr>
      <w:r>
        <w:rPr>
          <w:rStyle w:val="Strong"/>
          <w:sz w:val="20"/>
          <w:szCs w:val="20"/>
        </w:rPr>
        <w:t> </w:t>
      </w:r>
    </w:p>
    <w:p w14:paraId="60F2EB20" w14:textId="77777777" w:rsidR="00000000" w:rsidRDefault="00EB4933">
      <w:pPr>
        <w:pStyle w:val="NormalWeb"/>
        <w:spacing w:before="0" w:beforeAutospacing="0" w:after="0" w:afterAutospacing="0"/>
        <w:jc w:val="center"/>
        <w:divId w:val="1207181515"/>
        <w:rPr>
          <w:sz w:val="20"/>
          <w:szCs w:val="20"/>
        </w:rPr>
      </w:pPr>
      <w:r>
        <w:rPr>
          <w:rStyle w:val="Strong"/>
          <w:sz w:val="20"/>
          <w:szCs w:val="20"/>
        </w:rPr>
        <w:t>CERTIFICATION</w:t>
      </w:r>
    </w:p>
    <w:p w14:paraId="6233079C" w14:textId="77777777" w:rsidR="00000000" w:rsidRDefault="00EB4933">
      <w:pPr>
        <w:pStyle w:val="NormalWeb"/>
        <w:spacing w:before="0" w:beforeAutospacing="0" w:after="0" w:afterAutospacing="0"/>
        <w:jc w:val="center"/>
        <w:divId w:val="1207181515"/>
        <w:rPr>
          <w:sz w:val="20"/>
          <w:szCs w:val="20"/>
        </w:rPr>
      </w:pPr>
      <w:r>
        <w:rPr>
          <w:rStyle w:val="Strong"/>
          <w:sz w:val="20"/>
          <w:szCs w:val="20"/>
        </w:rPr>
        <w:t xml:space="preserve">  </w:t>
      </w:r>
    </w:p>
    <w:p w14:paraId="5AB7D578" w14:textId="77777777" w:rsidR="00000000" w:rsidRDefault="00EB4933">
      <w:pPr>
        <w:pStyle w:val="NormalWeb"/>
        <w:spacing w:before="0" w:beforeAutospacing="0" w:after="0" w:afterAutospacing="0"/>
        <w:jc w:val="both"/>
        <w:divId w:val="1207181515"/>
        <w:rPr>
          <w:sz w:val="20"/>
          <w:szCs w:val="20"/>
        </w:rPr>
      </w:pPr>
      <w:r>
        <w:rPr>
          <w:sz w:val="20"/>
          <w:szCs w:val="20"/>
        </w:rPr>
        <w:t>I, Chee Jiong Ng, certify that:</w:t>
      </w:r>
    </w:p>
    <w:p w14:paraId="598548B7" w14:textId="77777777" w:rsidR="00000000" w:rsidRDefault="00EB4933">
      <w:pPr>
        <w:pStyle w:val="NormalWeb"/>
        <w:spacing w:before="0" w:beforeAutospacing="0" w:after="0" w:afterAutospacing="0"/>
        <w:jc w:val="both"/>
        <w:divId w:val="1207181515"/>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5E87753E" w14:textId="77777777">
        <w:trPr>
          <w:divId w:val="1207181515"/>
          <w:trHeight w:val="225"/>
          <w:tblCellSpacing w:w="15" w:type="dxa"/>
        </w:trPr>
        <w:tc>
          <w:tcPr>
            <w:tcW w:w="200" w:type="pct"/>
            <w:hideMark/>
          </w:tcPr>
          <w:p w14:paraId="69437270" w14:textId="77777777" w:rsidR="00000000" w:rsidRDefault="00EB4933">
            <w:pPr>
              <w:pStyle w:val="NormalWeb"/>
              <w:spacing w:before="0" w:beforeAutospacing="0" w:after="0" w:afterAutospacing="0"/>
              <w:jc w:val="both"/>
              <w:rPr>
                <w:sz w:val="20"/>
                <w:szCs w:val="20"/>
              </w:rPr>
            </w:pPr>
            <w:r>
              <w:rPr>
                <w:sz w:val="20"/>
                <w:szCs w:val="20"/>
              </w:rPr>
              <w:t>1.</w:t>
            </w:r>
          </w:p>
        </w:tc>
        <w:tc>
          <w:tcPr>
            <w:tcW w:w="0" w:type="auto"/>
            <w:hideMark/>
          </w:tcPr>
          <w:p w14:paraId="5B8A2A59" w14:textId="77777777" w:rsidR="00000000" w:rsidRDefault="00EB4933">
            <w:pPr>
              <w:pStyle w:val="NormalWeb"/>
              <w:spacing w:before="0" w:beforeAutospacing="0" w:after="0" w:afterAutospacing="0"/>
              <w:jc w:val="both"/>
              <w:rPr>
                <w:sz w:val="20"/>
                <w:szCs w:val="20"/>
              </w:rPr>
            </w:pPr>
            <w:r>
              <w:rPr>
                <w:sz w:val="20"/>
                <w:szCs w:val="20"/>
              </w:rPr>
              <w:t>I have reviewed this annual report on Form </w:t>
            </w:r>
            <w:r>
              <w:rPr>
                <w:sz w:val="20"/>
                <w:szCs w:val="20"/>
              </w:rPr>
              <w:t>20-F of Dunxin Financial Holdings Limited (the “Company”);</w:t>
            </w:r>
          </w:p>
        </w:tc>
      </w:tr>
      <w:tr w:rsidR="00000000" w14:paraId="3181AEC6" w14:textId="77777777">
        <w:trPr>
          <w:divId w:val="1207181515"/>
          <w:trHeight w:val="225"/>
          <w:tblCellSpacing w:w="15" w:type="dxa"/>
        </w:trPr>
        <w:tc>
          <w:tcPr>
            <w:tcW w:w="0" w:type="auto"/>
            <w:vAlign w:val="center"/>
            <w:hideMark/>
          </w:tcPr>
          <w:p w14:paraId="0DA9AE5B"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4192A2F0" w14:textId="77777777" w:rsidR="00000000" w:rsidRDefault="00EB4933">
            <w:pPr>
              <w:pStyle w:val="NormalWeb"/>
              <w:spacing w:before="0" w:beforeAutospacing="0" w:after="0" w:afterAutospacing="0"/>
              <w:rPr>
                <w:sz w:val="20"/>
                <w:szCs w:val="20"/>
              </w:rPr>
            </w:pPr>
            <w:r>
              <w:rPr>
                <w:sz w:val="20"/>
                <w:szCs w:val="20"/>
              </w:rPr>
              <w:t> </w:t>
            </w:r>
          </w:p>
        </w:tc>
      </w:tr>
      <w:tr w:rsidR="00000000" w14:paraId="0ECAD0DE" w14:textId="77777777">
        <w:trPr>
          <w:divId w:val="1207181515"/>
          <w:trHeight w:val="225"/>
          <w:tblCellSpacing w:w="15" w:type="dxa"/>
        </w:trPr>
        <w:tc>
          <w:tcPr>
            <w:tcW w:w="0" w:type="auto"/>
            <w:hideMark/>
          </w:tcPr>
          <w:p w14:paraId="571AB6BF" w14:textId="77777777" w:rsidR="00000000" w:rsidRDefault="00EB4933">
            <w:pPr>
              <w:pStyle w:val="NormalWeb"/>
              <w:spacing w:before="0" w:beforeAutospacing="0" w:after="0" w:afterAutospacing="0"/>
              <w:jc w:val="both"/>
              <w:rPr>
                <w:sz w:val="20"/>
                <w:szCs w:val="20"/>
              </w:rPr>
            </w:pPr>
            <w:r>
              <w:rPr>
                <w:sz w:val="20"/>
                <w:szCs w:val="20"/>
              </w:rPr>
              <w:t>2.</w:t>
            </w:r>
          </w:p>
          <w:p w14:paraId="36E1AEE7"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0AFFB4E1" w14:textId="77777777" w:rsidR="00000000" w:rsidRDefault="00EB4933">
            <w:pPr>
              <w:pStyle w:val="NormalWeb"/>
              <w:spacing w:before="0" w:beforeAutospacing="0" w:after="0" w:afterAutospacing="0"/>
              <w:jc w:val="both"/>
              <w:rPr>
                <w:sz w:val="20"/>
                <w:szCs w:val="20"/>
              </w:rPr>
            </w:pPr>
            <w:r>
              <w:rPr>
                <w:sz w:val="20"/>
                <w:szCs w:val="20"/>
              </w:rPr>
              <w:t>Based on my knowledge, this annual report does not contain any untrue statement of a material fact or omit to state a material fact necessary to make the statements made, in light of t</w:t>
            </w:r>
            <w:r>
              <w:rPr>
                <w:sz w:val="20"/>
                <w:szCs w:val="20"/>
              </w:rPr>
              <w:t>he circumstances under which such statements were made, not misleading with respect to the period covered by this report;</w:t>
            </w:r>
          </w:p>
        </w:tc>
      </w:tr>
      <w:tr w:rsidR="00000000" w14:paraId="38EA2423" w14:textId="77777777">
        <w:trPr>
          <w:divId w:val="1207181515"/>
          <w:trHeight w:val="225"/>
          <w:tblCellSpacing w:w="15" w:type="dxa"/>
        </w:trPr>
        <w:tc>
          <w:tcPr>
            <w:tcW w:w="0" w:type="auto"/>
            <w:vAlign w:val="center"/>
            <w:hideMark/>
          </w:tcPr>
          <w:p w14:paraId="15BB7FCF"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5522F3A7" w14:textId="77777777" w:rsidR="00000000" w:rsidRDefault="00EB4933">
            <w:pPr>
              <w:pStyle w:val="NormalWeb"/>
              <w:spacing w:before="0" w:beforeAutospacing="0" w:after="0" w:afterAutospacing="0"/>
              <w:rPr>
                <w:sz w:val="20"/>
                <w:szCs w:val="20"/>
              </w:rPr>
            </w:pPr>
            <w:r>
              <w:rPr>
                <w:sz w:val="20"/>
                <w:szCs w:val="20"/>
              </w:rPr>
              <w:t> </w:t>
            </w:r>
          </w:p>
        </w:tc>
      </w:tr>
      <w:tr w:rsidR="00000000" w14:paraId="045E023B" w14:textId="77777777">
        <w:trPr>
          <w:divId w:val="1207181515"/>
          <w:trHeight w:val="225"/>
          <w:tblCellSpacing w:w="15" w:type="dxa"/>
        </w:trPr>
        <w:tc>
          <w:tcPr>
            <w:tcW w:w="0" w:type="auto"/>
            <w:hideMark/>
          </w:tcPr>
          <w:p w14:paraId="09791DB9" w14:textId="77777777" w:rsidR="00000000" w:rsidRDefault="00EB4933">
            <w:pPr>
              <w:pStyle w:val="NormalWeb"/>
              <w:spacing w:before="0" w:beforeAutospacing="0" w:after="0" w:afterAutospacing="0"/>
              <w:jc w:val="both"/>
              <w:rPr>
                <w:sz w:val="20"/>
                <w:szCs w:val="20"/>
              </w:rPr>
            </w:pPr>
            <w:r>
              <w:rPr>
                <w:sz w:val="20"/>
                <w:szCs w:val="20"/>
              </w:rPr>
              <w:t>3.</w:t>
            </w:r>
          </w:p>
          <w:p w14:paraId="0675EEDE"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75597803" w14:textId="77777777" w:rsidR="00000000" w:rsidRDefault="00EB4933">
            <w:pPr>
              <w:pStyle w:val="NormalWeb"/>
              <w:spacing w:before="0" w:beforeAutospacing="0" w:after="0" w:afterAutospacing="0"/>
              <w:jc w:val="both"/>
              <w:rPr>
                <w:sz w:val="20"/>
                <w:szCs w:val="20"/>
              </w:rPr>
            </w:pPr>
            <w:r>
              <w:rPr>
                <w:sz w:val="20"/>
                <w:szCs w:val="20"/>
              </w:rPr>
              <w:t>Based on my knowledge, the financial statements, and other financial information included in this annual report, fairly present in all material respects the financial condition, results of operations and cash flows of the Company as of, and for, the period</w:t>
            </w:r>
            <w:r>
              <w:rPr>
                <w:sz w:val="20"/>
                <w:szCs w:val="20"/>
              </w:rPr>
              <w:t>s presented in this report;</w:t>
            </w:r>
          </w:p>
        </w:tc>
      </w:tr>
      <w:tr w:rsidR="00000000" w14:paraId="0521F751" w14:textId="77777777">
        <w:trPr>
          <w:divId w:val="1207181515"/>
          <w:trHeight w:val="225"/>
          <w:tblCellSpacing w:w="15" w:type="dxa"/>
        </w:trPr>
        <w:tc>
          <w:tcPr>
            <w:tcW w:w="0" w:type="auto"/>
            <w:vAlign w:val="center"/>
            <w:hideMark/>
          </w:tcPr>
          <w:p w14:paraId="25883DB8"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76B47CBB" w14:textId="77777777" w:rsidR="00000000" w:rsidRDefault="00EB4933">
            <w:pPr>
              <w:pStyle w:val="NormalWeb"/>
              <w:spacing w:before="0" w:beforeAutospacing="0" w:after="0" w:afterAutospacing="0"/>
              <w:rPr>
                <w:sz w:val="20"/>
                <w:szCs w:val="20"/>
              </w:rPr>
            </w:pPr>
            <w:r>
              <w:rPr>
                <w:sz w:val="20"/>
                <w:szCs w:val="20"/>
              </w:rPr>
              <w:t> </w:t>
            </w:r>
          </w:p>
        </w:tc>
      </w:tr>
      <w:tr w:rsidR="00000000" w14:paraId="62B06B5E" w14:textId="77777777">
        <w:trPr>
          <w:divId w:val="1207181515"/>
          <w:trHeight w:val="225"/>
          <w:tblCellSpacing w:w="15" w:type="dxa"/>
        </w:trPr>
        <w:tc>
          <w:tcPr>
            <w:tcW w:w="0" w:type="auto"/>
            <w:hideMark/>
          </w:tcPr>
          <w:p w14:paraId="031988C4" w14:textId="77777777" w:rsidR="00000000" w:rsidRDefault="00EB4933">
            <w:pPr>
              <w:pStyle w:val="NormalWeb"/>
              <w:spacing w:before="0" w:beforeAutospacing="0" w:after="0" w:afterAutospacing="0"/>
              <w:jc w:val="both"/>
              <w:rPr>
                <w:sz w:val="20"/>
                <w:szCs w:val="20"/>
              </w:rPr>
            </w:pPr>
            <w:r>
              <w:rPr>
                <w:sz w:val="20"/>
                <w:szCs w:val="20"/>
              </w:rPr>
              <w:t>4.</w:t>
            </w:r>
          </w:p>
          <w:p w14:paraId="05A06C5F"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766A2F95" w14:textId="77777777" w:rsidR="00000000" w:rsidRDefault="00EB4933">
            <w:pPr>
              <w:pStyle w:val="NormalWeb"/>
              <w:spacing w:before="0" w:beforeAutospacing="0" w:after="0" w:afterAutospacing="0"/>
              <w:jc w:val="both"/>
              <w:rPr>
                <w:sz w:val="20"/>
                <w:szCs w:val="20"/>
              </w:rPr>
            </w:pPr>
            <w:r>
              <w:rPr>
                <w:sz w:val="20"/>
                <w:szCs w:val="20"/>
              </w:rPr>
              <w:t>The Company’s other certifying officer and I are responsible for establishing and maintaining disclosure controls and procedures (as defined in Exchange Act Rules 13a-15(e) and 15d-15(e)) and internal control over f</w:t>
            </w:r>
            <w:r>
              <w:rPr>
                <w:sz w:val="20"/>
                <w:szCs w:val="20"/>
              </w:rPr>
              <w:t>inancial reporting (as defined in Exchange Act Rules 13a-15(f) and 15d-15(f)) for the Company and have:</w:t>
            </w:r>
          </w:p>
        </w:tc>
      </w:tr>
    </w:tbl>
    <w:p w14:paraId="2513D6A2" w14:textId="77777777" w:rsidR="00000000" w:rsidRDefault="00EB4933">
      <w:pPr>
        <w:pStyle w:val="NormalWeb"/>
        <w:spacing w:before="0" w:beforeAutospacing="0" w:after="0" w:afterAutospacing="0"/>
        <w:jc w:val="both"/>
        <w:divId w:val="1207181515"/>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12A55EB6" w14:textId="77777777">
        <w:trPr>
          <w:divId w:val="1207181515"/>
          <w:trHeight w:val="225"/>
          <w:tblCellSpacing w:w="15" w:type="dxa"/>
        </w:trPr>
        <w:tc>
          <w:tcPr>
            <w:tcW w:w="200" w:type="pct"/>
            <w:vAlign w:val="center"/>
            <w:hideMark/>
          </w:tcPr>
          <w:p w14:paraId="051DC465" w14:textId="77777777" w:rsidR="00000000" w:rsidRDefault="00EB4933">
            <w:pPr>
              <w:pStyle w:val="NormalWeb"/>
              <w:spacing w:before="0" w:beforeAutospacing="0" w:after="0" w:afterAutospacing="0"/>
              <w:jc w:val="both"/>
              <w:rPr>
                <w:sz w:val="20"/>
                <w:szCs w:val="20"/>
              </w:rPr>
            </w:pPr>
            <w:r>
              <w:rPr>
                <w:sz w:val="20"/>
                <w:szCs w:val="20"/>
              </w:rPr>
              <w:lastRenderedPageBreak/>
              <w:t> </w:t>
            </w:r>
          </w:p>
          <w:p w14:paraId="62040B5D"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5034E339" w14:textId="77777777" w:rsidR="00000000" w:rsidRDefault="00EB4933">
            <w:pPr>
              <w:pStyle w:val="NormalWeb"/>
              <w:spacing w:before="0" w:beforeAutospacing="0" w:after="0" w:afterAutospacing="0"/>
              <w:jc w:val="both"/>
              <w:rPr>
                <w:sz w:val="20"/>
                <w:szCs w:val="20"/>
              </w:rPr>
            </w:pPr>
            <w:r>
              <w:rPr>
                <w:sz w:val="20"/>
                <w:szCs w:val="20"/>
              </w:rPr>
              <w:t>(a)</w:t>
            </w:r>
          </w:p>
          <w:p w14:paraId="17FDE5E4"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026909B0" w14:textId="77777777" w:rsidR="00000000" w:rsidRDefault="00EB4933">
            <w:pPr>
              <w:pStyle w:val="NormalWeb"/>
              <w:spacing w:before="0" w:beforeAutospacing="0" w:after="0" w:afterAutospacing="0"/>
              <w:jc w:val="both"/>
              <w:rPr>
                <w:sz w:val="20"/>
                <w:szCs w:val="20"/>
              </w:rPr>
            </w:pPr>
            <w:r>
              <w:rPr>
                <w:sz w:val="20"/>
                <w:szCs w:val="20"/>
              </w:rPr>
              <w:t>Designed such disclosure controls and procedures, or caused such disclosure controls and procedures to be designed under our supervision, to ensure that material information relating to the Company, including its consolidated subsidiaries, is made known to</w:t>
            </w:r>
            <w:r>
              <w:rPr>
                <w:sz w:val="20"/>
                <w:szCs w:val="20"/>
              </w:rPr>
              <w:t xml:space="preserve"> us by others within those entities, particularly during the period in which this report is being prepared;</w:t>
            </w:r>
          </w:p>
        </w:tc>
      </w:tr>
      <w:tr w:rsidR="00000000" w14:paraId="7D5BCAAA" w14:textId="77777777">
        <w:trPr>
          <w:divId w:val="1207181515"/>
          <w:trHeight w:val="225"/>
          <w:tblCellSpacing w:w="15" w:type="dxa"/>
        </w:trPr>
        <w:tc>
          <w:tcPr>
            <w:tcW w:w="0" w:type="auto"/>
            <w:vAlign w:val="center"/>
            <w:hideMark/>
          </w:tcPr>
          <w:p w14:paraId="6D2F2151"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441E0FEB"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50558F00" w14:textId="77777777" w:rsidR="00000000" w:rsidRDefault="00EB4933">
            <w:pPr>
              <w:pStyle w:val="NormalWeb"/>
              <w:spacing w:before="0" w:beforeAutospacing="0" w:after="0" w:afterAutospacing="0"/>
              <w:rPr>
                <w:sz w:val="20"/>
                <w:szCs w:val="20"/>
              </w:rPr>
            </w:pPr>
            <w:r>
              <w:rPr>
                <w:sz w:val="20"/>
                <w:szCs w:val="20"/>
              </w:rPr>
              <w:t> </w:t>
            </w:r>
          </w:p>
        </w:tc>
      </w:tr>
      <w:tr w:rsidR="00000000" w14:paraId="5532CC21" w14:textId="77777777">
        <w:trPr>
          <w:divId w:val="1207181515"/>
          <w:trHeight w:val="225"/>
          <w:tblCellSpacing w:w="15" w:type="dxa"/>
        </w:trPr>
        <w:tc>
          <w:tcPr>
            <w:tcW w:w="0" w:type="auto"/>
            <w:vAlign w:val="center"/>
            <w:hideMark/>
          </w:tcPr>
          <w:p w14:paraId="457AC987" w14:textId="77777777" w:rsidR="00000000" w:rsidRDefault="00EB4933">
            <w:pPr>
              <w:pStyle w:val="NormalWeb"/>
              <w:spacing w:before="0" w:beforeAutospacing="0" w:after="0" w:afterAutospacing="0"/>
              <w:jc w:val="both"/>
              <w:rPr>
                <w:sz w:val="20"/>
                <w:szCs w:val="20"/>
              </w:rPr>
            </w:pPr>
            <w:r>
              <w:rPr>
                <w:sz w:val="20"/>
                <w:szCs w:val="20"/>
              </w:rPr>
              <w:t> </w:t>
            </w:r>
          </w:p>
          <w:p w14:paraId="12921DEE"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0A92FDCB" w14:textId="77777777" w:rsidR="00000000" w:rsidRDefault="00EB4933">
            <w:pPr>
              <w:pStyle w:val="NormalWeb"/>
              <w:spacing w:before="0" w:beforeAutospacing="0" w:after="0" w:afterAutospacing="0"/>
              <w:jc w:val="both"/>
              <w:rPr>
                <w:sz w:val="20"/>
                <w:szCs w:val="20"/>
              </w:rPr>
            </w:pPr>
            <w:r>
              <w:rPr>
                <w:sz w:val="20"/>
                <w:szCs w:val="20"/>
              </w:rPr>
              <w:t>(b)</w:t>
            </w:r>
          </w:p>
          <w:p w14:paraId="441F0F6A"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769F37F6" w14:textId="77777777" w:rsidR="00000000" w:rsidRDefault="00EB4933">
            <w:pPr>
              <w:pStyle w:val="NormalWeb"/>
              <w:spacing w:before="0" w:beforeAutospacing="0" w:after="0" w:afterAutospacing="0"/>
              <w:jc w:val="both"/>
              <w:rPr>
                <w:sz w:val="20"/>
                <w:szCs w:val="20"/>
              </w:rPr>
            </w:pPr>
            <w:r>
              <w:rPr>
                <w:sz w:val="20"/>
                <w:szCs w:val="20"/>
              </w:rPr>
              <w:t xml:space="preserve">Designed such internal control over financial reporting, or caused such internal control over financial reporting to be designed under our supervision, to provide reasonable assurance regarding the reliability of financial reporting and the preparation of </w:t>
            </w:r>
            <w:r>
              <w:rPr>
                <w:sz w:val="20"/>
                <w:szCs w:val="20"/>
              </w:rPr>
              <w:t>financial statements for external purposes in accordance with generally accepted accounting principles;</w:t>
            </w:r>
          </w:p>
        </w:tc>
      </w:tr>
      <w:tr w:rsidR="00000000" w14:paraId="663A84D7" w14:textId="77777777">
        <w:trPr>
          <w:divId w:val="1207181515"/>
          <w:trHeight w:val="225"/>
          <w:tblCellSpacing w:w="15" w:type="dxa"/>
        </w:trPr>
        <w:tc>
          <w:tcPr>
            <w:tcW w:w="0" w:type="auto"/>
            <w:vAlign w:val="center"/>
            <w:hideMark/>
          </w:tcPr>
          <w:p w14:paraId="18CE0042"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31EC9787"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5C7DEEAF" w14:textId="77777777" w:rsidR="00000000" w:rsidRDefault="00EB4933">
            <w:pPr>
              <w:pStyle w:val="NormalWeb"/>
              <w:spacing w:before="0" w:beforeAutospacing="0" w:after="0" w:afterAutospacing="0"/>
              <w:rPr>
                <w:sz w:val="20"/>
                <w:szCs w:val="20"/>
              </w:rPr>
            </w:pPr>
            <w:r>
              <w:rPr>
                <w:sz w:val="20"/>
                <w:szCs w:val="20"/>
              </w:rPr>
              <w:t> </w:t>
            </w:r>
          </w:p>
        </w:tc>
      </w:tr>
      <w:tr w:rsidR="00000000" w14:paraId="3F50E12E" w14:textId="77777777">
        <w:trPr>
          <w:divId w:val="1207181515"/>
          <w:trHeight w:val="225"/>
          <w:tblCellSpacing w:w="15" w:type="dxa"/>
        </w:trPr>
        <w:tc>
          <w:tcPr>
            <w:tcW w:w="0" w:type="auto"/>
            <w:vAlign w:val="center"/>
            <w:hideMark/>
          </w:tcPr>
          <w:p w14:paraId="6E072111" w14:textId="77777777" w:rsidR="00000000" w:rsidRDefault="00EB4933">
            <w:pPr>
              <w:pStyle w:val="NormalWeb"/>
              <w:spacing w:before="0" w:beforeAutospacing="0" w:after="0" w:afterAutospacing="0"/>
              <w:jc w:val="both"/>
              <w:rPr>
                <w:sz w:val="20"/>
                <w:szCs w:val="20"/>
              </w:rPr>
            </w:pPr>
            <w:r>
              <w:rPr>
                <w:sz w:val="20"/>
                <w:szCs w:val="20"/>
              </w:rPr>
              <w:t> </w:t>
            </w:r>
          </w:p>
          <w:p w14:paraId="228C77C6"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01DB9E4E" w14:textId="77777777" w:rsidR="00000000" w:rsidRDefault="00EB4933">
            <w:pPr>
              <w:pStyle w:val="NormalWeb"/>
              <w:spacing w:before="0" w:beforeAutospacing="0" w:after="0" w:afterAutospacing="0"/>
              <w:jc w:val="both"/>
              <w:rPr>
                <w:sz w:val="20"/>
                <w:szCs w:val="20"/>
              </w:rPr>
            </w:pPr>
            <w:r>
              <w:rPr>
                <w:sz w:val="20"/>
                <w:szCs w:val="20"/>
              </w:rPr>
              <w:t>(c)</w:t>
            </w:r>
          </w:p>
          <w:p w14:paraId="6154D2BA"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0E2512DA" w14:textId="77777777" w:rsidR="00000000" w:rsidRDefault="00EB4933">
            <w:pPr>
              <w:pStyle w:val="NormalWeb"/>
              <w:spacing w:before="0" w:beforeAutospacing="0" w:after="0" w:afterAutospacing="0"/>
              <w:jc w:val="both"/>
              <w:rPr>
                <w:sz w:val="20"/>
                <w:szCs w:val="20"/>
              </w:rPr>
            </w:pPr>
            <w:r>
              <w:rPr>
                <w:sz w:val="20"/>
                <w:szCs w:val="20"/>
              </w:rPr>
              <w:t>Evaluated the effectiveness of the Company’s disclos</w:t>
            </w:r>
            <w:r>
              <w:rPr>
                <w:sz w:val="20"/>
                <w:szCs w:val="20"/>
              </w:rPr>
              <w:t>ure controls and procedures and presented in this report our conclusions about the effectiveness of the disclosure controls and procedures, as of the end of the period covered by this report based on such evaluation; and</w:t>
            </w:r>
          </w:p>
        </w:tc>
      </w:tr>
      <w:tr w:rsidR="00000000" w14:paraId="53AB5638" w14:textId="77777777">
        <w:trPr>
          <w:divId w:val="1207181515"/>
          <w:trHeight w:val="225"/>
          <w:tblCellSpacing w:w="15" w:type="dxa"/>
        </w:trPr>
        <w:tc>
          <w:tcPr>
            <w:tcW w:w="0" w:type="auto"/>
            <w:vAlign w:val="center"/>
            <w:hideMark/>
          </w:tcPr>
          <w:p w14:paraId="1CDB6D17"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28F4DADB"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547CD2AF" w14:textId="77777777" w:rsidR="00000000" w:rsidRDefault="00EB4933">
            <w:pPr>
              <w:pStyle w:val="NormalWeb"/>
              <w:spacing w:before="0" w:beforeAutospacing="0" w:after="0" w:afterAutospacing="0"/>
              <w:rPr>
                <w:sz w:val="20"/>
                <w:szCs w:val="20"/>
              </w:rPr>
            </w:pPr>
            <w:r>
              <w:rPr>
                <w:sz w:val="20"/>
                <w:szCs w:val="20"/>
              </w:rPr>
              <w:t> </w:t>
            </w:r>
          </w:p>
        </w:tc>
      </w:tr>
      <w:tr w:rsidR="00000000" w14:paraId="5D51F2DC" w14:textId="77777777">
        <w:trPr>
          <w:divId w:val="1207181515"/>
          <w:trHeight w:val="225"/>
          <w:tblCellSpacing w:w="15" w:type="dxa"/>
        </w:trPr>
        <w:tc>
          <w:tcPr>
            <w:tcW w:w="0" w:type="auto"/>
            <w:vAlign w:val="center"/>
            <w:hideMark/>
          </w:tcPr>
          <w:p w14:paraId="6F178998" w14:textId="77777777" w:rsidR="00000000" w:rsidRDefault="00EB4933">
            <w:pPr>
              <w:pStyle w:val="NormalWeb"/>
              <w:spacing w:before="0" w:beforeAutospacing="0" w:after="0" w:afterAutospacing="0"/>
              <w:jc w:val="both"/>
              <w:rPr>
                <w:sz w:val="20"/>
                <w:szCs w:val="20"/>
              </w:rPr>
            </w:pPr>
            <w:r>
              <w:rPr>
                <w:sz w:val="20"/>
                <w:szCs w:val="20"/>
              </w:rPr>
              <w:t> </w:t>
            </w:r>
          </w:p>
          <w:p w14:paraId="75067198"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1340CB48" w14:textId="77777777" w:rsidR="00000000" w:rsidRDefault="00EB4933">
            <w:pPr>
              <w:pStyle w:val="NormalWeb"/>
              <w:spacing w:before="0" w:beforeAutospacing="0" w:after="0" w:afterAutospacing="0"/>
              <w:jc w:val="both"/>
              <w:rPr>
                <w:sz w:val="20"/>
                <w:szCs w:val="20"/>
              </w:rPr>
            </w:pPr>
            <w:r>
              <w:rPr>
                <w:sz w:val="20"/>
                <w:szCs w:val="20"/>
              </w:rPr>
              <w:t>(d)</w:t>
            </w:r>
          </w:p>
          <w:p w14:paraId="37C354C2"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5B977AE1" w14:textId="77777777" w:rsidR="00000000" w:rsidRDefault="00EB4933">
            <w:pPr>
              <w:pStyle w:val="NormalWeb"/>
              <w:spacing w:before="0" w:beforeAutospacing="0" w:after="0" w:afterAutospacing="0"/>
              <w:jc w:val="both"/>
              <w:rPr>
                <w:sz w:val="20"/>
                <w:szCs w:val="20"/>
              </w:rPr>
            </w:pPr>
            <w:r>
              <w:rPr>
                <w:sz w:val="20"/>
                <w:szCs w:val="20"/>
              </w:rPr>
              <w:t>Disclosed in th</w:t>
            </w:r>
            <w:r>
              <w:rPr>
                <w:sz w:val="20"/>
                <w:szCs w:val="20"/>
              </w:rPr>
              <w:t>is report any change in the Company’s internal control over financial reporting that occurred during the period covered by the annual report that has materially affected, or is reasonably likely to materially affect, the company’s internal control over fin</w:t>
            </w:r>
            <w:r>
              <w:rPr>
                <w:sz w:val="20"/>
                <w:szCs w:val="20"/>
              </w:rPr>
              <w:t>ancial reporting.</w:t>
            </w:r>
          </w:p>
        </w:tc>
      </w:tr>
    </w:tbl>
    <w:p w14:paraId="2BDEDC0E" w14:textId="77777777" w:rsidR="00000000" w:rsidRDefault="00EB4933">
      <w:pPr>
        <w:pStyle w:val="NormalWeb"/>
        <w:spacing w:before="0" w:beforeAutospacing="0" w:after="0" w:afterAutospacing="0"/>
        <w:jc w:val="both"/>
        <w:divId w:val="1207181515"/>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5961A5EF" w14:textId="77777777">
        <w:trPr>
          <w:divId w:val="1207181515"/>
          <w:trHeight w:val="225"/>
          <w:tblCellSpacing w:w="15" w:type="dxa"/>
        </w:trPr>
        <w:tc>
          <w:tcPr>
            <w:tcW w:w="200" w:type="pct"/>
            <w:hideMark/>
          </w:tcPr>
          <w:p w14:paraId="1FACE1C6" w14:textId="77777777" w:rsidR="00000000" w:rsidRDefault="00EB4933">
            <w:pPr>
              <w:pStyle w:val="NormalWeb"/>
              <w:spacing w:before="0" w:beforeAutospacing="0" w:after="0" w:afterAutospacing="0"/>
              <w:jc w:val="both"/>
              <w:rPr>
                <w:sz w:val="20"/>
                <w:szCs w:val="20"/>
              </w:rPr>
            </w:pPr>
            <w:r>
              <w:rPr>
                <w:sz w:val="20"/>
                <w:szCs w:val="20"/>
              </w:rPr>
              <w:t>5.</w:t>
            </w:r>
          </w:p>
          <w:p w14:paraId="465E36DB"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276B45CE" w14:textId="77777777" w:rsidR="00000000" w:rsidRDefault="00EB4933">
            <w:pPr>
              <w:pStyle w:val="NormalWeb"/>
              <w:spacing w:before="0" w:beforeAutospacing="0" w:after="0" w:afterAutospacing="0"/>
              <w:jc w:val="both"/>
              <w:rPr>
                <w:sz w:val="20"/>
                <w:szCs w:val="20"/>
              </w:rPr>
            </w:pPr>
            <w:r>
              <w:rPr>
                <w:sz w:val="20"/>
                <w:szCs w:val="20"/>
              </w:rPr>
              <w:t>The Company’</w:t>
            </w:r>
            <w:r>
              <w:rPr>
                <w:sz w:val="20"/>
                <w:szCs w:val="20"/>
              </w:rPr>
              <w:t>s other certifying officer and I have disclosed, based on our most recent evaluation of internal control over financial reporting, to the Company’s auditors and the audit committee of the Company’s board of directors (or persons performing the equivalent f</w:t>
            </w:r>
            <w:r>
              <w:rPr>
                <w:sz w:val="20"/>
                <w:szCs w:val="20"/>
              </w:rPr>
              <w:t>unctions):</w:t>
            </w:r>
          </w:p>
        </w:tc>
      </w:tr>
    </w:tbl>
    <w:p w14:paraId="1227A136" w14:textId="77777777" w:rsidR="00000000" w:rsidRDefault="00EB4933">
      <w:pPr>
        <w:pStyle w:val="NormalWeb"/>
        <w:spacing w:before="0" w:beforeAutospacing="0" w:after="0" w:afterAutospacing="0"/>
        <w:jc w:val="both"/>
        <w:divId w:val="1207181515"/>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7734077" w14:textId="77777777">
        <w:trPr>
          <w:divId w:val="1207181515"/>
          <w:trHeight w:val="225"/>
          <w:tblCellSpacing w:w="15" w:type="dxa"/>
        </w:trPr>
        <w:tc>
          <w:tcPr>
            <w:tcW w:w="200" w:type="pct"/>
            <w:vAlign w:val="center"/>
            <w:hideMark/>
          </w:tcPr>
          <w:p w14:paraId="156050DD" w14:textId="77777777" w:rsidR="00000000" w:rsidRDefault="00EB4933">
            <w:pPr>
              <w:pStyle w:val="NormalWeb"/>
              <w:spacing w:before="0" w:beforeAutospacing="0" w:after="0" w:afterAutospacing="0"/>
              <w:jc w:val="both"/>
              <w:rPr>
                <w:sz w:val="20"/>
                <w:szCs w:val="20"/>
              </w:rPr>
            </w:pPr>
            <w:r>
              <w:rPr>
                <w:sz w:val="20"/>
                <w:szCs w:val="20"/>
              </w:rPr>
              <w:t> </w:t>
            </w:r>
          </w:p>
          <w:p w14:paraId="2B0AE343"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5BBD44EC" w14:textId="77777777" w:rsidR="00000000" w:rsidRDefault="00EB4933">
            <w:pPr>
              <w:pStyle w:val="NormalWeb"/>
              <w:spacing w:before="0" w:beforeAutospacing="0" w:after="0" w:afterAutospacing="0"/>
              <w:jc w:val="both"/>
              <w:rPr>
                <w:sz w:val="20"/>
                <w:szCs w:val="20"/>
              </w:rPr>
            </w:pPr>
            <w:r>
              <w:rPr>
                <w:sz w:val="20"/>
                <w:szCs w:val="20"/>
              </w:rPr>
              <w:t>(a)</w:t>
            </w:r>
          </w:p>
        </w:tc>
        <w:tc>
          <w:tcPr>
            <w:tcW w:w="0" w:type="auto"/>
            <w:hideMark/>
          </w:tcPr>
          <w:p w14:paraId="070A0BCC" w14:textId="77777777" w:rsidR="00000000" w:rsidRDefault="00EB4933">
            <w:pPr>
              <w:pStyle w:val="NormalWeb"/>
              <w:spacing w:before="0" w:beforeAutospacing="0" w:after="0" w:afterAutospacing="0"/>
              <w:jc w:val="both"/>
              <w:rPr>
                <w:sz w:val="20"/>
                <w:szCs w:val="20"/>
              </w:rPr>
            </w:pPr>
            <w:r>
              <w:rPr>
                <w:sz w:val="20"/>
                <w:szCs w:val="20"/>
              </w:rPr>
              <w:t xml:space="preserve">All significant deficiencies and material weaknesses in the design or operation of internal control over financial reporting which are reasonably likely to adversely affect the Company’s ability to record, process, summarize and </w:t>
            </w:r>
            <w:r>
              <w:rPr>
                <w:sz w:val="20"/>
                <w:szCs w:val="20"/>
              </w:rPr>
              <w:t>report financial information; and</w:t>
            </w:r>
          </w:p>
        </w:tc>
      </w:tr>
      <w:tr w:rsidR="00000000" w14:paraId="373961DD" w14:textId="77777777">
        <w:trPr>
          <w:divId w:val="1207181515"/>
          <w:trHeight w:val="225"/>
          <w:tblCellSpacing w:w="15" w:type="dxa"/>
        </w:trPr>
        <w:tc>
          <w:tcPr>
            <w:tcW w:w="0" w:type="auto"/>
            <w:vAlign w:val="center"/>
            <w:hideMark/>
          </w:tcPr>
          <w:p w14:paraId="0B7CE748"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51C164A9"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033F8762" w14:textId="77777777" w:rsidR="00000000" w:rsidRDefault="00EB4933">
            <w:pPr>
              <w:pStyle w:val="NormalWeb"/>
              <w:spacing w:before="0" w:beforeAutospacing="0" w:after="0" w:afterAutospacing="0"/>
              <w:rPr>
                <w:sz w:val="20"/>
                <w:szCs w:val="20"/>
              </w:rPr>
            </w:pPr>
            <w:r>
              <w:rPr>
                <w:sz w:val="20"/>
                <w:szCs w:val="20"/>
              </w:rPr>
              <w:t> </w:t>
            </w:r>
          </w:p>
        </w:tc>
      </w:tr>
      <w:tr w:rsidR="00000000" w14:paraId="04091451" w14:textId="77777777">
        <w:trPr>
          <w:divId w:val="1207181515"/>
          <w:trHeight w:val="225"/>
          <w:tblCellSpacing w:w="15" w:type="dxa"/>
        </w:trPr>
        <w:tc>
          <w:tcPr>
            <w:tcW w:w="0" w:type="auto"/>
            <w:vAlign w:val="center"/>
            <w:hideMark/>
          </w:tcPr>
          <w:p w14:paraId="2F6C3C05" w14:textId="77777777" w:rsidR="00000000" w:rsidRDefault="00EB4933">
            <w:pPr>
              <w:pStyle w:val="NormalWeb"/>
              <w:spacing w:before="0" w:beforeAutospacing="0" w:after="0" w:afterAutospacing="0"/>
              <w:jc w:val="both"/>
              <w:rPr>
                <w:sz w:val="20"/>
                <w:szCs w:val="20"/>
              </w:rPr>
            </w:pPr>
            <w:r>
              <w:rPr>
                <w:sz w:val="20"/>
                <w:szCs w:val="20"/>
              </w:rPr>
              <w:t> </w:t>
            </w:r>
          </w:p>
        </w:tc>
        <w:tc>
          <w:tcPr>
            <w:tcW w:w="0" w:type="auto"/>
            <w:hideMark/>
          </w:tcPr>
          <w:p w14:paraId="66476966" w14:textId="77777777" w:rsidR="00000000" w:rsidRDefault="00EB4933">
            <w:pPr>
              <w:pStyle w:val="NormalWeb"/>
              <w:spacing w:before="0" w:beforeAutospacing="0" w:after="0" w:afterAutospacing="0"/>
              <w:jc w:val="both"/>
              <w:rPr>
                <w:sz w:val="20"/>
                <w:szCs w:val="20"/>
              </w:rPr>
            </w:pPr>
            <w:r>
              <w:rPr>
                <w:sz w:val="20"/>
                <w:szCs w:val="20"/>
              </w:rPr>
              <w:t>(b)</w:t>
            </w:r>
          </w:p>
        </w:tc>
        <w:tc>
          <w:tcPr>
            <w:tcW w:w="0" w:type="auto"/>
            <w:hideMark/>
          </w:tcPr>
          <w:p w14:paraId="5CA3693C" w14:textId="77777777" w:rsidR="00000000" w:rsidRDefault="00EB4933">
            <w:pPr>
              <w:pStyle w:val="NormalWeb"/>
              <w:spacing w:before="0" w:beforeAutospacing="0" w:after="0" w:afterAutospacing="0"/>
              <w:jc w:val="both"/>
              <w:rPr>
                <w:sz w:val="20"/>
                <w:szCs w:val="20"/>
              </w:rPr>
            </w:pPr>
            <w:r>
              <w:rPr>
                <w:sz w:val="20"/>
                <w:szCs w:val="20"/>
              </w:rPr>
              <w:t>Any fraud, whether or not material, that involves management or other employees who have a significant role in the Company’s internal control over financial reporting.</w:t>
            </w:r>
          </w:p>
        </w:tc>
      </w:tr>
    </w:tbl>
    <w:p w14:paraId="6B5D2204" w14:textId="77777777" w:rsidR="00000000" w:rsidRDefault="00EB4933">
      <w:pPr>
        <w:pStyle w:val="NormalWeb"/>
        <w:spacing w:before="0" w:beforeAutospacing="0" w:after="0" w:afterAutospacing="0"/>
        <w:jc w:val="both"/>
        <w:divId w:val="1207181515"/>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4625"/>
        <w:gridCol w:w="564"/>
        <w:gridCol w:w="3229"/>
        <w:gridCol w:w="942"/>
      </w:tblGrid>
      <w:tr w:rsidR="00000000" w14:paraId="61D70F10" w14:textId="77777777">
        <w:trPr>
          <w:divId w:val="1207181515"/>
          <w:trHeight w:val="225"/>
          <w:tblCellSpacing w:w="15" w:type="dxa"/>
        </w:trPr>
        <w:tc>
          <w:tcPr>
            <w:tcW w:w="2500" w:type="pct"/>
            <w:vAlign w:val="center"/>
            <w:hideMark/>
          </w:tcPr>
          <w:p w14:paraId="6EEEF54D" w14:textId="77777777" w:rsidR="00000000" w:rsidRDefault="00EB4933">
            <w:pPr>
              <w:rPr>
                <w:rFonts w:eastAsia="Times New Roman"/>
                <w:sz w:val="20"/>
                <w:szCs w:val="20"/>
              </w:rPr>
            </w:pPr>
            <w:r>
              <w:rPr>
                <w:rFonts w:eastAsia="Times New Roman"/>
                <w:sz w:val="20"/>
                <w:szCs w:val="20"/>
              </w:rPr>
              <w:t> </w:t>
            </w:r>
          </w:p>
        </w:tc>
        <w:tc>
          <w:tcPr>
            <w:tcW w:w="250" w:type="pct"/>
            <w:vAlign w:val="center"/>
            <w:hideMark/>
          </w:tcPr>
          <w:p w14:paraId="604582EE" w14:textId="77777777" w:rsidR="00000000" w:rsidRDefault="00EB4933">
            <w:pPr>
              <w:rPr>
                <w:rFonts w:eastAsia="Times New Roman"/>
                <w:sz w:val="20"/>
                <w:szCs w:val="20"/>
              </w:rPr>
            </w:pPr>
            <w:r>
              <w:rPr>
                <w:rFonts w:eastAsia="Times New Roman"/>
                <w:sz w:val="20"/>
                <w:szCs w:val="20"/>
              </w:rPr>
              <w:t> </w:t>
            </w:r>
          </w:p>
        </w:tc>
        <w:tc>
          <w:tcPr>
            <w:tcW w:w="1750" w:type="pct"/>
            <w:vAlign w:val="center"/>
            <w:hideMark/>
          </w:tcPr>
          <w:p w14:paraId="65BCDD51" w14:textId="77777777" w:rsidR="00000000" w:rsidRDefault="00EB4933">
            <w:pPr>
              <w:rPr>
                <w:rFonts w:eastAsia="Times New Roman"/>
                <w:sz w:val="20"/>
                <w:szCs w:val="20"/>
              </w:rPr>
            </w:pPr>
            <w:r>
              <w:rPr>
                <w:rFonts w:eastAsia="Times New Roman"/>
                <w:sz w:val="20"/>
                <w:szCs w:val="20"/>
              </w:rPr>
              <w:t> </w:t>
            </w:r>
          </w:p>
        </w:tc>
        <w:tc>
          <w:tcPr>
            <w:tcW w:w="500" w:type="pct"/>
            <w:vAlign w:val="center"/>
            <w:hideMark/>
          </w:tcPr>
          <w:p w14:paraId="19836C1B" w14:textId="77777777" w:rsidR="00000000" w:rsidRDefault="00EB4933">
            <w:pPr>
              <w:rPr>
                <w:rFonts w:eastAsia="Times New Roman"/>
                <w:sz w:val="20"/>
                <w:szCs w:val="20"/>
              </w:rPr>
            </w:pPr>
            <w:r>
              <w:rPr>
                <w:rFonts w:eastAsia="Times New Roman"/>
                <w:sz w:val="20"/>
                <w:szCs w:val="20"/>
              </w:rPr>
              <w:t> </w:t>
            </w:r>
          </w:p>
        </w:tc>
      </w:tr>
      <w:tr w:rsidR="00000000" w14:paraId="4FFF4146" w14:textId="77777777">
        <w:trPr>
          <w:divId w:val="1207181515"/>
          <w:trHeight w:val="225"/>
          <w:tblCellSpacing w:w="15" w:type="dxa"/>
        </w:trPr>
        <w:tc>
          <w:tcPr>
            <w:tcW w:w="0" w:type="auto"/>
            <w:vAlign w:val="center"/>
            <w:hideMark/>
          </w:tcPr>
          <w:p w14:paraId="1269CF0D" w14:textId="77777777" w:rsidR="00000000" w:rsidRDefault="00EB4933">
            <w:pPr>
              <w:rPr>
                <w:rFonts w:eastAsia="Times New Roman"/>
                <w:sz w:val="20"/>
                <w:szCs w:val="20"/>
              </w:rPr>
            </w:pPr>
            <w:r>
              <w:rPr>
                <w:rFonts w:eastAsia="Times New Roman"/>
                <w:sz w:val="20"/>
                <w:szCs w:val="20"/>
              </w:rPr>
              <w:t>Date: November 9, 2020</w:t>
            </w:r>
          </w:p>
        </w:tc>
        <w:tc>
          <w:tcPr>
            <w:tcW w:w="0" w:type="auto"/>
            <w:vAlign w:val="center"/>
            <w:hideMark/>
          </w:tcPr>
          <w:p w14:paraId="0038F154" w14:textId="77777777" w:rsidR="00000000" w:rsidRDefault="00EB4933">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238EE18F" w14:textId="77777777" w:rsidR="00000000" w:rsidRDefault="00EB4933">
            <w:pPr>
              <w:rPr>
                <w:rFonts w:eastAsia="Times New Roman"/>
                <w:sz w:val="20"/>
                <w:szCs w:val="20"/>
              </w:rPr>
            </w:pPr>
            <w:r>
              <w:rPr>
                <w:rStyle w:val="Emphasis"/>
                <w:rFonts w:eastAsia="Times New Roman"/>
                <w:sz w:val="20"/>
                <w:szCs w:val="20"/>
              </w:rPr>
              <w:t>/s/ Chee Jiong Ng</w:t>
            </w:r>
          </w:p>
        </w:tc>
        <w:tc>
          <w:tcPr>
            <w:tcW w:w="0" w:type="auto"/>
            <w:vAlign w:val="center"/>
            <w:hideMark/>
          </w:tcPr>
          <w:p w14:paraId="3B6FEDB6" w14:textId="77777777" w:rsidR="00000000" w:rsidRDefault="00EB4933">
            <w:pPr>
              <w:rPr>
                <w:rFonts w:eastAsia="Times New Roman"/>
                <w:sz w:val="20"/>
                <w:szCs w:val="20"/>
              </w:rPr>
            </w:pPr>
          </w:p>
        </w:tc>
      </w:tr>
      <w:tr w:rsidR="00000000" w14:paraId="2A549E70" w14:textId="77777777">
        <w:trPr>
          <w:divId w:val="1207181515"/>
          <w:trHeight w:val="225"/>
          <w:tblCellSpacing w:w="15" w:type="dxa"/>
        </w:trPr>
        <w:tc>
          <w:tcPr>
            <w:tcW w:w="0" w:type="auto"/>
            <w:vAlign w:val="center"/>
            <w:hideMark/>
          </w:tcPr>
          <w:p w14:paraId="0E77F253"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2A98101A" w14:textId="77777777" w:rsidR="00000000" w:rsidRDefault="00EB4933">
            <w:pPr>
              <w:pStyle w:val="NormalWeb"/>
              <w:spacing w:before="0" w:beforeAutospacing="0" w:after="0" w:afterAutospacing="0"/>
              <w:rPr>
                <w:sz w:val="20"/>
                <w:szCs w:val="20"/>
              </w:rPr>
            </w:pPr>
            <w:r>
              <w:rPr>
                <w:sz w:val="20"/>
                <w:szCs w:val="20"/>
              </w:rPr>
              <w:t xml:space="preserve">Name: </w:t>
            </w:r>
          </w:p>
        </w:tc>
        <w:tc>
          <w:tcPr>
            <w:tcW w:w="0" w:type="auto"/>
            <w:vAlign w:val="center"/>
            <w:hideMark/>
          </w:tcPr>
          <w:p w14:paraId="26AE86E5" w14:textId="77777777" w:rsidR="00000000" w:rsidRDefault="00EB4933">
            <w:pPr>
              <w:rPr>
                <w:rFonts w:eastAsia="Times New Roman"/>
                <w:sz w:val="20"/>
                <w:szCs w:val="20"/>
              </w:rPr>
            </w:pPr>
            <w:r>
              <w:rPr>
                <w:rFonts w:eastAsia="Times New Roman"/>
                <w:sz w:val="20"/>
                <w:szCs w:val="20"/>
              </w:rPr>
              <w:t>Chee Jiong Ng</w:t>
            </w:r>
          </w:p>
        </w:tc>
        <w:tc>
          <w:tcPr>
            <w:tcW w:w="0" w:type="auto"/>
            <w:vAlign w:val="center"/>
            <w:hideMark/>
          </w:tcPr>
          <w:p w14:paraId="1079C3AE" w14:textId="77777777" w:rsidR="00000000" w:rsidRDefault="00EB4933">
            <w:pPr>
              <w:rPr>
                <w:rFonts w:eastAsia="Times New Roman"/>
                <w:sz w:val="20"/>
                <w:szCs w:val="20"/>
              </w:rPr>
            </w:pPr>
            <w:r>
              <w:rPr>
                <w:rFonts w:eastAsia="Times New Roman"/>
                <w:sz w:val="20"/>
                <w:szCs w:val="20"/>
              </w:rPr>
              <w:t> </w:t>
            </w:r>
          </w:p>
        </w:tc>
      </w:tr>
      <w:tr w:rsidR="00000000" w14:paraId="63238DBF" w14:textId="77777777">
        <w:trPr>
          <w:divId w:val="1207181515"/>
          <w:trHeight w:val="225"/>
          <w:tblCellSpacing w:w="15" w:type="dxa"/>
        </w:trPr>
        <w:tc>
          <w:tcPr>
            <w:tcW w:w="0" w:type="auto"/>
            <w:vAlign w:val="center"/>
            <w:hideMark/>
          </w:tcPr>
          <w:p w14:paraId="0B4EF952" w14:textId="77777777" w:rsidR="00000000" w:rsidRDefault="00EB4933">
            <w:pPr>
              <w:rPr>
                <w:rFonts w:eastAsia="Times New Roman"/>
                <w:sz w:val="20"/>
                <w:szCs w:val="20"/>
              </w:rPr>
            </w:pPr>
            <w:r>
              <w:rPr>
                <w:rFonts w:eastAsia="Times New Roman"/>
                <w:sz w:val="20"/>
                <w:szCs w:val="20"/>
              </w:rPr>
              <w:t> </w:t>
            </w:r>
          </w:p>
        </w:tc>
        <w:tc>
          <w:tcPr>
            <w:tcW w:w="0" w:type="auto"/>
            <w:vAlign w:val="center"/>
            <w:hideMark/>
          </w:tcPr>
          <w:p w14:paraId="6FBF6EF7" w14:textId="77777777" w:rsidR="00000000" w:rsidRDefault="00EB4933">
            <w:pPr>
              <w:rPr>
                <w:rFonts w:eastAsia="Times New Roman"/>
                <w:sz w:val="20"/>
                <w:szCs w:val="20"/>
              </w:rPr>
            </w:pPr>
            <w:r>
              <w:rPr>
                <w:rFonts w:eastAsia="Times New Roman"/>
                <w:sz w:val="20"/>
                <w:szCs w:val="20"/>
              </w:rPr>
              <w:t xml:space="preserve">Title: </w:t>
            </w:r>
          </w:p>
        </w:tc>
        <w:tc>
          <w:tcPr>
            <w:tcW w:w="0" w:type="auto"/>
            <w:vAlign w:val="center"/>
            <w:hideMark/>
          </w:tcPr>
          <w:p w14:paraId="1E10F211" w14:textId="77777777" w:rsidR="00000000" w:rsidRDefault="00EB4933">
            <w:pPr>
              <w:rPr>
                <w:rFonts w:eastAsia="Times New Roman"/>
                <w:sz w:val="20"/>
                <w:szCs w:val="20"/>
              </w:rPr>
            </w:pPr>
            <w:r>
              <w:rPr>
                <w:rFonts w:eastAsia="Times New Roman"/>
                <w:sz w:val="20"/>
                <w:szCs w:val="20"/>
              </w:rPr>
              <w:t>Chief Financial Officer</w:t>
            </w:r>
          </w:p>
        </w:tc>
        <w:tc>
          <w:tcPr>
            <w:tcW w:w="0" w:type="auto"/>
            <w:vAlign w:val="center"/>
            <w:hideMark/>
          </w:tcPr>
          <w:p w14:paraId="0B23453B" w14:textId="77777777" w:rsidR="00000000" w:rsidRDefault="00EB4933">
            <w:pPr>
              <w:rPr>
                <w:rFonts w:eastAsia="Times New Roman"/>
                <w:sz w:val="20"/>
                <w:szCs w:val="20"/>
              </w:rPr>
            </w:pPr>
            <w:r>
              <w:rPr>
                <w:rFonts w:eastAsia="Times New Roman"/>
                <w:sz w:val="20"/>
                <w:szCs w:val="20"/>
              </w:rPr>
              <w:t> </w:t>
            </w:r>
          </w:p>
        </w:tc>
      </w:tr>
    </w:tbl>
    <w:p w14:paraId="6601C3C2" w14:textId="77777777" w:rsidR="00000000" w:rsidRDefault="00EB4933">
      <w:pPr>
        <w:pStyle w:val="NormalWeb"/>
        <w:spacing w:before="0" w:beforeAutospacing="0" w:after="0" w:afterAutospacing="0"/>
        <w:jc w:val="both"/>
        <w:divId w:val="1207181515"/>
        <w:rPr>
          <w:sz w:val="20"/>
          <w:szCs w:val="20"/>
        </w:rPr>
      </w:pPr>
      <w:r>
        <w:rPr>
          <w:sz w:val="20"/>
          <w:szCs w:val="20"/>
        </w:rPr>
        <w:t> </w:t>
      </w:r>
    </w:p>
    <w:p w14:paraId="6CBFCE7A" w14:textId="77777777" w:rsidR="00000000" w:rsidRDefault="00EB4933">
      <w:pPr>
        <w:jc w:val="both"/>
        <w:divId w:val="443691383"/>
        <w:rPr>
          <w:rFonts w:eastAsia="Times New Roman"/>
          <w:sz w:val="20"/>
          <w:szCs w:val="20"/>
        </w:rPr>
      </w:pPr>
      <w:r>
        <w:rPr>
          <w:rFonts w:eastAsia="Times New Roman"/>
          <w:sz w:val="20"/>
          <w:szCs w:val="20"/>
        </w:rPr>
        <w:t> </w:t>
      </w:r>
    </w:p>
    <w:p w14:paraId="156118D5" w14:textId="77777777" w:rsidR="00000000" w:rsidRDefault="00EB4933">
      <w:pPr>
        <w:jc w:val="both"/>
        <w:rPr>
          <w:rFonts w:eastAsia="Times New Roman"/>
          <w:sz w:val="20"/>
          <w:szCs w:val="20"/>
        </w:rPr>
      </w:pPr>
    </w:p>
    <w:p w14:paraId="49025641" w14:textId="77777777" w:rsidR="00000000" w:rsidRDefault="00EB4933">
      <w:pPr>
        <w:pStyle w:val="NormalWeb"/>
        <w:spacing w:before="0" w:beforeAutospacing="0" w:after="0" w:afterAutospacing="0"/>
        <w:jc w:val="both"/>
        <w:divId w:val="651178903"/>
        <w:rPr>
          <w:sz w:val="20"/>
          <w:szCs w:val="20"/>
        </w:rPr>
      </w:pPr>
      <w:r>
        <w:rPr>
          <w:sz w:val="20"/>
          <w:szCs w:val="20"/>
        </w:rPr>
        <w:t xml:space="preserve">  </w:t>
      </w:r>
    </w:p>
    <w:p w14:paraId="79B3E243" w14:textId="77777777" w:rsidR="00000000" w:rsidRDefault="00EB4933">
      <w:pPr>
        <w:pStyle w:val="NormalWeb"/>
        <w:spacing w:before="0" w:beforeAutospacing="0" w:after="0" w:afterAutospacing="0"/>
        <w:jc w:val="right"/>
        <w:divId w:val="651178903"/>
        <w:rPr>
          <w:sz w:val="20"/>
          <w:szCs w:val="20"/>
        </w:rPr>
      </w:pPr>
      <w:r>
        <w:rPr>
          <w:rStyle w:val="Strong"/>
          <w:sz w:val="20"/>
          <w:szCs w:val="20"/>
        </w:rPr>
        <w:t>EXHIBIT 13.1</w:t>
      </w:r>
    </w:p>
    <w:p w14:paraId="04FC1EB4" w14:textId="77777777" w:rsidR="00000000" w:rsidRDefault="00EB4933">
      <w:pPr>
        <w:pStyle w:val="NormalWeb"/>
        <w:spacing w:before="0" w:beforeAutospacing="0" w:after="0" w:afterAutospacing="0"/>
        <w:jc w:val="center"/>
        <w:divId w:val="651178903"/>
        <w:rPr>
          <w:sz w:val="20"/>
          <w:szCs w:val="20"/>
        </w:rPr>
      </w:pPr>
      <w:r>
        <w:rPr>
          <w:rStyle w:val="Strong"/>
          <w:sz w:val="20"/>
          <w:szCs w:val="20"/>
        </w:rPr>
        <w:t> </w:t>
      </w:r>
    </w:p>
    <w:p w14:paraId="57328454" w14:textId="77777777" w:rsidR="00000000" w:rsidRDefault="00EB4933">
      <w:pPr>
        <w:pStyle w:val="NormalWeb"/>
        <w:spacing w:before="0" w:beforeAutospacing="0" w:after="0" w:afterAutospacing="0"/>
        <w:jc w:val="center"/>
        <w:divId w:val="651178903"/>
        <w:rPr>
          <w:sz w:val="20"/>
          <w:szCs w:val="20"/>
        </w:rPr>
      </w:pPr>
      <w:r>
        <w:rPr>
          <w:rStyle w:val="Strong"/>
          <w:sz w:val="20"/>
          <w:szCs w:val="20"/>
        </w:rPr>
        <w:t>CERTIFICATION</w:t>
      </w:r>
    </w:p>
    <w:p w14:paraId="480B7969" w14:textId="77777777" w:rsidR="00000000" w:rsidRDefault="00EB4933">
      <w:pPr>
        <w:pStyle w:val="NormalWeb"/>
        <w:spacing w:before="0" w:beforeAutospacing="0" w:after="0" w:afterAutospacing="0"/>
        <w:jc w:val="both"/>
        <w:divId w:val="651178903"/>
        <w:rPr>
          <w:sz w:val="20"/>
          <w:szCs w:val="20"/>
        </w:rPr>
      </w:pPr>
      <w:r>
        <w:rPr>
          <w:sz w:val="20"/>
          <w:szCs w:val="20"/>
        </w:rPr>
        <w:t> </w:t>
      </w:r>
    </w:p>
    <w:p w14:paraId="7B3D8463" w14:textId="77777777" w:rsidR="00000000" w:rsidRDefault="00EB4933">
      <w:pPr>
        <w:pStyle w:val="NormalWeb"/>
        <w:spacing w:before="0" w:beforeAutospacing="0" w:after="0" w:afterAutospacing="0"/>
        <w:ind w:firstLine="720"/>
        <w:jc w:val="both"/>
        <w:divId w:val="651178903"/>
        <w:rPr>
          <w:sz w:val="20"/>
          <w:szCs w:val="20"/>
        </w:rPr>
      </w:pPr>
      <w:r>
        <w:rPr>
          <w:sz w:val="20"/>
          <w:szCs w:val="20"/>
        </w:rPr>
        <w:t>In connection with the annual report of Dunxin Financial Holdings Limited (the “Company”) on Form 20-F for the year ended December </w:t>
      </w:r>
      <w:r>
        <w:rPr>
          <w:sz w:val="20"/>
          <w:szCs w:val="20"/>
        </w:rPr>
        <w:t>31, 2019 as filed with the Securities and Exchange Commission on the date hereof (the “Report”), the undersigned officer of the Company does hereby certify, pursuant to 18 U.S.C. Section 1350, as adopted pursuant to Section 906 of the Sarbanes-Oxley Act of</w:t>
      </w:r>
      <w:r>
        <w:rPr>
          <w:sz w:val="20"/>
          <w:szCs w:val="20"/>
        </w:rPr>
        <w:t xml:space="preserve"> 2002, that to such officer’s knowledge:</w:t>
      </w:r>
    </w:p>
    <w:p w14:paraId="020CC29A" w14:textId="77777777" w:rsidR="00000000" w:rsidRDefault="00EB4933">
      <w:pPr>
        <w:pStyle w:val="NormalWeb"/>
        <w:spacing w:before="0" w:beforeAutospacing="0" w:after="0" w:afterAutospacing="0"/>
        <w:jc w:val="both"/>
        <w:divId w:val="651178903"/>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4192C93D" w14:textId="77777777">
        <w:trPr>
          <w:divId w:val="651178903"/>
          <w:trHeight w:val="225"/>
          <w:tblCellSpacing w:w="15" w:type="dxa"/>
        </w:trPr>
        <w:tc>
          <w:tcPr>
            <w:tcW w:w="200" w:type="pct"/>
            <w:vAlign w:val="center"/>
            <w:hideMark/>
          </w:tcPr>
          <w:p w14:paraId="3E925281"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0E74006D" w14:textId="77777777" w:rsidR="00000000" w:rsidRDefault="00EB4933">
            <w:pPr>
              <w:pStyle w:val="NormalWeb"/>
              <w:spacing w:before="0" w:beforeAutospacing="0" w:after="0" w:afterAutospacing="0"/>
              <w:rPr>
                <w:sz w:val="20"/>
                <w:szCs w:val="20"/>
              </w:rPr>
            </w:pPr>
            <w:r>
              <w:rPr>
                <w:sz w:val="20"/>
                <w:szCs w:val="20"/>
              </w:rPr>
              <w:t>(1)</w:t>
            </w:r>
          </w:p>
        </w:tc>
        <w:tc>
          <w:tcPr>
            <w:tcW w:w="4600" w:type="pct"/>
            <w:hideMark/>
          </w:tcPr>
          <w:p w14:paraId="13410CBF" w14:textId="77777777" w:rsidR="00000000" w:rsidRDefault="00EB4933">
            <w:pPr>
              <w:pStyle w:val="NormalWeb"/>
              <w:spacing w:before="0" w:beforeAutospacing="0" w:after="0" w:afterAutospacing="0"/>
              <w:rPr>
                <w:sz w:val="20"/>
                <w:szCs w:val="20"/>
              </w:rPr>
            </w:pPr>
            <w:r>
              <w:rPr>
                <w:sz w:val="20"/>
                <w:szCs w:val="20"/>
              </w:rPr>
              <w:t>the Report fully complies with the requirements of Section 13(a) or 15(d), as applicable, of the Securities Exchange Act of 1934; and</w:t>
            </w:r>
          </w:p>
        </w:tc>
      </w:tr>
      <w:tr w:rsidR="00000000" w14:paraId="4CB81E02" w14:textId="77777777">
        <w:trPr>
          <w:divId w:val="651178903"/>
          <w:trHeight w:val="225"/>
          <w:tblCellSpacing w:w="15" w:type="dxa"/>
        </w:trPr>
        <w:tc>
          <w:tcPr>
            <w:tcW w:w="0" w:type="auto"/>
            <w:vAlign w:val="center"/>
            <w:hideMark/>
          </w:tcPr>
          <w:p w14:paraId="373EF86F"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05CD9AE9"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3BBC954A" w14:textId="77777777" w:rsidR="00000000" w:rsidRDefault="00EB4933">
            <w:pPr>
              <w:pStyle w:val="NormalWeb"/>
              <w:spacing w:before="0" w:beforeAutospacing="0" w:after="0" w:afterAutospacing="0"/>
              <w:rPr>
                <w:sz w:val="20"/>
                <w:szCs w:val="20"/>
              </w:rPr>
            </w:pPr>
            <w:r>
              <w:rPr>
                <w:sz w:val="20"/>
                <w:szCs w:val="20"/>
              </w:rPr>
              <w:t> </w:t>
            </w:r>
          </w:p>
        </w:tc>
      </w:tr>
      <w:tr w:rsidR="00000000" w14:paraId="7C662E3F" w14:textId="77777777">
        <w:trPr>
          <w:divId w:val="651178903"/>
          <w:trHeight w:val="225"/>
          <w:tblCellSpacing w:w="15" w:type="dxa"/>
        </w:trPr>
        <w:tc>
          <w:tcPr>
            <w:tcW w:w="0" w:type="auto"/>
            <w:vAlign w:val="center"/>
            <w:hideMark/>
          </w:tcPr>
          <w:p w14:paraId="4E6422AB"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7292E232" w14:textId="77777777" w:rsidR="00000000" w:rsidRDefault="00EB4933">
            <w:pPr>
              <w:pStyle w:val="NormalWeb"/>
              <w:spacing w:before="0" w:beforeAutospacing="0" w:after="0" w:afterAutospacing="0"/>
              <w:rPr>
                <w:sz w:val="20"/>
                <w:szCs w:val="20"/>
              </w:rPr>
            </w:pPr>
            <w:r>
              <w:rPr>
                <w:sz w:val="20"/>
                <w:szCs w:val="20"/>
              </w:rPr>
              <w:t>(2)</w:t>
            </w:r>
          </w:p>
        </w:tc>
        <w:tc>
          <w:tcPr>
            <w:tcW w:w="0" w:type="auto"/>
            <w:hideMark/>
          </w:tcPr>
          <w:p w14:paraId="07FC7D79" w14:textId="77777777" w:rsidR="00000000" w:rsidRDefault="00EB4933">
            <w:pPr>
              <w:pStyle w:val="NormalWeb"/>
              <w:spacing w:before="0" w:beforeAutospacing="0" w:after="0" w:afterAutospacing="0"/>
              <w:rPr>
                <w:sz w:val="20"/>
                <w:szCs w:val="20"/>
              </w:rPr>
            </w:pPr>
            <w:r>
              <w:rPr>
                <w:sz w:val="20"/>
                <w:szCs w:val="20"/>
              </w:rPr>
              <w:t>the information contained in the Report fairly presents, in all material respects, the financial condition and results of operations of the Company.</w:t>
            </w:r>
          </w:p>
        </w:tc>
      </w:tr>
    </w:tbl>
    <w:p w14:paraId="770915ED" w14:textId="77777777" w:rsidR="00000000" w:rsidRDefault="00EB4933">
      <w:pPr>
        <w:pStyle w:val="NormalWeb"/>
        <w:spacing w:before="0" w:beforeAutospacing="0" w:after="0" w:afterAutospacing="0"/>
        <w:jc w:val="both"/>
        <w:divId w:val="651178903"/>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625"/>
        <w:gridCol w:w="564"/>
        <w:gridCol w:w="3229"/>
        <w:gridCol w:w="942"/>
      </w:tblGrid>
      <w:tr w:rsidR="00000000" w14:paraId="7F402EA9" w14:textId="77777777">
        <w:trPr>
          <w:divId w:val="651178903"/>
          <w:trHeight w:val="225"/>
          <w:tblCellSpacing w:w="15" w:type="dxa"/>
        </w:trPr>
        <w:tc>
          <w:tcPr>
            <w:tcW w:w="2500" w:type="pct"/>
            <w:vAlign w:val="center"/>
            <w:hideMark/>
          </w:tcPr>
          <w:p w14:paraId="329B2CCB" w14:textId="77777777" w:rsidR="00000000" w:rsidRDefault="00EB4933">
            <w:pPr>
              <w:rPr>
                <w:rFonts w:eastAsia="Times New Roman"/>
                <w:sz w:val="20"/>
                <w:szCs w:val="20"/>
              </w:rPr>
            </w:pPr>
            <w:r>
              <w:rPr>
                <w:rFonts w:eastAsia="Times New Roman"/>
                <w:sz w:val="20"/>
                <w:szCs w:val="20"/>
              </w:rPr>
              <w:t> </w:t>
            </w:r>
          </w:p>
        </w:tc>
        <w:tc>
          <w:tcPr>
            <w:tcW w:w="250" w:type="pct"/>
            <w:vAlign w:val="center"/>
            <w:hideMark/>
          </w:tcPr>
          <w:p w14:paraId="06123FCA" w14:textId="77777777" w:rsidR="00000000" w:rsidRDefault="00EB4933">
            <w:pPr>
              <w:rPr>
                <w:rFonts w:eastAsia="Times New Roman"/>
                <w:sz w:val="20"/>
                <w:szCs w:val="20"/>
              </w:rPr>
            </w:pPr>
            <w:r>
              <w:rPr>
                <w:rFonts w:eastAsia="Times New Roman"/>
                <w:sz w:val="20"/>
                <w:szCs w:val="20"/>
              </w:rPr>
              <w:t> </w:t>
            </w:r>
          </w:p>
        </w:tc>
        <w:tc>
          <w:tcPr>
            <w:tcW w:w="1750" w:type="pct"/>
            <w:vAlign w:val="center"/>
            <w:hideMark/>
          </w:tcPr>
          <w:p w14:paraId="0525EC46" w14:textId="77777777" w:rsidR="00000000" w:rsidRDefault="00EB4933">
            <w:pPr>
              <w:rPr>
                <w:rFonts w:eastAsia="Times New Roman"/>
                <w:sz w:val="20"/>
                <w:szCs w:val="20"/>
              </w:rPr>
            </w:pPr>
            <w:r>
              <w:rPr>
                <w:rFonts w:eastAsia="Times New Roman"/>
                <w:sz w:val="20"/>
                <w:szCs w:val="20"/>
              </w:rPr>
              <w:t> </w:t>
            </w:r>
          </w:p>
        </w:tc>
        <w:tc>
          <w:tcPr>
            <w:tcW w:w="500" w:type="pct"/>
            <w:vAlign w:val="center"/>
            <w:hideMark/>
          </w:tcPr>
          <w:p w14:paraId="1AE5DC46" w14:textId="77777777" w:rsidR="00000000" w:rsidRDefault="00EB4933">
            <w:pPr>
              <w:rPr>
                <w:rFonts w:eastAsia="Times New Roman"/>
                <w:sz w:val="20"/>
                <w:szCs w:val="20"/>
              </w:rPr>
            </w:pPr>
            <w:r>
              <w:rPr>
                <w:rFonts w:eastAsia="Times New Roman"/>
                <w:sz w:val="20"/>
                <w:szCs w:val="20"/>
              </w:rPr>
              <w:t> </w:t>
            </w:r>
          </w:p>
        </w:tc>
      </w:tr>
      <w:tr w:rsidR="00000000" w14:paraId="589958D0" w14:textId="77777777">
        <w:trPr>
          <w:divId w:val="651178903"/>
          <w:trHeight w:val="225"/>
          <w:tblCellSpacing w:w="15" w:type="dxa"/>
        </w:trPr>
        <w:tc>
          <w:tcPr>
            <w:tcW w:w="0" w:type="auto"/>
            <w:vAlign w:val="center"/>
            <w:hideMark/>
          </w:tcPr>
          <w:p w14:paraId="5C4B034D" w14:textId="77777777" w:rsidR="00000000" w:rsidRDefault="00EB4933">
            <w:pPr>
              <w:rPr>
                <w:rFonts w:eastAsia="Times New Roman"/>
                <w:sz w:val="20"/>
                <w:szCs w:val="20"/>
              </w:rPr>
            </w:pPr>
            <w:r>
              <w:rPr>
                <w:rFonts w:eastAsia="Times New Roman"/>
                <w:sz w:val="20"/>
                <w:szCs w:val="20"/>
              </w:rPr>
              <w:lastRenderedPageBreak/>
              <w:t>Date: November 9, 2020</w:t>
            </w:r>
          </w:p>
        </w:tc>
        <w:tc>
          <w:tcPr>
            <w:tcW w:w="0" w:type="auto"/>
            <w:vAlign w:val="center"/>
            <w:hideMark/>
          </w:tcPr>
          <w:p w14:paraId="44CA8F31" w14:textId="77777777" w:rsidR="00000000" w:rsidRDefault="00EB4933">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29E42C0F" w14:textId="77777777" w:rsidR="00000000" w:rsidRDefault="00EB4933">
            <w:pPr>
              <w:rPr>
                <w:rFonts w:eastAsia="Times New Roman"/>
                <w:sz w:val="20"/>
                <w:szCs w:val="20"/>
              </w:rPr>
            </w:pPr>
            <w:r>
              <w:rPr>
                <w:rStyle w:val="Emphasis"/>
                <w:rFonts w:eastAsia="Times New Roman"/>
                <w:sz w:val="20"/>
                <w:szCs w:val="20"/>
              </w:rPr>
              <w:t>/s/ Ricky Qizhi Wei</w:t>
            </w:r>
          </w:p>
        </w:tc>
        <w:tc>
          <w:tcPr>
            <w:tcW w:w="0" w:type="auto"/>
            <w:vAlign w:val="center"/>
            <w:hideMark/>
          </w:tcPr>
          <w:p w14:paraId="317B0C73" w14:textId="77777777" w:rsidR="00000000" w:rsidRDefault="00EB4933">
            <w:pPr>
              <w:rPr>
                <w:rFonts w:eastAsia="Times New Roman"/>
                <w:sz w:val="20"/>
                <w:szCs w:val="20"/>
              </w:rPr>
            </w:pPr>
          </w:p>
        </w:tc>
      </w:tr>
      <w:tr w:rsidR="00000000" w14:paraId="4E088A1E" w14:textId="77777777">
        <w:trPr>
          <w:divId w:val="651178903"/>
          <w:trHeight w:val="225"/>
          <w:tblCellSpacing w:w="15" w:type="dxa"/>
        </w:trPr>
        <w:tc>
          <w:tcPr>
            <w:tcW w:w="0" w:type="auto"/>
            <w:vAlign w:val="center"/>
            <w:hideMark/>
          </w:tcPr>
          <w:p w14:paraId="0DF116E1"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75077E1E" w14:textId="77777777" w:rsidR="00000000" w:rsidRDefault="00EB4933">
            <w:pPr>
              <w:pStyle w:val="NormalWeb"/>
              <w:spacing w:before="0" w:beforeAutospacing="0" w:after="0" w:afterAutospacing="0"/>
              <w:rPr>
                <w:sz w:val="20"/>
                <w:szCs w:val="20"/>
              </w:rPr>
            </w:pPr>
            <w:r>
              <w:rPr>
                <w:sz w:val="20"/>
                <w:szCs w:val="20"/>
              </w:rPr>
              <w:t xml:space="preserve">Name: </w:t>
            </w:r>
          </w:p>
        </w:tc>
        <w:tc>
          <w:tcPr>
            <w:tcW w:w="0" w:type="auto"/>
            <w:vAlign w:val="center"/>
            <w:hideMark/>
          </w:tcPr>
          <w:p w14:paraId="3B7E3092" w14:textId="77777777" w:rsidR="00000000" w:rsidRDefault="00EB4933">
            <w:pPr>
              <w:pStyle w:val="NormalWeb"/>
              <w:spacing w:before="0" w:beforeAutospacing="0" w:after="0" w:afterAutospacing="0"/>
              <w:rPr>
                <w:sz w:val="20"/>
                <w:szCs w:val="20"/>
              </w:rPr>
            </w:pPr>
            <w:r>
              <w:rPr>
                <w:sz w:val="20"/>
                <w:szCs w:val="20"/>
              </w:rPr>
              <w:t>Ricky Qizhi Wei</w:t>
            </w:r>
          </w:p>
        </w:tc>
        <w:tc>
          <w:tcPr>
            <w:tcW w:w="0" w:type="auto"/>
            <w:vAlign w:val="center"/>
            <w:hideMark/>
          </w:tcPr>
          <w:p w14:paraId="731A2BA0" w14:textId="77777777" w:rsidR="00000000" w:rsidRDefault="00EB4933">
            <w:pPr>
              <w:rPr>
                <w:rFonts w:eastAsia="Times New Roman"/>
                <w:sz w:val="20"/>
                <w:szCs w:val="20"/>
              </w:rPr>
            </w:pPr>
            <w:r>
              <w:rPr>
                <w:rFonts w:eastAsia="Times New Roman"/>
                <w:sz w:val="20"/>
                <w:szCs w:val="20"/>
              </w:rPr>
              <w:t> </w:t>
            </w:r>
          </w:p>
        </w:tc>
      </w:tr>
      <w:tr w:rsidR="00000000" w14:paraId="0DEC89C4" w14:textId="77777777">
        <w:trPr>
          <w:divId w:val="651178903"/>
          <w:trHeight w:val="225"/>
          <w:tblCellSpacing w:w="15" w:type="dxa"/>
        </w:trPr>
        <w:tc>
          <w:tcPr>
            <w:tcW w:w="0" w:type="auto"/>
            <w:vAlign w:val="center"/>
            <w:hideMark/>
          </w:tcPr>
          <w:p w14:paraId="38A77771" w14:textId="77777777" w:rsidR="00000000" w:rsidRDefault="00EB4933">
            <w:pPr>
              <w:rPr>
                <w:rFonts w:eastAsia="Times New Roman"/>
                <w:sz w:val="20"/>
                <w:szCs w:val="20"/>
              </w:rPr>
            </w:pPr>
            <w:r>
              <w:rPr>
                <w:rFonts w:eastAsia="Times New Roman"/>
                <w:sz w:val="20"/>
                <w:szCs w:val="20"/>
              </w:rPr>
              <w:t> </w:t>
            </w:r>
          </w:p>
        </w:tc>
        <w:tc>
          <w:tcPr>
            <w:tcW w:w="0" w:type="auto"/>
            <w:vAlign w:val="center"/>
            <w:hideMark/>
          </w:tcPr>
          <w:p w14:paraId="0B9DFC07" w14:textId="77777777" w:rsidR="00000000" w:rsidRDefault="00EB4933">
            <w:pPr>
              <w:rPr>
                <w:rFonts w:eastAsia="Times New Roman"/>
                <w:sz w:val="20"/>
                <w:szCs w:val="20"/>
              </w:rPr>
            </w:pPr>
            <w:r>
              <w:rPr>
                <w:rFonts w:eastAsia="Times New Roman"/>
                <w:sz w:val="20"/>
                <w:szCs w:val="20"/>
              </w:rPr>
              <w:t xml:space="preserve">Title: </w:t>
            </w:r>
          </w:p>
        </w:tc>
        <w:tc>
          <w:tcPr>
            <w:tcW w:w="0" w:type="auto"/>
            <w:vAlign w:val="center"/>
            <w:hideMark/>
          </w:tcPr>
          <w:p w14:paraId="46DA4114" w14:textId="77777777" w:rsidR="00000000" w:rsidRDefault="00EB4933">
            <w:pPr>
              <w:pStyle w:val="NormalWeb"/>
              <w:spacing w:before="0" w:beforeAutospacing="0" w:after="0" w:afterAutospacing="0"/>
              <w:rPr>
                <w:sz w:val="20"/>
                <w:szCs w:val="20"/>
              </w:rPr>
            </w:pPr>
            <w:r>
              <w:rPr>
                <w:sz w:val="20"/>
                <w:szCs w:val="20"/>
              </w:rPr>
              <w:t>Chief Executive Officer</w:t>
            </w:r>
          </w:p>
        </w:tc>
        <w:tc>
          <w:tcPr>
            <w:tcW w:w="0" w:type="auto"/>
            <w:vAlign w:val="center"/>
            <w:hideMark/>
          </w:tcPr>
          <w:p w14:paraId="3DFF805F" w14:textId="77777777" w:rsidR="00000000" w:rsidRDefault="00EB4933">
            <w:pPr>
              <w:rPr>
                <w:rFonts w:eastAsia="Times New Roman"/>
                <w:sz w:val="20"/>
                <w:szCs w:val="20"/>
              </w:rPr>
            </w:pPr>
            <w:r>
              <w:rPr>
                <w:rFonts w:eastAsia="Times New Roman"/>
                <w:sz w:val="20"/>
                <w:szCs w:val="20"/>
              </w:rPr>
              <w:t> </w:t>
            </w:r>
          </w:p>
        </w:tc>
      </w:tr>
    </w:tbl>
    <w:p w14:paraId="466DE218" w14:textId="77777777" w:rsidR="00000000" w:rsidRDefault="00EB4933">
      <w:pPr>
        <w:pStyle w:val="NormalWeb"/>
        <w:spacing w:before="0" w:beforeAutospacing="0" w:after="0" w:afterAutospacing="0"/>
        <w:jc w:val="both"/>
        <w:divId w:val="651178903"/>
        <w:rPr>
          <w:sz w:val="20"/>
          <w:szCs w:val="20"/>
        </w:rPr>
      </w:pPr>
      <w:r>
        <w:rPr>
          <w:sz w:val="20"/>
          <w:szCs w:val="20"/>
        </w:rPr>
        <w:t>  </w:t>
      </w:r>
    </w:p>
    <w:p w14:paraId="00878DE9" w14:textId="77777777" w:rsidR="00000000" w:rsidRDefault="00EB4933">
      <w:pPr>
        <w:pStyle w:val="NormalWeb"/>
        <w:spacing w:before="0" w:beforeAutospacing="0" w:after="0" w:afterAutospacing="0"/>
        <w:jc w:val="both"/>
        <w:divId w:val="651178903"/>
        <w:rPr>
          <w:sz w:val="20"/>
          <w:szCs w:val="20"/>
        </w:rPr>
      </w:pPr>
      <w:r>
        <w:rPr>
          <w:sz w:val="20"/>
          <w:szCs w:val="20"/>
        </w:rPr>
        <w:t>The foregoing certification is being furnished solely pursuant to 18 U.S.C. Section </w:t>
      </w:r>
      <w:r>
        <w:rPr>
          <w:sz w:val="20"/>
          <w:szCs w:val="20"/>
        </w:rPr>
        <w:t xml:space="preserve">1350 and is not being filed as part of the Report or as a separate disclosure document. </w:t>
      </w:r>
    </w:p>
    <w:p w14:paraId="6B5BD94A" w14:textId="77777777" w:rsidR="00000000" w:rsidRDefault="00EB4933">
      <w:pPr>
        <w:pStyle w:val="NormalWeb"/>
        <w:spacing w:before="0" w:beforeAutospacing="0" w:after="0" w:afterAutospacing="0"/>
        <w:jc w:val="both"/>
        <w:divId w:val="651178903"/>
        <w:rPr>
          <w:sz w:val="20"/>
          <w:szCs w:val="20"/>
        </w:rPr>
      </w:pPr>
      <w:r>
        <w:rPr>
          <w:sz w:val="20"/>
          <w:szCs w:val="20"/>
        </w:rPr>
        <w:t> </w:t>
      </w:r>
    </w:p>
    <w:p w14:paraId="3DABEE2F" w14:textId="77777777" w:rsidR="00000000" w:rsidRDefault="00EB4933">
      <w:pPr>
        <w:jc w:val="both"/>
        <w:divId w:val="944389291"/>
        <w:rPr>
          <w:rFonts w:eastAsia="Times New Roman"/>
          <w:sz w:val="20"/>
          <w:szCs w:val="20"/>
        </w:rPr>
      </w:pPr>
      <w:r>
        <w:rPr>
          <w:rFonts w:eastAsia="Times New Roman"/>
          <w:sz w:val="20"/>
          <w:szCs w:val="20"/>
        </w:rPr>
        <w:t> </w:t>
      </w:r>
    </w:p>
    <w:p w14:paraId="07DD61A9" w14:textId="77777777" w:rsidR="00000000" w:rsidRDefault="00EB4933">
      <w:pPr>
        <w:jc w:val="both"/>
        <w:rPr>
          <w:rFonts w:eastAsia="Times New Roman"/>
          <w:sz w:val="20"/>
          <w:szCs w:val="20"/>
        </w:rPr>
      </w:pPr>
    </w:p>
    <w:p w14:paraId="52F8490A" w14:textId="77777777" w:rsidR="00000000" w:rsidRDefault="00EB4933">
      <w:pPr>
        <w:pStyle w:val="NormalWeb"/>
        <w:spacing w:before="0" w:beforeAutospacing="0" w:after="0" w:afterAutospacing="0"/>
        <w:jc w:val="both"/>
        <w:divId w:val="205725217"/>
        <w:rPr>
          <w:sz w:val="20"/>
          <w:szCs w:val="20"/>
        </w:rPr>
      </w:pPr>
      <w:r>
        <w:rPr>
          <w:sz w:val="20"/>
          <w:szCs w:val="20"/>
        </w:rPr>
        <w:t xml:space="preserve">  </w:t>
      </w:r>
    </w:p>
    <w:p w14:paraId="1A16EAC3" w14:textId="77777777" w:rsidR="00000000" w:rsidRDefault="00EB4933">
      <w:pPr>
        <w:pStyle w:val="NormalWeb"/>
        <w:spacing w:before="0" w:beforeAutospacing="0" w:after="0" w:afterAutospacing="0"/>
        <w:jc w:val="right"/>
        <w:divId w:val="205725217"/>
        <w:rPr>
          <w:sz w:val="20"/>
          <w:szCs w:val="20"/>
        </w:rPr>
      </w:pPr>
      <w:r>
        <w:rPr>
          <w:rStyle w:val="Strong"/>
          <w:sz w:val="20"/>
          <w:szCs w:val="20"/>
        </w:rPr>
        <w:t>EXHIBIT 13.2</w:t>
      </w:r>
    </w:p>
    <w:p w14:paraId="7C39046B" w14:textId="77777777" w:rsidR="00000000" w:rsidRDefault="00EB4933">
      <w:pPr>
        <w:pStyle w:val="NormalWeb"/>
        <w:spacing w:before="0" w:beforeAutospacing="0" w:after="0" w:afterAutospacing="0"/>
        <w:jc w:val="right"/>
        <w:divId w:val="205725217"/>
        <w:rPr>
          <w:sz w:val="20"/>
          <w:szCs w:val="20"/>
        </w:rPr>
      </w:pPr>
      <w:r>
        <w:rPr>
          <w:sz w:val="20"/>
          <w:szCs w:val="20"/>
        </w:rPr>
        <w:t> </w:t>
      </w:r>
    </w:p>
    <w:p w14:paraId="326B64F3" w14:textId="77777777" w:rsidR="00000000" w:rsidRDefault="00EB4933">
      <w:pPr>
        <w:pStyle w:val="NormalWeb"/>
        <w:spacing w:before="0" w:beforeAutospacing="0" w:after="0" w:afterAutospacing="0"/>
        <w:jc w:val="center"/>
        <w:divId w:val="205725217"/>
        <w:rPr>
          <w:sz w:val="20"/>
          <w:szCs w:val="20"/>
        </w:rPr>
      </w:pPr>
      <w:r>
        <w:rPr>
          <w:rStyle w:val="Strong"/>
          <w:sz w:val="20"/>
          <w:szCs w:val="20"/>
        </w:rPr>
        <w:t>CERTIFICATION</w:t>
      </w:r>
    </w:p>
    <w:p w14:paraId="5D0C7D4A" w14:textId="77777777" w:rsidR="00000000" w:rsidRDefault="00EB4933">
      <w:pPr>
        <w:pStyle w:val="NormalWeb"/>
        <w:spacing w:before="0" w:beforeAutospacing="0" w:after="0" w:afterAutospacing="0"/>
        <w:jc w:val="center"/>
        <w:divId w:val="205725217"/>
        <w:rPr>
          <w:sz w:val="20"/>
          <w:szCs w:val="20"/>
        </w:rPr>
      </w:pPr>
      <w:r>
        <w:rPr>
          <w:sz w:val="20"/>
          <w:szCs w:val="20"/>
        </w:rPr>
        <w:t> </w:t>
      </w:r>
    </w:p>
    <w:p w14:paraId="432F76DE" w14:textId="77777777" w:rsidR="00000000" w:rsidRDefault="00EB4933">
      <w:pPr>
        <w:pStyle w:val="NormalWeb"/>
        <w:spacing w:before="0" w:beforeAutospacing="0" w:after="0" w:afterAutospacing="0"/>
        <w:ind w:firstLine="462"/>
        <w:jc w:val="both"/>
        <w:divId w:val="205725217"/>
        <w:rPr>
          <w:sz w:val="20"/>
          <w:szCs w:val="20"/>
        </w:rPr>
      </w:pPr>
      <w:r>
        <w:rPr>
          <w:sz w:val="20"/>
          <w:szCs w:val="20"/>
        </w:rPr>
        <w:t>In connection with the annual report of Dunxin Financial Holdings Limited (the “Company”) on Form 20-F for the year ended Decem</w:t>
      </w:r>
      <w:r>
        <w:rPr>
          <w:sz w:val="20"/>
          <w:szCs w:val="20"/>
        </w:rPr>
        <w:t>ber 31, 2019 as filed with the Securities and Exchange Commission on the date hereof (the “Report”), the undersigned officer does hereby certify, pursuant to 18 U.S.C. Section 1350, as adopted pursuant to Section 906 of the Sarbanes-Oxley Act of 2002, that</w:t>
      </w:r>
      <w:r>
        <w:rPr>
          <w:sz w:val="20"/>
          <w:szCs w:val="20"/>
        </w:rPr>
        <w:t xml:space="preserve"> to such officer’s knowledge:</w:t>
      </w:r>
    </w:p>
    <w:p w14:paraId="0EF00D93" w14:textId="77777777" w:rsidR="00000000" w:rsidRDefault="00EB4933">
      <w:pPr>
        <w:pStyle w:val="NormalWeb"/>
        <w:spacing w:before="0" w:beforeAutospacing="0" w:after="0" w:afterAutospacing="0"/>
        <w:jc w:val="both"/>
        <w:divId w:val="205725217"/>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4E378BE1" w14:textId="77777777">
        <w:trPr>
          <w:divId w:val="205725217"/>
          <w:trHeight w:val="225"/>
          <w:tblCellSpacing w:w="15" w:type="dxa"/>
        </w:trPr>
        <w:tc>
          <w:tcPr>
            <w:tcW w:w="200" w:type="pct"/>
            <w:vAlign w:val="center"/>
            <w:hideMark/>
          </w:tcPr>
          <w:p w14:paraId="2A457B99" w14:textId="77777777" w:rsidR="00000000" w:rsidRDefault="00EB4933">
            <w:pPr>
              <w:pStyle w:val="NormalWeb"/>
              <w:spacing w:before="0" w:beforeAutospacing="0" w:after="0" w:afterAutospacing="0"/>
              <w:rPr>
                <w:sz w:val="20"/>
                <w:szCs w:val="20"/>
              </w:rPr>
            </w:pPr>
            <w:r>
              <w:rPr>
                <w:sz w:val="20"/>
                <w:szCs w:val="20"/>
              </w:rPr>
              <w:t> </w:t>
            </w:r>
          </w:p>
        </w:tc>
        <w:tc>
          <w:tcPr>
            <w:tcW w:w="200" w:type="pct"/>
            <w:hideMark/>
          </w:tcPr>
          <w:p w14:paraId="46A36317" w14:textId="77777777" w:rsidR="00000000" w:rsidRDefault="00EB4933">
            <w:pPr>
              <w:pStyle w:val="NormalWeb"/>
              <w:spacing w:before="0" w:beforeAutospacing="0" w:after="0" w:afterAutospacing="0"/>
              <w:rPr>
                <w:sz w:val="20"/>
                <w:szCs w:val="20"/>
              </w:rPr>
            </w:pPr>
            <w:r>
              <w:rPr>
                <w:sz w:val="20"/>
                <w:szCs w:val="20"/>
              </w:rPr>
              <w:t>(1)</w:t>
            </w:r>
          </w:p>
        </w:tc>
        <w:tc>
          <w:tcPr>
            <w:tcW w:w="4600" w:type="pct"/>
            <w:hideMark/>
          </w:tcPr>
          <w:p w14:paraId="051D4047" w14:textId="77777777" w:rsidR="00000000" w:rsidRDefault="00EB4933">
            <w:pPr>
              <w:pStyle w:val="NormalWeb"/>
              <w:spacing w:before="0" w:beforeAutospacing="0" w:after="0" w:afterAutospacing="0"/>
              <w:rPr>
                <w:sz w:val="20"/>
                <w:szCs w:val="20"/>
              </w:rPr>
            </w:pPr>
            <w:r>
              <w:rPr>
                <w:sz w:val="20"/>
                <w:szCs w:val="20"/>
              </w:rPr>
              <w:t>the Report fully complies with the requirements of Section 13(a) or 15(d), as applicable, of the Securities Exchange Act of 1934; and</w:t>
            </w:r>
          </w:p>
        </w:tc>
      </w:tr>
      <w:tr w:rsidR="00000000" w14:paraId="6D33B0F1" w14:textId="77777777">
        <w:trPr>
          <w:divId w:val="205725217"/>
          <w:trHeight w:val="225"/>
          <w:tblCellSpacing w:w="15" w:type="dxa"/>
        </w:trPr>
        <w:tc>
          <w:tcPr>
            <w:tcW w:w="0" w:type="auto"/>
            <w:vAlign w:val="center"/>
            <w:hideMark/>
          </w:tcPr>
          <w:p w14:paraId="43FE1765"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05D463AC"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40007921" w14:textId="77777777" w:rsidR="00000000" w:rsidRDefault="00EB4933">
            <w:pPr>
              <w:pStyle w:val="NormalWeb"/>
              <w:spacing w:before="0" w:beforeAutospacing="0" w:after="0" w:afterAutospacing="0"/>
              <w:rPr>
                <w:sz w:val="20"/>
                <w:szCs w:val="20"/>
              </w:rPr>
            </w:pPr>
            <w:r>
              <w:rPr>
                <w:sz w:val="20"/>
                <w:szCs w:val="20"/>
              </w:rPr>
              <w:t xml:space="preserve">  </w:t>
            </w:r>
          </w:p>
        </w:tc>
      </w:tr>
      <w:tr w:rsidR="00000000" w14:paraId="5E076146" w14:textId="77777777">
        <w:trPr>
          <w:divId w:val="205725217"/>
          <w:trHeight w:val="225"/>
          <w:tblCellSpacing w:w="15" w:type="dxa"/>
        </w:trPr>
        <w:tc>
          <w:tcPr>
            <w:tcW w:w="0" w:type="auto"/>
            <w:vAlign w:val="center"/>
            <w:hideMark/>
          </w:tcPr>
          <w:p w14:paraId="7317F21A" w14:textId="77777777" w:rsidR="00000000" w:rsidRDefault="00EB4933">
            <w:pPr>
              <w:pStyle w:val="NormalWeb"/>
              <w:spacing w:before="0" w:beforeAutospacing="0" w:after="0" w:afterAutospacing="0"/>
              <w:rPr>
                <w:sz w:val="20"/>
                <w:szCs w:val="20"/>
              </w:rPr>
            </w:pPr>
            <w:r>
              <w:rPr>
                <w:sz w:val="20"/>
                <w:szCs w:val="20"/>
              </w:rPr>
              <w:t> </w:t>
            </w:r>
          </w:p>
        </w:tc>
        <w:tc>
          <w:tcPr>
            <w:tcW w:w="0" w:type="auto"/>
            <w:hideMark/>
          </w:tcPr>
          <w:p w14:paraId="78AFC6A7" w14:textId="77777777" w:rsidR="00000000" w:rsidRDefault="00EB4933">
            <w:pPr>
              <w:pStyle w:val="NormalWeb"/>
              <w:spacing w:before="0" w:beforeAutospacing="0" w:after="0" w:afterAutospacing="0"/>
              <w:rPr>
                <w:sz w:val="20"/>
                <w:szCs w:val="20"/>
              </w:rPr>
            </w:pPr>
            <w:r>
              <w:rPr>
                <w:sz w:val="20"/>
                <w:szCs w:val="20"/>
              </w:rPr>
              <w:t>(2)</w:t>
            </w:r>
          </w:p>
        </w:tc>
        <w:tc>
          <w:tcPr>
            <w:tcW w:w="0" w:type="auto"/>
            <w:hideMark/>
          </w:tcPr>
          <w:p w14:paraId="0A64F493" w14:textId="77777777" w:rsidR="00000000" w:rsidRDefault="00EB4933">
            <w:pPr>
              <w:pStyle w:val="NormalWeb"/>
              <w:spacing w:before="0" w:beforeAutospacing="0" w:after="0" w:afterAutospacing="0"/>
              <w:rPr>
                <w:sz w:val="20"/>
                <w:szCs w:val="20"/>
              </w:rPr>
            </w:pPr>
            <w:r>
              <w:rPr>
                <w:sz w:val="20"/>
                <w:szCs w:val="20"/>
              </w:rPr>
              <w:t>the information contained in the Report fairly presents, in all material respects, the financial condition and results of operations of the Company.</w:t>
            </w:r>
          </w:p>
        </w:tc>
      </w:tr>
    </w:tbl>
    <w:p w14:paraId="5C2BAB45" w14:textId="77777777" w:rsidR="00000000" w:rsidRDefault="00EB4933">
      <w:pPr>
        <w:pStyle w:val="NormalWeb"/>
        <w:spacing w:before="0" w:beforeAutospacing="0" w:after="0" w:afterAutospacing="0"/>
        <w:jc w:val="both"/>
        <w:divId w:val="205725217"/>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4625"/>
        <w:gridCol w:w="564"/>
        <w:gridCol w:w="3229"/>
        <w:gridCol w:w="942"/>
      </w:tblGrid>
      <w:tr w:rsidR="00000000" w14:paraId="511F2129" w14:textId="77777777">
        <w:trPr>
          <w:divId w:val="205725217"/>
          <w:trHeight w:val="225"/>
          <w:tblCellSpacing w:w="15" w:type="dxa"/>
        </w:trPr>
        <w:tc>
          <w:tcPr>
            <w:tcW w:w="2500" w:type="pct"/>
            <w:vAlign w:val="center"/>
            <w:hideMark/>
          </w:tcPr>
          <w:p w14:paraId="1256650A" w14:textId="77777777" w:rsidR="00000000" w:rsidRDefault="00EB4933">
            <w:pPr>
              <w:rPr>
                <w:rFonts w:eastAsia="Times New Roman"/>
                <w:sz w:val="20"/>
                <w:szCs w:val="20"/>
              </w:rPr>
            </w:pPr>
            <w:r>
              <w:rPr>
                <w:rFonts w:eastAsia="Times New Roman"/>
                <w:sz w:val="20"/>
                <w:szCs w:val="20"/>
              </w:rPr>
              <w:t> </w:t>
            </w:r>
          </w:p>
        </w:tc>
        <w:tc>
          <w:tcPr>
            <w:tcW w:w="250" w:type="pct"/>
            <w:vAlign w:val="center"/>
            <w:hideMark/>
          </w:tcPr>
          <w:p w14:paraId="176EE47C" w14:textId="77777777" w:rsidR="00000000" w:rsidRDefault="00EB4933">
            <w:pPr>
              <w:rPr>
                <w:rFonts w:eastAsia="Times New Roman"/>
                <w:sz w:val="20"/>
                <w:szCs w:val="20"/>
              </w:rPr>
            </w:pPr>
            <w:r>
              <w:rPr>
                <w:rFonts w:eastAsia="Times New Roman"/>
                <w:sz w:val="20"/>
                <w:szCs w:val="20"/>
              </w:rPr>
              <w:t> </w:t>
            </w:r>
          </w:p>
        </w:tc>
        <w:tc>
          <w:tcPr>
            <w:tcW w:w="1750" w:type="pct"/>
            <w:vAlign w:val="center"/>
            <w:hideMark/>
          </w:tcPr>
          <w:p w14:paraId="14403733" w14:textId="77777777" w:rsidR="00000000" w:rsidRDefault="00EB4933">
            <w:pPr>
              <w:rPr>
                <w:rFonts w:eastAsia="Times New Roman"/>
                <w:sz w:val="20"/>
                <w:szCs w:val="20"/>
              </w:rPr>
            </w:pPr>
            <w:r>
              <w:rPr>
                <w:rFonts w:eastAsia="Times New Roman"/>
                <w:sz w:val="20"/>
                <w:szCs w:val="20"/>
              </w:rPr>
              <w:t> </w:t>
            </w:r>
          </w:p>
        </w:tc>
        <w:tc>
          <w:tcPr>
            <w:tcW w:w="500" w:type="pct"/>
            <w:vAlign w:val="center"/>
            <w:hideMark/>
          </w:tcPr>
          <w:p w14:paraId="7E92644F" w14:textId="77777777" w:rsidR="00000000" w:rsidRDefault="00EB4933">
            <w:pPr>
              <w:rPr>
                <w:rFonts w:eastAsia="Times New Roman"/>
                <w:sz w:val="20"/>
                <w:szCs w:val="20"/>
              </w:rPr>
            </w:pPr>
            <w:r>
              <w:rPr>
                <w:rFonts w:eastAsia="Times New Roman"/>
                <w:sz w:val="20"/>
                <w:szCs w:val="20"/>
              </w:rPr>
              <w:t> </w:t>
            </w:r>
          </w:p>
        </w:tc>
      </w:tr>
      <w:tr w:rsidR="00000000" w14:paraId="6D6D2E64" w14:textId="77777777">
        <w:trPr>
          <w:divId w:val="205725217"/>
          <w:trHeight w:val="225"/>
          <w:tblCellSpacing w:w="15" w:type="dxa"/>
        </w:trPr>
        <w:tc>
          <w:tcPr>
            <w:tcW w:w="0" w:type="auto"/>
            <w:vAlign w:val="center"/>
            <w:hideMark/>
          </w:tcPr>
          <w:p w14:paraId="3248027A" w14:textId="77777777" w:rsidR="00000000" w:rsidRDefault="00EB4933">
            <w:pPr>
              <w:rPr>
                <w:rFonts w:eastAsia="Times New Roman"/>
                <w:sz w:val="20"/>
                <w:szCs w:val="20"/>
              </w:rPr>
            </w:pPr>
            <w:r>
              <w:rPr>
                <w:rFonts w:eastAsia="Times New Roman"/>
                <w:sz w:val="20"/>
                <w:szCs w:val="20"/>
              </w:rPr>
              <w:t>Date: November 9, 2020</w:t>
            </w:r>
          </w:p>
        </w:tc>
        <w:tc>
          <w:tcPr>
            <w:tcW w:w="0" w:type="auto"/>
            <w:vAlign w:val="center"/>
            <w:hideMark/>
          </w:tcPr>
          <w:p w14:paraId="0F93E155" w14:textId="77777777" w:rsidR="00000000" w:rsidRDefault="00EB4933">
            <w:pPr>
              <w:rPr>
                <w:rFonts w:eastAsia="Times New Roman"/>
                <w:sz w:val="20"/>
                <w:szCs w:val="20"/>
              </w:rPr>
            </w:pPr>
            <w:r>
              <w:rPr>
                <w:rFonts w:eastAsia="Times New Roman"/>
                <w:sz w:val="20"/>
                <w:szCs w:val="20"/>
              </w:rPr>
              <w:t>By:</w:t>
            </w:r>
          </w:p>
        </w:tc>
        <w:tc>
          <w:tcPr>
            <w:tcW w:w="0" w:type="auto"/>
            <w:tcBorders>
              <w:bottom w:val="single" w:sz="6" w:space="0" w:color="000000"/>
            </w:tcBorders>
            <w:vAlign w:val="center"/>
            <w:hideMark/>
          </w:tcPr>
          <w:p w14:paraId="373839A5" w14:textId="77777777" w:rsidR="00000000" w:rsidRDefault="00EB4933">
            <w:pPr>
              <w:rPr>
                <w:rFonts w:eastAsia="Times New Roman"/>
                <w:sz w:val="20"/>
                <w:szCs w:val="20"/>
              </w:rPr>
            </w:pPr>
            <w:r>
              <w:rPr>
                <w:rStyle w:val="Emphasis"/>
                <w:rFonts w:eastAsia="Times New Roman"/>
                <w:sz w:val="20"/>
                <w:szCs w:val="20"/>
              </w:rPr>
              <w:t>/s/ Chee Jiong Ng</w:t>
            </w:r>
          </w:p>
        </w:tc>
        <w:tc>
          <w:tcPr>
            <w:tcW w:w="0" w:type="auto"/>
            <w:vAlign w:val="center"/>
            <w:hideMark/>
          </w:tcPr>
          <w:p w14:paraId="03083886" w14:textId="77777777" w:rsidR="00000000" w:rsidRDefault="00EB4933">
            <w:pPr>
              <w:rPr>
                <w:rFonts w:eastAsia="Times New Roman"/>
                <w:sz w:val="20"/>
                <w:szCs w:val="20"/>
              </w:rPr>
            </w:pPr>
          </w:p>
        </w:tc>
      </w:tr>
      <w:tr w:rsidR="00000000" w14:paraId="05EC0075" w14:textId="77777777">
        <w:trPr>
          <w:divId w:val="205725217"/>
          <w:trHeight w:val="225"/>
          <w:tblCellSpacing w:w="15" w:type="dxa"/>
        </w:trPr>
        <w:tc>
          <w:tcPr>
            <w:tcW w:w="0" w:type="auto"/>
            <w:vAlign w:val="center"/>
            <w:hideMark/>
          </w:tcPr>
          <w:p w14:paraId="109997A3" w14:textId="77777777" w:rsidR="00000000" w:rsidRDefault="00EB4933">
            <w:pPr>
              <w:pStyle w:val="NormalWeb"/>
              <w:spacing w:before="0" w:beforeAutospacing="0" w:after="0" w:afterAutospacing="0"/>
              <w:rPr>
                <w:sz w:val="20"/>
                <w:szCs w:val="20"/>
              </w:rPr>
            </w:pPr>
            <w:r>
              <w:rPr>
                <w:sz w:val="20"/>
                <w:szCs w:val="20"/>
              </w:rPr>
              <w:t> </w:t>
            </w:r>
          </w:p>
        </w:tc>
        <w:tc>
          <w:tcPr>
            <w:tcW w:w="0" w:type="auto"/>
            <w:vAlign w:val="center"/>
            <w:hideMark/>
          </w:tcPr>
          <w:p w14:paraId="6F5B0295" w14:textId="77777777" w:rsidR="00000000" w:rsidRDefault="00EB4933">
            <w:pPr>
              <w:pStyle w:val="NormalWeb"/>
              <w:spacing w:before="0" w:beforeAutospacing="0" w:after="0" w:afterAutospacing="0"/>
              <w:rPr>
                <w:sz w:val="20"/>
                <w:szCs w:val="20"/>
              </w:rPr>
            </w:pPr>
            <w:r>
              <w:rPr>
                <w:sz w:val="20"/>
                <w:szCs w:val="20"/>
              </w:rPr>
              <w:t xml:space="preserve">Name: </w:t>
            </w:r>
          </w:p>
        </w:tc>
        <w:tc>
          <w:tcPr>
            <w:tcW w:w="0" w:type="auto"/>
            <w:vAlign w:val="center"/>
            <w:hideMark/>
          </w:tcPr>
          <w:p w14:paraId="117EFB14" w14:textId="77777777" w:rsidR="00000000" w:rsidRDefault="00EB4933">
            <w:pPr>
              <w:pStyle w:val="NormalWeb"/>
              <w:spacing w:before="0" w:beforeAutospacing="0" w:after="0" w:afterAutospacing="0"/>
              <w:rPr>
                <w:sz w:val="20"/>
                <w:szCs w:val="20"/>
              </w:rPr>
            </w:pPr>
            <w:r>
              <w:rPr>
                <w:sz w:val="20"/>
                <w:szCs w:val="20"/>
              </w:rPr>
              <w:t>Chee Jiong Ng</w:t>
            </w:r>
          </w:p>
        </w:tc>
        <w:tc>
          <w:tcPr>
            <w:tcW w:w="0" w:type="auto"/>
            <w:vAlign w:val="center"/>
            <w:hideMark/>
          </w:tcPr>
          <w:p w14:paraId="4F72E5F0" w14:textId="77777777" w:rsidR="00000000" w:rsidRDefault="00EB4933">
            <w:pPr>
              <w:rPr>
                <w:rFonts w:eastAsia="Times New Roman"/>
                <w:sz w:val="20"/>
                <w:szCs w:val="20"/>
              </w:rPr>
            </w:pPr>
            <w:r>
              <w:rPr>
                <w:rFonts w:eastAsia="Times New Roman"/>
                <w:sz w:val="20"/>
                <w:szCs w:val="20"/>
              </w:rPr>
              <w:t> </w:t>
            </w:r>
          </w:p>
        </w:tc>
      </w:tr>
      <w:tr w:rsidR="00000000" w14:paraId="61B57C73" w14:textId="77777777">
        <w:trPr>
          <w:divId w:val="205725217"/>
          <w:trHeight w:val="225"/>
          <w:tblCellSpacing w:w="15" w:type="dxa"/>
        </w:trPr>
        <w:tc>
          <w:tcPr>
            <w:tcW w:w="0" w:type="auto"/>
            <w:vAlign w:val="center"/>
            <w:hideMark/>
          </w:tcPr>
          <w:p w14:paraId="49DA3AEE" w14:textId="77777777" w:rsidR="00000000" w:rsidRDefault="00EB4933">
            <w:pPr>
              <w:rPr>
                <w:rFonts w:eastAsia="Times New Roman"/>
                <w:sz w:val="20"/>
                <w:szCs w:val="20"/>
              </w:rPr>
            </w:pPr>
            <w:r>
              <w:rPr>
                <w:rFonts w:eastAsia="Times New Roman"/>
                <w:sz w:val="20"/>
                <w:szCs w:val="20"/>
              </w:rPr>
              <w:t> </w:t>
            </w:r>
          </w:p>
        </w:tc>
        <w:tc>
          <w:tcPr>
            <w:tcW w:w="0" w:type="auto"/>
            <w:vAlign w:val="center"/>
            <w:hideMark/>
          </w:tcPr>
          <w:p w14:paraId="54139FAA" w14:textId="77777777" w:rsidR="00000000" w:rsidRDefault="00EB4933">
            <w:pPr>
              <w:rPr>
                <w:rFonts w:eastAsia="Times New Roman"/>
                <w:sz w:val="20"/>
                <w:szCs w:val="20"/>
              </w:rPr>
            </w:pPr>
            <w:r>
              <w:rPr>
                <w:rFonts w:eastAsia="Times New Roman"/>
                <w:sz w:val="20"/>
                <w:szCs w:val="20"/>
              </w:rPr>
              <w:t xml:space="preserve">Title: </w:t>
            </w:r>
          </w:p>
        </w:tc>
        <w:tc>
          <w:tcPr>
            <w:tcW w:w="0" w:type="auto"/>
            <w:vAlign w:val="center"/>
            <w:hideMark/>
          </w:tcPr>
          <w:p w14:paraId="0FE1297B" w14:textId="77777777" w:rsidR="00000000" w:rsidRDefault="00EB4933">
            <w:pPr>
              <w:pStyle w:val="NormalWeb"/>
              <w:spacing w:before="0" w:beforeAutospacing="0" w:after="0" w:afterAutospacing="0"/>
              <w:rPr>
                <w:sz w:val="20"/>
                <w:szCs w:val="20"/>
              </w:rPr>
            </w:pPr>
            <w:r>
              <w:rPr>
                <w:sz w:val="20"/>
                <w:szCs w:val="20"/>
              </w:rPr>
              <w:t>Chief Financial Officer</w:t>
            </w:r>
          </w:p>
        </w:tc>
        <w:tc>
          <w:tcPr>
            <w:tcW w:w="0" w:type="auto"/>
            <w:vAlign w:val="center"/>
            <w:hideMark/>
          </w:tcPr>
          <w:p w14:paraId="4C011CAA" w14:textId="77777777" w:rsidR="00000000" w:rsidRDefault="00EB4933">
            <w:pPr>
              <w:rPr>
                <w:rFonts w:eastAsia="Times New Roman"/>
                <w:sz w:val="20"/>
                <w:szCs w:val="20"/>
              </w:rPr>
            </w:pPr>
            <w:r>
              <w:rPr>
                <w:rFonts w:eastAsia="Times New Roman"/>
                <w:sz w:val="20"/>
                <w:szCs w:val="20"/>
              </w:rPr>
              <w:t> </w:t>
            </w:r>
          </w:p>
        </w:tc>
      </w:tr>
    </w:tbl>
    <w:p w14:paraId="0A7427B0" w14:textId="77777777" w:rsidR="00000000" w:rsidRDefault="00EB4933">
      <w:pPr>
        <w:pStyle w:val="NormalWeb"/>
        <w:spacing w:before="0" w:beforeAutospacing="0" w:after="0" w:afterAutospacing="0"/>
        <w:jc w:val="both"/>
        <w:divId w:val="205725217"/>
        <w:rPr>
          <w:sz w:val="20"/>
          <w:szCs w:val="20"/>
        </w:rPr>
      </w:pPr>
      <w:r>
        <w:rPr>
          <w:sz w:val="20"/>
          <w:szCs w:val="20"/>
        </w:rPr>
        <w:t>    </w:t>
      </w:r>
    </w:p>
    <w:p w14:paraId="25235199" w14:textId="77777777" w:rsidR="00000000" w:rsidRDefault="00EB4933">
      <w:pPr>
        <w:pStyle w:val="NormalWeb"/>
        <w:spacing w:before="0" w:beforeAutospacing="0" w:after="0" w:afterAutospacing="0"/>
        <w:jc w:val="both"/>
        <w:divId w:val="205725217"/>
        <w:rPr>
          <w:sz w:val="20"/>
          <w:szCs w:val="20"/>
        </w:rPr>
      </w:pPr>
      <w:r>
        <w:rPr>
          <w:sz w:val="20"/>
          <w:szCs w:val="20"/>
        </w:rPr>
        <w:t>The foregoing certification is being furnished solely pursuant to 18 U.S.C. Section 1350 and is not being filed as part of the Report or as a separate disclosure document.</w:t>
      </w:r>
    </w:p>
    <w:p w14:paraId="56FE1912" w14:textId="77777777" w:rsidR="00000000" w:rsidRDefault="00EB4933">
      <w:pPr>
        <w:jc w:val="both"/>
        <w:divId w:val="1971939283"/>
        <w:rPr>
          <w:rFonts w:eastAsia="Times New Roman"/>
          <w:sz w:val="20"/>
          <w:szCs w:val="20"/>
        </w:rPr>
      </w:pPr>
      <w:r>
        <w:rPr>
          <w:rFonts w:eastAsia="Times New Roman"/>
          <w:sz w:val="20"/>
          <w:szCs w:val="20"/>
        </w:rPr>
        <w:t> </w:t>
      </w:r>
    </w:p>
    <w:p w14:paraId="4E4E7794" w14:textId="77777777" w:rsidR="00000000" w:rsidRDefault="00EB4933">
      <w:pPr>
        <w:pStyle w:val="Heading4"/>
        <w:jc w:val="both"/>
        <w:divId w:val="354890158"/>
        <w:rPr>
          <w:rFonts w:eastAsia="Times New Roman"/>
          <w:vanish/>
        </w:rPr>
      </w:pPr>
      <w:r>
        <w:rPr>
          <w:rFonts w:eastAsia="Times New Roman"/>
          <w:vanish/>
        </w:rPr>
        <w:t>View &amp; Add Comments</w:t>
      </w:r>
    </w:p>
    <w:p w14:paraId="334E47B3" w14:textId="77777777" w:rsidR="00000000" w:rsidRDefault="00EB4933">
      <w:pPr>
        <w:jc w:val="both"/>
        <w:divId w:val="1184055452"/>
        <w:rPr>
          <w:rFonts w:eastAsia="Times New Roman"/>
          <w:vanish/>
          <w:sz w:val="20"/>
          <w:szCs w:val="20"/>
        </w:rPr>
      </w:pPr>
      <w:r>
        <w:rPr>
          <w:rFonts w:eastAsia="Times New Roman"/>
          <w:vanish/>
          <w:sz w:val="20"/>
          <w:szCs w:val="20"/>
        </w:rPr>
        <w:object w:dxaOrig="1440" w:dyaOrig="1440" w14:anchorId="7FABE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294" o:title=""/>
          </v:shape>
          <w:control r:id="rId295" w:name="DefaultOcxName" w:shapeid="_x0000_i1033"/>
        </w:object>
      </w:r>
    </w:p>
    <w:p w14:paraId="5D217D2F" w14:textId="77777777" w:rsidR="00000000" w:rsidRDefault="00EB4933">
      <w:pPr>
        <w:jc w:val="both"/>
        <w:divId w:val="31423082"/>
        <w:rPr>
          <w:rFonts w:eastAsia="Times New Roman"/>
          <w:vanish/>
          <w:sz w:val="20"/>
          <w:szCs w:val="20"/>
        </w:rPr>
      </w:pPr>
      <w:r>
        <w:rPr>
          <w:rFonts w:eastAsia="Times New Roman"/>
          <w:vanish/>
          <w:sz w:val="20"/>
          <w:szCs w:val="20"/>
        </w:rPr>
        <w:t>Page No.</w:t>
      </w:r>
      <w:r>
        <w:rPr>
          <w:rFonts w:eastAsia="Times New Roman"/>
          <w:vanish/>
          <w:sz w:val="20"/>
          <w:szCs w:val="20"/>
        </w:rPr>
        <w:t>:</w:t>
      </w:r>
      <w:r>
        <w:rPr>
          <w:rFonts w:eastAsia="Times New Roman"/>
          <w:vanish/>
          <w:sz w:val="20"/>
          <w:szCs w:val="20"/>
        </w:rPr>
        <w:object w:dxaOrig="1440" w:dyaOrig="1440" w14:anchorId="00B8FD48">
          <v:shape id="_x0000_i1036" type="#_x0000_t75" style="width:1in;height:18pt" o:ole="">
            <v:imagedata r:id="rId294" o:title=""/>
          </v:shape>
          <w:control r:id="rId296" w:name="DefaultOcxName1" w:shapeid="_x0000_i1036"/>
        </w:object>
      </w:r>
    </w:p>
    <w:p w14:paraId="68CC6823" w14:textId="77777777" w:rsidR="00000000" w:rsidRDefault="00EB4933">
      <w:pPr>
        <w:jc w:val="both"/>
        <w:divId w:val="1690716010"/>
        <w:rPr>
          <w:rFonts w:eastAsia="Times New Roman"/>
          <w:vanish/>
          <w:sz w:val="20"/>
          <w:szCs w:val="20"/>
        </w:rPr>
      </w:pPr>
      <w:r>
        <w:rPr>
          <w:rFonts w:eastAsia="Times New Roman"/>
          <w:vanish/>
          <w:sz w:val="20"/>
          <w:szCs w:val="20"/>
        </w:rPr>
        <w:t>Reviewer</w:t>
      </w:r>
      <w:r>
        <w:rPr>
          <w:rFonts w:eastAsia="Times New Roman"/>
          <w:vanish/>
          <w:sz w:val="20"/>
          <w:szCs w:val="20"/>
        </w:rPr>
        <w:t>:</w:t>
      </w:r>
      <w:r>
        <w:rPr>
          <w:rFonts w:eastAsia="Times New Roman"/>
          <w:vanish/>
          <w:sz w:val="20"/>
          <w:szCs w:val="20"/>
        </w:rPr>
        <w:object w:dxaOrig="1440" w:dyaOrig="1440" w14:anchorId="53D9540D">
          <v:shape id="_x0000_i1039" type="#_x0000_t75" style="width:1in;height:18pt" o:ole="">
            <v:imagedata r:id="rId294" o:title=""/>
          </v:shape>
          <w:control r:id="rId297" w:name="DefaultOcxName2" w:shapeid="_x0000_i1039"/>
        </w:object>
      </w:r>
    </w:p>
    <w:p w14:paraId="04C3EE6B" w14:textId="77777777" w:rsidR="00000000" w:rsidRDefault="00EB4933">
      <w:pPr>
        <w:jc w:val="both"/>
        <w:divId w:val="761875080"/>
        <w:rPr>
          <w:rFonts w:eastAsia="Times New Roman"/>
          <w:vanish/>
          <w:sz w:val="20"/>
          <w:szCs w:val="20"/>
        </w:rPr>
      </w:pPr>
      <w:r>
        <w:rPr>
          <w:rFonts w:eastAsia="Times New Roman"/>
          <w:vanish/>
          <w:sz w:val="20"/>
          <w:szCs w:val="20"/>
        </w:rPr>
        <w:object w:dxaOrig="1440" w:dyaOrig="1440" w14:anchorId="537A4699">
          <v:shape id="_x0000_i1042" type="#_x0000_t75" style="width:1in;height:18pt" o:ole="">
            <v:imagedata r:id="rId294" o:title=""/>
          </v:shape>
          <w:control r:id="rId298" w:name="DefaultOcxName3" w:shapeid="_x0000_i1042"/>
        </w:object>
      </w:r>
    </w:p>
    <w:p w14:paraId="6B9E4155" w14:textId="77777777" w:rsidR="00000000" w:rsidRDefault="00EB4933">
      <w:pPr>
        <w:jc w:val="both"/>
        <w:divId w:val="1327201310"/>
        <w:rPr>
          <w:rFonts w:eastAsia="Times New Roman"/>
          <w:vanish/>
          <w:sz w:val="20"/>
          <w:szCs w:val="20"/>
        </w:rPr>
      </w:pPr>
      <w:r>
        <w:rPr>
          <w:rFonts w:eastAsia="Times New Roman"/>
          <w:vanish/>
          <w:sz w:val="20"/>
          <w:szCs w:val="20"/>
        </w:rPr>
        <w:t>Ad</w:t>
      </w:r>
      <w:r>
        <w:rPr>
          <w:rFonts w:eastAsia="Times New Roman"/>
          <w:vanish/>
          <w:sz w:val="20"/>
          <w:szCs w:val="20"/>
        </w:rPr>
        <w:t>d</w:t>
      </w:r>
      <w:r>
        <w:rPr>
          <w:rFonts w:eastAsia="Times New Roman"/>
          <w:vanish/>
          <w:sz w:val="20"/>
          <w:szCs w:val="20"/>
        </w:rPr>
        <w:t xml:space="preserve"> </w:t>
      </w:r>
    </w:p>
    <w:p w14:paraId="313D3824" w14:textId="77777777" w:rsidR="00000000" w:rsidRDefault="00EB4933">
      <w:pPr>
        <w:jc w:val="both"/>
        <w:divId w:val="1153912866"/>
        <w:rPr>
          <w:rFonts w:eastAsia="Times New Roman"/>
          <w:vanish/>
          <w:sz w:val="20"/>
          <w:szCs w:val="20"/>
        </w:rPr>
      </w:pPr>
      <w:r>
        <w:rPr>
          <w:rFonts w:eastAsia="Times New Roman"/>
          <w:vanish/>
          <w:sz w:val="20"/>
          <w:szCs w:val="20"/>
        </w:rPr>
        <w:t>Clos</w:t>
      </w:r>
      <w:r>
        <w:rPr>
          <w:rFonts w:eastAsia="Times New Roman"/>
          <w:vanish/>
          <w:sz w:val="20"/>
          <w:szCs w:val="20"/>
        </w:rPr>
        <w:t>e</w:t>
      </w:r>
      <w:r>
        <w:rPr>
          <w:rFonts w:eastAsia="Times New Roman"/>
          <w:vanish/>
          <w:sz w:val="20"/>
          <w:szCs w:val="20"/>
        </w:rPr>
        <w:t xml:space="preserve"> </w:t>
      </w:r>
    </w:p>
    <w:p w14:paraId="149F840A" w14:textId="77777777" w:rsidR="00000000" w:rsidRDefault="00EB4933">
      <w:pPr>
        <w:pStyle w:val="Heading4"/>
        <w:jc w:val="both"/>
        <w:divId w:val="187137929"/>
        <w:rPr>
          <w:rFonts w:eastAsia="Times New Roman"/>
          <w:vanish/>
        </w:rPr>
      </w:pPr>
      <w:r>
        <w:rPr>
          <w:rFonts w:eastAsia="Times New Roman"/>
          <w:vanish/>
        </w:rPr>
        <w:t>View All Comments</w:t>
      </w:r>
    </w:p>
    <w:p w14:paraId="469927A2" w14:textId="77777777" w:rsidR="00000000" w:rsidRDefault="00EB4933">
      <w:pPr>
        <w:jc w:val="both"/>
        <w:divId w:val="1660382682"/>
        <w:rPr>
          <w:rFonts w:eastAsia="Times New Roman"/>
          <w:vanish/>
          <w:sz w:val="20"/>
          <w:szCs w:val="20"/>
        </w:rPr>
      </w:pPr>
      <w:r>
        <w:rPr>
          <w:rFonts w:eastAsia="Times New Roman"/>
          <w:vanish/>
          <w:sz w:val="20"/>
          <w:szCs w:val="20"/>
        </w:rPr>
        <w:t>Clos</w:t>
      </w:r>
      <w:r>
        <w:rPr>
          <w:rFonts w:eastAsia="Times New Roman"/>
          <w:vanish/>
          <w:sz w:val="20"/>
          <w:szCs w:val="20"/>
        </w:rPr>
        <w:t>e</w:t>
      </w:r>
      <w:r>
        <w:rPr>
          <w:rFonts w:eastAsia="Times New Roman"/>
          <w:vanish/>
          <w:sz w:val="20"/>
          <w:szCs w:val="20"/>
        </w:rPr>
        <w:t xml:space="preserve"> </w:t>
      </w:r>
    </w:p>
    <w:p w14:paraId="7C924DEF" w14:textId="77777777" w:rsidR="00000000" w:rsidRDefault="00EB4933">
      <w:pPr>
        <w:rPr>
          <w:rFonts w:eastAsia="Times New Roman"/>
        </w:rPr>
      </w:pPr>
      <w:r>
        <w:rPr>
          <w:rFonts w:eastAsia="Times New Roman"/>
          <w:vanish/>
          <w:sz w:val="20"/>
          <w:szCs w:val="20"/>
        </w:rPr>
        <w:pict w14:anchorId="14F332A7"/>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B4933"/>
    <w:rsid w:val="00EB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60F35"/>
  <w15:chartTrackingRefBased/>
  <w15:docId w15:val="{13E6AEF5-B29B-4D1A-849C-E2D3CDA7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2396">
      <w:marLeft w:val="0"/>
      <w:marRight w:val="0"/>
      <w:marTop w:val="0"/>
      <w:marBottom w:val="0"/>
      <w:divBdr>
        <w:top w:val="none" w:sz="0" w:space="0" w:color="auto"/>
        <w:left w:val="none" w:sz="0" w:space="0" w:color="auto"/>
        <w:bottom w:val="none" w:sz="0" w:space="0" w:color="auto"/>
        <w:right w:val="none" w:sz="0" w:space="0" w:color="auto"/>
      </w:divBdr>
    </w:div>
    <w:div w:id="27148782">
      <w:marLeft w:val="0"/>
      <w:marRight w:val="0"/>
      <w:marTop w:val="0"/>
      <w:marBottom w:val="0"/>
      <w:divBdr>
        <w:top w:val="none" w:sz="0" w:space="0" w:color="auto"/>
        <w:left w:val="none" w:sz="0" w:space="0" w:color="auto"/>
        <w:bottom w:val="none" w:sz="0" w:space="0" w:color="auto"/>
        <w:right w:val="none" w:sz="0" w:space="0" w:color="auto"/>
      </w:divBdr>
    </w:div>
    <w:div w:id="98525094">
      <w:marLeft w:val="0"/>
      <w:marRight w:val="0"/>
      <w:marTop w:val="0"/>
      <w:marBottom w:val="0"/>
      <w:divBdr>
        <w:top w:val="none" w:sz="0" w:space="0" w:color="auto"/>
        <w:left w:val="none" w:sz="0" w:space="0" w:color="auto"/>
        <w:bottom w:val="none" w:sz="0" w:space="0" w:color="auto"/>
        <w:right w:val="none" w:sz="0" w:space="0" w:color="auto"/>
      </w:divBdr>
    </w:div>
    <w:div w:id="205725217">
      <w:marLeft w:val="0"/>
      <w:marRight w:val="0"/>
      <w:marTop w:val="0"/>
      <w:marBottom w:val="0"/>
      <w:divBdr>
        <w:top w:val="none" w:sz="0" w:space="0" w:color="auto"/>
        <w:left w:val="none" w:sz="0" w:space="0" w:color="auto"/>
        <w:bottom w:val="none" w:sz="0" w:space="0" w:color="auto"/>
        <w:right w:val="none" w:sz="0" w:space="0" w:color="auto"/>
      </w:divBdr>
    </w:div>
    <w:div w:id="215702601">
      <w:marLeft w:val="0"/>
      <w:marRight w:val="0"/>
      <w:marTop w:val="0"/>
      <w:marBottom w:val="0"/>
      <w:divBdr>
        <w:top w:val="none" w:sz="0" w:space="0" w:color="auto"/>
        <w:left w:val="none" w:sz="0" w:space="0" w:color="auto"/>
        <w:bottom w:val="none" w:sz="0" w:space="0" w:color="auto"/>
        <w:right w:val="none" w:sz="0" w:space="0" w:color="auto"/>
      </w:divBdr>
    </w:div>
    <w:div w:id="434248510">
      <w:marLeft w:val="-105"/>
      <w:marRight w:val="-105"/>
      <w:marTop w:val="0"/>
      <w:marBottom w:val="0"/>
      <w:divBdr>
        <w:top w:val="none" w:sz="0" w:space="0" w:color="auto"/>
        <w:left w:val="none" w:sz="0" w:space="0" w:color="auto"/>
        <w:bottom w:val="none" w:sz="0" w:space="0" w:color="auto"/>
        <w:right w:val="none" w:sz="0" w:space="0" w:color="auto"/>
      </w:divBdr>
    </w:div>
    <w:div w:id="443691383">
      <w:marLeft w:val="0"/>
      <w:marRight w:val="0"/>
      <w:marTop w:val="0"/>
      <w:marBottom w:val="0"/>
      <w:divBdr>
        <w:top w:val="none" w:sz="0" w:space="0" w:color="auto"/>
        <w:left w:val="none" w:sz="0" w:space="0" w:color="auto"/>
        <w:bottom w:val="none" w:sz="0" w:space="0" w:color="auto"/>
        <w:right w:val="none" w:sz="0" w:space="0" w:color="auto"/>
      </w:divBdr>
    </w:div>
    <w:div w:id="651178903">
      <w:marLeft w:val="0"/>
      <w:marRight w:val="0"/>
      <w:marTop w:val="0"/>
      <w:marBottom w:val="0"/>
      <w:divBdr>
        <w:top w:val="none" w:sz="0" w:space="0" w:color="auto"/>
        <w:left w:val="none" w:sz="0" w:space="0" w:color="auto"/>
        <w:bottom w:val="none" w:sz="0" w:space="0" w:color="auto"/>
        <w:right w:val="none" w:sz="0" w:space="0" w:color="auto"/>
      </w:divBdr>
    </w:div>
    <w:div w:id="765535192">
      <w:marLeft w:val="0"/>
      <w:marRight w:val="0"/>
      <w:marTop w:val="0"/>
      <w:marBottom w:val="0"/>
      <w:divBdr>
        <w:top w:val="none" w:sz="0" w:space="0" w:color="auto"/>
        <w:left w:val="none" w:sz="0" w:space="0" w:color="auto"/>
        <w:bottom w:val="none" w:sz="0" w:space="0" w:color="auto"/>
        <w:right w:val="none" w:sz="0" w:space="0" w:color="auto"/>
      </w:divBdr>
      <w:divsChild>
        <w:div w:id="2105874775">
          <w:marLeft w:val="0"/>
          <w:marRight w:val="0"/>
          <w:marTop w:val="0"/>
          <w:marBottom w:val="0"/>
          <w:divBdr>
            <w:top w:val="none" w:sz="0" w:space="0" w:color="auto"/>
            <w:left w:val="none" w:sz="0" w:space="0" w:color="auto"/>
            <w:bottom w:val="none" w:sz="0" w:space="0" w:color="auto"/>
            <w:right w:val="none" w:sz="0" w:space="0" w:color="auto"/>
          </w:divBdr>
          <w:divsChild>
            <w:div w:id="1726446724">
              <w:marLeft w:val="0"/>
              <w:marRight w:val="0"/>
              <w:marTop w:val="0"/>
              <w:marBottom w:val="0"/>
              <w:divBdr>
                <w:top w:val="none" w:sz="0" w:space="0" w:color="auto"/>
                <w:left w:val="none" w:sz="0" w:space="0" w:color="auto"/>
                <w:bottom w:val="none" w:sz="0" w:space="0" w:color="auto"/>
                <w:right w:val="none" w:sz="0" w:space="0" w:color="auto"/>
              </w:divBdr>
              <w:divsChild>
                <w:div w:id="187137929">
                  <w:marLeft w:val="0"/>
                  <w:marRight w:val="0"/>
                  <w:marTop w:val="0"/>
                  <w:marBottom w:val="0"/>
                  <w:divBdr>
                    <w:top w:val="none" w:sz="0" w:space="0" w:color="auto"/>
                    <w:left w:val="none" w:sz="0" w:space="0" w:color="auto"/>
                    <w:bottom w:val="none" w:sz="0" w:space="0" w:color="auto"/>
                    <w:right w:val="none" w:sz="0" w:space="0" w:color="auto"/>
                  </w:divBdr>
                </w:div>
                <w:div w:id="16603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20925">
      <w:marLeft w:val="0"/>
      <w:marRight w:val="0"/>
      <w:marTop w:val="0"/>
      <w:marBottom w:val="0"/>
      <w:divBdr>
        <w:top w:val="none" w:sz="0" w:space="0" w:color="auto"/>
        <w:left w:val="none" w:sz="0" w:space="0" w:color="auto"/>
        <w:bottom w:val="none" w:sz="0" w:space="0" w:color="auto"/>
        <w:right w:val="none" w:sz="0" w:space="0" w:color="auto"/>
      </w:divBdr>
    </w:div>
    <w:div w:id="857697328">
      <w:marLeft w:val="0"/>
      <w:marRight w:val="0"/>
      <w:marTop w:val="0"/>
      <w:marBottom w:val="0"/>
      <w:divBdr>
        <w:top w:val="none" w:sz="0" w:space="0" w:color="auto"/>
        <w:left w:val="none" w:sz="0" w:space="0" w:color="auto"/>
        <w:bottom w:val="none" w:sz="0" w:space="0" w:color="auto"/>
        <w:right w:val="none" w:sz="0" w:space="0" w:color="auto"/>
      </w:divBdr>
      <w:divsChild>
        <w:div w:id="193344397">
          <w:marLeft w:val="0"/>
          <w:marRight w:val="0"/>
          <w:marTop w:val="0"/>
          <w:marBottom w:val="0"/>
          <w:divBdr>
            <w:top w:val="none" w:sz="0" w:space="0" w:color="auto"/>
            <w:left w:val="none" w:sz="0" w:space="0" w:color="auto"/>
            <w:bottom w:val="none" w:sz="0" w:space="0" w:color="auto"/>
            <w:right w:val="none" w:sz="0" w:space="0" w:color="auto"/>
          </w:divBdr>
          <w:divsChild>
            <w:div w:id="921991106">
              <w:marLeft w:val="0"/>
              <w:marRight w:val="0"/>
              <w:marTop w:val="0"/>
              <w:marBottom w:val="0"/>
              <w:divBdr>
                <w:top w:val="none" w:sz="0" w:space="0" w:color="auto"/>
                <w:left w:val="none" w:sz="0" w:space="0" w:color="auto"/>
                <w:bottom w:val="none" w:sz="0" w:space="0" w:color="auto"/>
                <w:right w:val="none" w:sz="0" w:space="0" w:color="auto"/>
              </w:divBdr>
              <w:divsChild>
                <w:div w:id="354890158">
                  <w:marLeft w:val="0"/>
                  <w:marRight w:val="0"/>
                  <w:marTop w:val="0"/>
                  <w:marBottom w:val="0"/>
                  <w:divBdr>
                    <w:top w:val="none" w:sz="0" w:space="0" w:color="auto"/>
                    <w:left w:val="none" w:sz="0" w:space="0" w:color="auto"/>
                    <w:bottom w:val="none" w:sz="0" w:space="0" w:color="auto"/>
                    <w:right w:val="none" w:sz="0" w:space="0" w:color="auto"/>
                  </w:divBdr>
                </w:div>
                <w:div w:id="479154614">
                  <w:marLeft w:val="0"/>
                  <w:marRight w:val="0"/>
                  <w:marTop w:val="0"/>
                  <w:marBottom w:val="0"/>
                  <w:divBdr>
                    <w:top w:val="none" w:sz="0" w:space="0" w:color="auto"/>
                    <w:left w:val="none" w:sz="0" w:space="0" w:color="auto"/>
                    <w:bottom w:val="none" w:sz="0" w:space="0" w:color="auto"/>
                    <w:right w:val="none" w:sz="0" w:space="0" w:color="auto"/>
                  </w:divBdr>
                  <w:divsChild>
                    <w:div w:id="1184055452">
                      <w:marLeft w:val="0"/>
                      <w:marRight w:val="0"/>
                      <w:marTop w:val="0"/>
                      <w:marBottom w:val="120"/>
                      <w:divBdr>
                        <w:top w:val="none" w:sz="0" w:space="0" w:color="auto"/>
                        <w:left w:val="none" w:sz="0" w:space="0" w:color="auto"/>
                        <w:bottom w:val="none" w:sz="0" w:space="0" w:color="auto"/>
                        <w:right w:val="none" w:sz="0" w:space="0" w:color="auto"/>
                      </w:divBdr>
                      <w:divsChild>
                        <w:div w:id="31423082">
                          <w:marLeft w:val="0"/>
                          <w:marRight w:val="0"/>
                          <w:marTop w:val="0"/>
                          <w:marBottom w:val="0"/>
                          <w:divBdr>
                            <w:top w:val="none" w:sz="0" w:space="0" w:color="auto"/>
                            <w:left w:val="none" w:sz="0" w:space="0" w:color="auto"/>
                            <w:bottom w:val="none" w:sz="0" w:space="0" w:color="auto"/>
                            <w:right w:val="none" w:sz="0" w:space="0" w:color="auto"/>
                          </w:divBdr>
                        </w:div>
                        <w:div w:id="1690716010">
                          <w:marLeft w:val="0"/>
                          <w:marRight w:val="0"/>
                          <w:marTop w:val="0"/>
                          <w:marBottom w:val="0"/>
                          <w:divBdr>
                            <w:top w:val="none" w:sz="0" w:space="0" w:color="auto"/>
                            <w:left w:val="none" w:sz="0" w:space="0" w:color="auto"/>
                            <w:bottom w:val="none" w:sz="0" w:space="0" w:color="auto"/>
                            <w:right w:val="none" w:sz="0" w:space="0" w:color="auto"/>
                          </w:divBdr>
                        </w:div>
                      </w:divsChild>
                    </w:div>
                    <w:div w:id="706293067">
                      <w:marLeft w:val="0"/>
                      <w:marRight w:val="0"/>
                      <w:marTop w:val="0"/>
                      <w:marBottom w:val="120"/>
                      <w:divBdr>
                        <w:top w:val="none" w:sz="0" w:space="0" w:color="auto"/>
                        <w:left w:val="none" w:sz="0" w:space="0" w:color="auto"/>
                        <w:bottom w:val="none" w:sz="0" w:space="0" w:color="auto"/>
                        <w:right w:val="none" w:sz="0" w:space="0" w:color="auto"/>
                      </w:divBdr>
                      <w:divsChild>
                        <w:div w:id="761875080">
                          <w:marLeft w:val="0"/>
                          <w:marRight w:val="0"/>
                          <w:marTop w:val="0"/>
                          <w:marBottom w:val="0"/>
                          <w:divBdr>
                            <w:top w:val="none" w:sz="0" w:space="0" w:color="auto"/>
                            <w:left w:val="none" w:sz="0" w:space="0" w:color="auto"/>
                            <w:bottom w:val="none" w:sz="0" w:space="0" w:color="auto"/>
                            <w:right w:val="none" w:sz="0" w:space="0" w:color="auto"/>
                          </w:divBdr>
                        </w:div>
                        <w:div w:id="13272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3453">
      <w:marLeft w:val="0"/>
      <w:marRight w:val="0"/>
      <w:marTop w:val="1500"/>
      <w:marBottom w:val="1500"/>
      <w:divBdr>
        <w:top w:val="none" w:sz="0" w:space="0" w:color="auto"/>
        <w:left w:val="none" w:sz="0" w:space="0" w:color="auto"/>
        <w:bottom w:val="none" w:sz="0" w:space="0" w:color="auto"/>
        <w:right w:val="none" w:sz="0" w:space="0" w:color="auto"/>
      </w:divBdr>
    </w:div>
    <w:div w:id="944389291">
      <w:marLeft w:val="0"/>
      <w:marRight w:val="0"/>
      <w:marTop w:val="0"/>
      <w:marBottom w:val="0"/>
      <w:divBdr>
        <w:top w:val="none" w:sz="0" w:space="0" w:color="auto"/>
        <w:left w:val="none" w:sz="0" w:space="0" w:color="auto"/>
        <w:bottom w:val="none" w:sz="0" w:space="0" w:color="auto"/>
        <w:right w:val="none" w:sz="0" w:space="0" w:color="auto"/>
      </w:divBdr>
    </w:div>
    <w:div w:id="1075084632">
      <w:marLeft w:val="0"/>
      <w:marRight w:val="0"/>
      <w:marTop w:val="0"/>
      <w:marBottom w:val="0"/>
      <w:divBdr>
        <w:top w:val="none" w:sz="0" w:space="0" w:color="auto"/>
        <w:left w:val="none" w:sz="0" w:space="0" w:color="auto"/>
        <w:bottom w:val="none" w:sz="0" w:space="0" w:color="auto"/>
        <w:right w:val="none" w:sz="0" w:space="0" w:color="auto"/>
      </w:divBdr>
    </w:div>
    <w:div w:id="1086994407">
      <w:marLeft w:val="0"/>
      <w:marRight w:val="0"/>
      <w:marTop w:val="0"/>
      <w:marBottom w:val="0"/>
      <w:divBdr>
        <w:top w:val="none" w:sz="0" w:space="0" w:color="auto"/>
        <w:left w:val="none" w:sz="0" w:space="0" w:color="auto"/>
        <w:bottom w:val="none" w:sz="0" w:space="0" w:color="auto"/>
        <w:right w:val="none" w:sz="0" w:space="0" w:color="auto"/>
      </w:divBdr>
    </w:div>
    <w:div w:id="1207181515">
      <w:marLeft w:val="0"/>
      <w:marRight w:val="0"/>
      <w:marTop w:val="0"/>
      <w:marBottom w:val="0"/>
      <w:divBdr>
        <w:top w:val="none" w:sz="0" w:space="0" w:color="auto"/>
        <w:left w:val="none" w:sz="0" w:space="0" w:color="auto"/>
        <w:bottom w:val="none" w:sz="0" w:space="0" w:color="auto"/>
        <w:right w:val="none" w:sz="0" w:space="0" w:color="auto"/>
      </w:divBdr>
    </w:div>
    <w:div w:id="1284506590">
      <w:marLeft w:val="0"/>
      <w:marRight w:val="0"/>
      <w:marTop w:val="0"/>
      <w:marBottom w:val="0"/>
      <w:divBdr>
        <w:top w:val="none" w:sz="0" w:space="0" w:color="auto"/>
        <w:left w:val="none" w:sz="0" w:space="0" w:color="auto"/>
        <w:bottom w:val="none" w:sz="0" w:space="0" w:color="auto"/>
        <w:right w:val="none" w:sz="0" w:space="0" w:color="auto"/>
      </w:divBdr>
    </w:div>
    <w:div w:id="1855915653">
      <w:marLeft w:val="0"/>
      <w:marRight w:val="0"/>
      <w:marTop w:val="0"/>
      <w:marBottom w:val="0"/>
      <w:divBdr>
        <w:top w:val="none" w:sz="0" w:space="0" w:color="auto"/>
        <w:left w:val="none" w:sz="0" w:space="0" w:color="auto"/>
        <w:bottom w:val="none" w:sz="0" w:space="0" w:color="auto"/>
        <w:right w:val="none" w:sz="0" w:space="0" w:color="auto"/>
      </w:divBdr>
    </w:div>
    <w:div w:id="1888255505">
      <w:marLeft w:val="0"/>
      <w:marRight w:val="0"/>
      <w:marTop w:val="0"/>
      <w:marBottom w:val="0"/>
      <w:divBdr>
        <w:top w:val="none" w:sz="0" w:space="0" w:color="auto"/>
        <w:left w:val="none" w:sz="0" w:space="0" w:color="auto"/>
        <w:bottom w:val="none" w:sz="0" w:space="0" w:color="auto"/>
        <w:right w:val="none" w:sz="0" w:space="0" w:color="auto"/>
      </w:divBdr>
    </w:div>
    <w:div w:id="1926455354">
      <w:marLeft w:val="0"/>
      <w:marRight w:val="0"/>
      <w:marTop w:val="0"/>
      <w:marBottom w:val="0"/>
      <w:divBdr>
        <w:top w:val="none" w:sz="0" w:space="0" w:color="auto"/>
        <w:left w:val="none" w:sz="0" w:space="0" w:color="auto"/>
        <w:bottom w:val="none" w:sz="0" w:space="0" w:color="auto"/>
        <w:right w:val="none" w:sz="0" w:space="0" w:color="auto"/>
      </w:divBdr>
    </w:div>
    <w:div w:id="1971939283">
      <w:marLeft w:val="0"/>
      <w:marRight w:val="0"/>
      <w:marTop w:val="0"/>
      <w:marBottom w:val="0"/>
      <w:divBdr>
        <w:top w:val="none" w:sz="0" w:space="0" w:color="auto"/>
        <w:left w:val="none" w:sz="0" w:space="0" w:color="auto"/>
        <w:bottom w:val="none" w:sz="0" w:space="0" w:color="auto"/>
        <w:right w:val="none" w:sz="0" w:space="0" w:color="auto"/>
      </w:divBdr>
    </w:div>
    <w:div w:id="20326062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bout:blank" TargetMode="External"/><Relationship Id="rId299" Type="http://schemas.openxmlformats.org/officeDocument/2006/relationships/fontTable" Target="fontTable.xml"/><Relationship Id="rId21" Type="http://schemas.openxmlformats.org/officeDocument/2006/relationships/hyperlink" Target="about:blank" TargetMode="External"/><Relationship Id="rId42" Type="http://schemas.openxmlformats.org/officeDocument/2006/relationships/hyperlink" Target="about:blank" TargetMode="External"/><Relationship Id="rId63" Type="http://schemas.openxmlformats.org/officeDocument/2006/relationships/hyperlink" Target="about:blank" TargetMode="External"/><Relationship Id="rId84" Type="http://schemas.openxmlformats.org/officeDocument/2006/relationships/hyperlink" Target="about:blank" TargetMode="External"/><Relationship Id="rId138" Type="http://schemas.openxmlformats.org/officeDocument/2006/relationships/hyperlink" Target="about:blank" TargetMode="External"/><Relationship Id="rId159" Type="http://schemas.openxmlformats.org/officeDocument/2006/relationships/hyperlink" Target="about:blank" TargetMode="External"/><Relationship Id="rId170" Type="http://schemas.openxmlformats.org/officeDocument/2006/relationships/hyperlink" Target="http://www.sec.gov/Archives/edgar/data/1499494/000147793218002101/dxf_ex11.htm" TargetMode="External"/><Relationship Id="rId191" Type="http://schemas.openxmlformats.org/officeDocument/2006/relationships/hyperlink" Target="http://www.sec.gov/Archives/edgar/data/1499494/000147793217006007/xny_ex998.htm" TargetMode="External"/><Relationship Id="rId205" Type="http://schemas.openxmlformats.org/officeDocument/2006/relationships/hyperlink" Target="about:dxf_ex122.htm" TargetMode="External"/><Relationship Id="rId226" Type="http://schemas.openxmlformats.org/officeDocument/2006/relationships/hyperlink" Target="about:blank" TargetMode="External"/><Relationship Id="rId247" Type="http://schemas.openxmlformats.org/officeDocument/2006/relationships/hyperlink" Target="about:blank" TargetMode="External"/><Relationship Id="rId107" Type="http://schemas.openxmlformats.org/officeDocument/2006/relationships/hyperlink" Target="about:blank" TargetMode="External"/><Relationship Id="rId268" Type="http://schemas.openxmlformats.org/officeDocument/2006/relationships/hyperlink" Target="about:blank" TargetMode="External"/><Relationship Id="rId289" Type="http://schemas.openxmlformats.org/officeDocument/2006/relationships/hyperlink" Target="about:blank" TargetMode="External"/><Relationship Id="rId11" Type="http://schemas.openxmlformats.org/officeDocument/2006/relationships/hyperlink" Target="about:blank" TargetMode="External"/><Relationship Id="rId32" Type="http://schemas.openxmlformats.org/officeDocument/2006/relationships/hyperlink" Target="about:blank" TargetMode="External"/><Relationship Id="rId53" Type="http://schemas.openxmlformats.org/officeDocument/2006/relationships/hyperlink" Target="about:blank" TargetMode="External"/><Relationship Id="rId74" Type="http://schemas.openxmlformats.org/officeDocument/2006/relationships/hyperlink" Target="about:blank" TargetMode="External"/><Relationship Id="rId128" Type="http://schemas.openxmlformats.org/officeDocument/2006/relationships/hyperlink" Target="about:blank" TargetMode="External"/><Relationship Id="rId149" Type="http://schemas.openxmlformats.org/officeDocument/2006/relationships/hyperlink" Target="about:blank" TargetMode="External"/><Relationship Id="rId5" Type="http://schemas.openxmlformats.org/officeDocument/2006/relationships/hyperlink" Target="about:blank" TargetMode="External"/><Relationship Id="rId95" Type="http://schemas.openxmlformats.org/officeDocument/2006/relationships/hyperlink" Target="about:blank" TargetMode="External"/><Relationship Id="rId160" Type="http://schemas.openxmlformats.org/officeDocument/2006/relationships/hyperlink" Target="about:blank" TargetMode="External"/><Relationship Id="rId181" Type="http://schemas.openxmlformats.org/officeDocument/2006/relationships/hyperlink" Target="http://www.sec.gov/Archives/edgar/data/1499494/000095012310102030/h04357a1exv10w3.htm" TargetMode="External"/><Relationship Id="rId216" Type="http://schemas.openxmlformats.org/officeDocument/2006/relationships/hyperlink" Target="about:blank" TargetMode="External"/><Relationship Id="rId237" Type="http://schemas.openxmlformats.org/officeDocument/2006/relationships/hyperlink" Target="about:blank" TargetMode="External"/><Relationship Id="rId258" Type="http://schemas.openxmlformats.org/officeDocument/2006/relationships/hyperlink" Target="about:blank" TargetMode="External"/><Relationship Id="rId279" Type="http://schemas.openxmlformats.org/officeDocument/2006/relationships/hyperlink" Target="about:blank" TargetMode="External"/><Relationship Id="rId22" Type="http://schemas.openxmlformats.org/officeDocument/2006/relationships/hyperlink" Target="about:blank" TargetMode="External"/><Relationship Id="rId43" Type="http://schemas.openxmlformats.org/officeDocument/2006/relationships/hyperlink" Target="about:blank" TargetMode="External"/><Relationship Id="rId64" Type="http://schemas.openxmlformats.org/officeDocument/2006/relationships/hyperlink" Target="about:blank" TargetMode="External"/><Relationship Id="rId118" Type="http://schemas.openxmlformats.org/officeDocument/2006/relationships/hyperlink" Target="about:blank" TargetMode="External"/><Relationship Id="rId139" Type="http://schemas.openxmlformats.org/officeDocument/2006/relationships/hyperlink" Target="about:blank" TargetMode="External"/><Relationship Id="rId290" Type="http://schemas.openxmlformats.org/officeDocument/2006/relationships/hyperlink" Target="about:blank" TargetMode="External"/><Relationship Id="rId85" Type="http://schemas.openxmlformats.org/officeDocument/2006/relationships/hyperlink" Target="about:blank" TargetMode="External"/><Relationship Id="rId150" Type="http://schemas.openxmlformats.org/officeDocument/2006/relationships/hyperlink" Target="about:blank" TargetMode="External"/><Relationship Id="rId171" Type="http://schemas.openxmlformats.org/officeDocument/2006/relationships/hyperlink" Target="http://www.sec.gov/Archives/edgar/data/1499494/000095012310102030/h04357a1exv4w2.htm" TargetMode="External"/><Relationship Id="rId192" Type="http://schemas.openxmlformats.org/officeDocument/2006/relationships/hyperlink" Target="http://www.sec.gov/Archives/edgar/data/1499494/000147793217006007/xny_ex998.htm" TargetMode="External"/><Relationship Id="rId206" Type="http://schemas.openxmlformats.org/officeDocument/2006/relationships/hyperlink" Target="about:dxf_ex122.htm" TargetMode="External"/><Relationship Id="rId227" Type="http://schemas.openxmlformats.org/officeDocument/2006/relationships/hyperlink" Target="about:blank" TargetMode="External"/><Relationship Id="rId248" Type="http://schemas.openxmlformats.org/officeDocument/2006/relationships/hyperlink" Target="about:blank" TargetMode="External"/><Relationship Id="rId269" Type="http://schemas.openxmlformats.org/officeDocument/2006/relationships/hyperlink" Target="about:blank" TargetMode="External"/><Relationship Id="rId12" Type="http://schemas.openxmlformats.org/officeDocument/2006/relationships/hyperlink" Target="about:blank" TargetMode="External"/><Relationship Id="rId33" Type="http://schemas.openxmlformats.org/officeDocument/2006/relationships/hyperlink" Target="about:blank" TargetMode="External"/><Relationship Id="rId108" Type="http://schemas.openxmlformats.org/officeDocument/2006/relationships/hyperlink" Target="about:blank" TargetMode="External"/><Relationship Id="rId129" Type="http://schemas.openxmlformats.org/officeDocument/2006/relationships/hyperlink" Target="about:blank" TargetMode="External"/><Relationship Id="rId280" Type="http://schemas.openxmlformats.org/officeDocument/2006/relationships/hyperlink" Target="about:blank" TargetMode="External"/><Relationship Id="rId54" Type="http://schemas.openxmlformats.org/officeDocument/2006/relationships/hyperlink" Target="about:blank" TargetMode="External"/><Relationship Id="rId75" Type="http://schemas.openxmlformats.org/officeDocument/2006/relationships/hyperlink" Target="about:blank" TargetMode="External"/><Relationship Id="rId96" Type="http://schemas.openxmlformats.org/officeDocument/2006/relationships/hyperlink" Target="about:blank" TargetMode="External"/><Relationship Id="rId140" Type="http://schemas.openxmlformats.org/officeDocument/2006/relationships/hyperlink" Target="about:blank" TargetMode="External"/><Relationship Id="rId161" Type="http://schemas.openxmlformats.org/officeDocument/2006/relationships/hyperlink" Target="about:blank" TargetMode="External"/><Relationship Id="rId182" Type="http://schemas.openxmlformats.org/officeDocument/2006/relationships/hyperlink" Target="http://www.sec.gov/Archives/edgar/data/1499494/000095012310102030/h04357a1exv10w3.htm" TargetMode="External"/><Relationship Id="rId217" Type="http://schemas.openxmlformats.org/officeDocument/2006/relationships/hyperlink" Target="about:blank" TargetMode="External"/><Relationship Id="rId6" Type="http://schemas.openxmlformats.org/officeDocument/2006/relationships/hyperlink" Target="about:blank" TargetMode="External"/><Relationship Id="rId238" Type="http://schemas.openxmlformats.org/officeDocument/2006/relationships/hyperlink" Target="about:blank" TargetMode="External"/><Relationship Id="rId259" Type="http://schemas.openxmlformats.org/officeDocument/2006/relationships/hyperlink" Target="about:blank" TargetMode="External"/><Relationship Id="rId23" Type="http://schemas.openxmlformats.org/officeDocument/2006/relationships/hyperlink" Target="about:blank" TargetMode="External"/><Relationship Id="rId119" Type="http://schemas.openxmlformats.org/officeDocument/2006/relationships/hyperlink" Target="about:blank" TargetMode="External"/><Relationship Id="rId270" Type="http://schemas.openxmlformats.org/officeDocument/2006/relationships/hyperlink" Target="about:blank" TargetMode="External"/><Relationship Id="rId291" Type="http://schemas.openxmlformats.org/officeDocument/2006/relationships/hyperlink" Target="about:blank" TargetMode="External"/><Relationship Id="rId44" Type="http://schemas.openxmlformats.org/officeDocument/2006/relationships/hyperlink" Target="about:blank" TargetMode="External"/><Relationship Id="rId65" Type="http://schemas.openxmlformats.org/officeDocument/2006/relationships/hyperlink" Target="about:blank" TargetMode="External"/><Relationship Id="rId86" Type="http://schemas.openxmlformats.org/officeDocument/2006/relationships/hyperlink" Target="about:blank" TargetMode="External"/><Relationship Id="rId130" Type="http://schemas.openxmlformats.org/officeDocument/2006/relationships/hyperlink" Target="about:blank" TargetMode="External"/><Relationship Id="rId151" Type="http://schemas.openxmlformats.org/officeDocument/2006/relationships/hyperlink" Target="about:blank" TargetMode="External"/><Relationship Id="rId172" Type="http://schemas.openxmlformats.org/officeDocument/2006/relationships/hyperlink" Target="http://www.sec.gov/Archives/edgar/data/1499494/000095012310102030/h04357a1exv4w2.htm" TargetMode="External"/><Relationship Id="rId193" Type="http://schemas.openxmlformats.org/officeDocument/2006/relationships/hyperlink" Target="http://www.sec.gov/Archives/edgar/data/1499494/000147793217006007/xny_ex999.htm" TargetMode="External"/><Relationship Id="rId207" Type="http://schemas.openxmlformats.org/officeDocument/2006/relationships/hyperlink" Target="about:dxf_ex131.htm" TargetMode="External"/><Relationship Id="rId228" Type="http://schemas.openxmlformats.org/officeDocument/2006/relationships/hyperlink" Target="about:blank" TargetMode="External"/><Relationship Id="rId249" Type="http://schemas.openxmlformats.org/officeDocument/2006/relationships/hyperlink" Target="about:blank" TargetMode="External"/><Relationship Id="rId13" Type="http://schemas.openxmlformats.org/officeDocument/2006/relationships/hyperlink" Target="about:blank" TargetMode="External"/><Relationship Id="rId109" Type="http://schemas.openxmlformats.org/officeDocument/2006/relationships/hyperlink" Target="about:blank" TargetMode="External"/><Relationship Id="rId260" Type="http://schemas.openxmlformats.org/officeDocument/2006/relationships/hyperlink" Target="about:blank" TargetMode="External"/><Relationship Id="rId281" Type="http://schemas.openxmlformats.org/officeDocument/2006/relationships/hyperlink" Target="about:blank" TargetMode="External"/><Relationship Id="rId34" Type="http://schemas.openxmlformats.org/officeDocument/2006/relationships/hyperlink" Target="about:blank" TargetMode="External"/><Relationship Id="rId55" Type="http://schemas.openxmlformats.org/officeDocument/2006/relationships/hyperlink" Target="about:blank" TargetMode="External"/><Relationship Id="rId76" Type="http://schemas.openxmlformats.org/officeDocument/2006/relationships/hyperlink" Target="about:blank" TargetMode="External"/><Relationship Id="rId97" Type="http://schemas.openxmlformats.org/officeDocument/2006/relationships/hyperlink" Target="about:blank" TargetMode="External"/><Relationship Id="rId120" Type="http://schemas.openxmlformats.org/officeDocument/2006/relationships/hyperlink" Target="about:blank" TargetMode="External"/><Relationship Id="rId141" Type="http://schemas.openxmlformats.org/officeDocument/2006/relationships/hyperlink" Target="about:blank" TargetMode="External"/><Relationship Id="rId7" Type="http://schemas.openxmlformats.org/officeDocument/2006/relationships/hyperlink" Target="about:blank" TargetMode="External"/><Relationship Id="rId71" Type="http://schemas.openxmlformats.org/officeDocument/2006/relationships/hyperlink" Target="about:blank" TargetMode="External"/><Relationship Id="rId92" Type="http://schemas.openxmlformats.org/officeDocument/2006/relationships/hyperlink" Target="about:blank" TargetMode="External"/><Relationship Id="rId162" Type="http://schemas.openxmlformats.org/officeDocument/2006/relationships/hyperlink" Target="about:blank" TargetMode="External"/><Relationship Id="rId183" Type="http://schemas.openxmlformats.org/officeDocument/2006/relationships/hyperlink" Target="http://www.sec.gov/Archives/edgar/data/1499494/000147793217006007/xny_ex994.htm" TargetMode="External"/><Relationship Id="rId213" Type="http://schemas.openxmlformats.org/officeDocument/2006/relationships/hyperlink" Target="about:blank" TargetMode="External"/><Relationship Id="rId218" Type="http://schemas.openxmlformats.org/officeDocument/2006/relationships/hyperlink" Target="about:blank" TargetMode="External"/><Relationship Id="rId234" Type="http://schemas.openxmlformats.org/officeDocument/2006/relationships/hyperlink" Target="about:blank" TargetMode="External"/><Relationship Id="rId239" Type="http://schemas.openxmlformats.org/officeDocument/2006/relationships/hyperlink" Target="about:blank" TargetMode="External"/><Relationship Id="rId2" Type="http://schemas.openxmlformats.org/officeDocument/2006/relationships/settings" Target="settings.xml"/><Relationship Id="rId29" Type="http://schemas.openxmlformats.org/officeDocument/2006/relationships/hyperlink" Target="about:blank" TargetMode="External"/><Relationship Id="rId250" Type="http://schemas.openxmlformats.org/officeDocument/2006/relationships/hyperlink" Target="about:blank" TargetMode="External"/><Relationship Id="rId255" Type="http://schemas.openxmlformats.org/officeDocument/2006/relationships/hyperlink" Target="about:blank" TargetMode="External"/><Relationship Id="rId271" Type="http://schemas.openxmlformats.org/officeDocument/2006/relationships/hyperlink" Target="about:blank" TargetMode="External"/><Relationship Id="rId276" Type="http://schemas.openxmlformats.org/officeDocument/2006/relationships/hyperlink" Target="about:blank" TargetMode="External"/><Relationship Id="rId292" Type="http://schemas.openxmlformats.org/officeDocument/2006/relationships/image" Target="about://Inet/ImageServlet?jobNumber=19250&amp;imageOrder=1000" TargetMode="External"/><Relationship Id="rId297" Type="http://schemas.openxmlformats.org/officeDocument/2006/relationships/control" Target="activeX/activeX3.xml"/><Relationship Id="rId24"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66" Type="http://schemas.openxmlformats.org/officeDocument/2006/relationships/hyperlink" Target="about:blank" TargetMode="External"/><Relationship Id="rId87" Type="http://schemas.openxmlformats.org/officeDocument/2006/relationships/hyperlink" Target="about:blank" TargetMode="External"/><Relationship Id="rId110" Type="http://schemas.openxmlformats.org/officeDocument/2006/relationships/hyperlink" Target="about:blank" TargetMode="External"/><Relationship Id="rId115" Type="http://schemas.openxmlformats.org/officeDocument/2006/relationships/hyperlink" Target="about:blank" TargetMode="External"/><Relationship Id="rId131" Type="http://schemas.openxmlformats.org/officeDocument/2006/relationships/hyperlink" Target="about:blank" TargetMode="External"/><Relationship Id="rId136" Type="http://schemas.openxmlformats.org/officeDocument/2006/relationships/hyperlink" Target="about:blank" TargetMode="External"/><Relationship Id="rId157" Type="http://schemas.openxmlformats.org/officeDocument/2006/relationships/hyperlink" Target="about:blank" TargetMode="External"/><Relationship Id="rId178" Type="http://schemas.openxmlformats.org/officeDocument/2006/relationships/hyperlink" Target="http://www.sec.gov/Archives/edgar/data/1471515/000119380517003602/e617551_ex99-a3.htm" TargetMode="External"/><Relationship Id="rId61" Type="http://schemas.openxmlformats.org/officeDocument/2006/relationships/hyperlink" Target="about:blank" TargetMode="External"/><Relationship Id="rId82" Type="http://schemas.openxmlformats.org/officeDocument/2006/relationships/hyperlink" Target="about:blank" TargetMode="External"/><Relationship Id="rId152" Type="http://schemas.openxmlformats.org/officeDocument/2006/relationships/hyperlink" Target="about:blank" TargetMode="External"/><Relationship Id="rId173" Type="http://schemas.openxmlformats.org/officeDocument/2006/relationships/hyperlink" Target="http://www.sec.gov/Archives/edgar/data/1471515/000095012710000215/a10-91_ex4.htm" TargetMode="External"/><Relationship Id="rId194" Type="http://schemas.openxmlformats.org/officeDocument/2006/relationships/hyperlink" Target="http://www.sec.gov/Archives/edgar/data/1499494/000147793217006007/xny_ex999.htm" TargetMode="External"/><Relationship Id="rId199" Type="http://schemas.openxmlformats.org/officeDocument/2006/relationships/hyperlink" Target="about:dxf_ex81.htm" TargetMode="External"/><Relationship Id="rId203" Type="http://schemas.openxmlformats.org/officeDocument/2006/relationships/hyperlink" Target="about:dxf_ex121.htm" TargetMode="External"/><Relationship Id="rId208" Type="http://schemas.openxmlformats.org/officeDocument/2006/relationships/hyperlink" Target="about:dxf_ex131.htm" TargetMode="External"/><Relationship Id="rId229" Type="http://schemas.openxmlformats.org/officeDocument/2006/relationships/hyperlink" Target="about:blank" TargetMode="External"/><Relationship Id="rId19" Type="http://schemas.openxmlformats.org/officeDocument/2006/relationships/hyperlink" Target="about:blank" TargetMode="External"/><Relationship Id="rId224" Type="http://schemas.openxmlformats.org/officeDocument/2006/relationships/hyperlink" Target="about:blank" TargetMode="External"/><Relationship Id="rId240" Type="http://schemas.openxmlformats.org/officeDocument/2006/relationships/hyperlink" Target="about:blank" TargetMode="External"/><Relationship Id="rId245" Type="http://schemas.openxmlformats.org/officeDocument/2006/relationships/hyperlink" Target="about:blank" TargetMode="External"/><Relationship Id="rId261" Type="http://schemas.openxmlformats.org/officeDocument/2006/relationships/hyperlink" Target="about:blank" TargetMode="External"/><Relationship Id="rId266" Type="http://schemas.openxmlformats.org/officeDocument/2006/relationships/hyperlink" Target="about:blank" TargetMode="External"/><Relationship Id="rId287" Type="http://schemas.openxmlformats.org/officeDocument/2006/relationships/hyperlink" Target="about:blank" TargetMode="External"/><Relationship Id="rId14"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56" Type="http://schemas.openxmlformats.org/officeDocument/2006/relationships/hyperlink" Target="about:blank" TargetMode="External"/><Relationship Id="rId77" Type="http://schemas.openxmlformats.org/officeDocument/2006/relationships/hyperlink" Target="about:blank" TargetMode="External"/><Relationship Id="rId100" Type="http://schemas.openxmlformats.org/officeDocument/2006/relationships/hyperlink" Target="about:blank" TargetMode="External"/><Relationship Id="rId105" Type="http://schemas.openxmlformats.org/officeDocument/2006/relationships/hyperlink" Target="about:blank" TargetMode="External"/><Relationship Id="rId126" Type="http://schemas.openxmlformats.org/officeDocument/2006/relationships/hyperlink" Target="about:blank" TargetMode="External"/><Relationship Id="rId147" Type="http://schemas.openxmlformats.org/officeDocument/2006/relationships/hyperlink" Target="about:blank" TargetMode="External"/><Relationship Id="rId168" Type="http://schemas.openxmlformats.org/officeDocument/2006/relationships/hyperlink" Target="about:blank" TargetMode="External"/><Relationship Id="rId282" Type="http://schemas.openxmlformats.org/officeDocument/2006/relationships/hyperlink" Target="about:blank" TargetMode="External"/><Relationship Id="rId8" Type="http://schemas.openxmlformats.org/officeDocument/2006/relationships/hyperlink" Target="about:blank" TargetMode="External"/><Relationship Id="rId51" Type="http://schemas.openxmlformats.org/officeDocument/2006/relationships/hyperlink" Target="about:blank" TargetMode="External"/><Relationship Id="rId72" Type="http://schemas.openxmlformats.org/officeDocument/2006/relationships/hyperlink" Target="about:blank" TargetMode="External"/><Relationship Id="rId93" Type="http://schemas.openxmlformats.org/officeDocument/2006/relationships/hyperlink" Target="about:blank" TargetMode="External"/><Relationship Id="rId98" Type="http://schemas.openxmlformats.org/officeDocument/2006/relationships/hyperlink" Target="about:blank" TargetMode="External"/><Relationship Id="rId121" Type="http://schemas.openxmlformats.org/officeDocument/2006/relationships/hyperlink" Target="about:blank" TargetMode="External"/><Relationship Id="rId142" Type="http://schemas.openxmlformats.org/officeDocument/2006/relationships/hyperlink" Target="about:blank" TargetMode="External"/><Relationship Id="rId163" Type="http://schemas.openxmlformats.org/officeDocument/2006/relationships/hyperlink" Target="about:blank" TargetMode="External"/><Relationship Id="rId184" Type="http://schemas.openxmlformats.org/officeDocument/2006/relationships/hyperlink" Target="http://www.sec.gov/Archives/edgar/data/1499494/000147793217006007/xny_ex994.htm" TargetMode="External"/><Relationship Id="rId189" Type="http://schemas.openxmlformats.org/officeDocument/2006/relationships/hyperlink" Target="http://www.sec.gov/Archives/edgar/data/1499494/000147793217006007/xny_ex997.htm" TargetMode="External"/><Relationship Id="rId219" Type="http://schemas.openxmlformats.org/officeDocument/2006/relationships/hyperlink" Target="about:blank" TargetMode="External"/><Relationship Id="rId3" Type="http://schemas.openxmlformats.org/officeDocument/2006/relationships/webSettings" Target="webSettings.xml"/><Relationship Id="rId214" Type="http://schemas.openxmlformats.org/officeDocument/2006/relationships/hyperlink" Target="about:blank" TargetMode="External"/><Relationship Id="rId230" Type="http://schemas.openxmlformats.org/officeDocument/2006/relationships/hyperlink" Target="about:blank" TargetMode="External"/><Relationship Id="rId235" Type="http://schemas.openxmlformats.org/officeDocument/2006/relationships/hyperlink" Target="about:blank" TargetMode="External"/><Relationship Id="rId251" Type="http://schemas.openxmlformats.org/officeDocument/2006/relationships/hyperlink" Target="about:blank" TargetMode="External"/><Relationship Id="rId256" Type="http://schemas.openxmlformats.org/officeDocument/2006/relationships/hyperlink" Target="about:blank" TargetMode="External"/><Relationship Id="rId277" Type="http://schemas.openxmlformats.org/officeDocument/2006/relationships/hyperlink" Target="about:blank" TargetMode="External"/><Relationship Id="rId298" Type="http://schemas.openxmlformats.org/officeDocument/2006/relationships/control" Target="activeX/activeX4.xml"/><Relationship Id="rId25" Type="http://schemas.openxmlformats.org/officeDocument/2006/relationships/hyperlink" Target="about:blank" TargetMode="External"/><Relationship Id="rId46" Type="http://schemas.openxmlformats.org/officeDocument/2006/relationships/hyperlink" Target="about:blank" TargetMode="External"/><Relationship Id="rId67" Type="http://schemas.openxmlformats.org/officeDocument/2006/relationships/hyperlink" Target="about:blank" TargetMode="External"/><Relationship Id="rId116" Type="http://schemas.openxmlformats.org/officeDocument/2006/relationships/hyperlink" Target="about:blank" TargetMode="External"/><Relationship Id="rId137" Type="http://schemas.openxmlformats.org/officeDocument/2006/relationships/hyperlink" Target="about:blank" TargetMode="External"/><Relationship Id="rId158" Type="http://schemas.openxmlformats.org/officeDocument/2006/relationships/hyperlink" Target="about:blank" TargetMode="External"/><Relationship Id="rId272" Type="http://schemas.openxmlformats.org/officeDocument/2006/relationships/hyperlink" Target="about:blank" TargetMode="External"/><Relationship Id="rId293" Type="http://schemas.openxmlformats.org/officeDocument/2006/relationships/image" Target="about://Inet/ImageServlet?jobNumber=19250&amp;imageOrder=1001"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62" Type="http://schemas.openxmlformats.org/officeDocument/2006/relationships/hyperlink" Target="about:blank" TargetMode="External"/><Relationship Id="rId83" Type="http://schemas.openxmlformats.org/officeDocument/2006/relationships/hyperlink" Target="about:blank" TargetMode="External"/><Relationship Id="rId88" Type="http://schemas.openxmlformats.org/officeDocument/2006/relationships/hyperlink" Target="about:blank" TargetMode="External"/><Relationship Id="rId111" Type="http://schemas.openxmlformats.org/officeDocument/2006/relationships/hyperlink" Target="about:blank" TargetMode="External"/><Relationship Id="rId132" Type="http://schemas.openxmlformats.org/officeDocument/2006/relationships/hyperlink" Target="about:blank" TargetMode="External"/><Relationship Id="rId153" Type="http://schemas.openxmlformats.org/officeDocument/2006/relationships/hyperlink" Target="about:blank" TargetMode="External"/><Relationship Id="rId174" Type="http://schemas.openxmlformats.org/officeDocument/2006/relationships/hyperlink" Target="http://www.sec.gov/Archives/edgar/data/1471515/000095012710000215/a10-91_ex4.htm" TargetMode="External"/><Relationship Id="rId179" Type="http://schemas.openxmlformats.org/officeDocument/2006/relationships/hyperlink" Target="http://www.sec.gov/Archives/edgar/data/1471515/000119380518000348/e617760_ex99-a4.htm" TargetMode="External"/><Relationship Id="rId195" Type="http://schemas.openxmlformats.org/officeDocument/2006/relationships/hyperlink" Target="about:dxf_ex48.htm" TargetMode="External"/><Relationship Id="rId209" Type="http://schemas.openxmlformats.org/officeDocument/2006/relationships/hyperlink" Target="about:dxf_ex132.htm" TargetMode="External"/><Relationship Id="rId190" Type="http://schemas.openxmlformats.org/officeDocument/2006/relationships/hyperlink" Target="http://www.sec.gov/Archives/edgar/data/1499494/000147793217006007/xny_ex997.htm" TargetMode="External"/><Relationship Id="rId204" Type="http://schemas.openxmlformats.org/officeDocument/2006/relationships/hyperlink" Target="about:dxf_ex121.htm" TargetMode="External"/><Relationship Id="rId220" Type="http://schemas.openxmlformats.org/officeDocument/2006/relationships/hyperlink" Target="about:blank" TargetMode="External"/><Relationship Id="rId225" Type="http://schemas.openxmlformats.org/officeDocument/2006/relationships/hyperlink" Target="about:blank" TargetMode="External"/><Relationship Id="rId241" Type="http://schemas.openxmlformats.org/officeDocument/2006/relationships/hyperlink" Target="about:blank" TargetMode="External"/><Relationship Id="rId246" Type="http://schemas.openxmlformats.org/officeDocument/2006/relationships/hyperlink" Target="about:blank" TargetMode="External"/><Relationship Id="rId267" Type="http://schemas.openxmlformats.org/officeDocument/2006/relationships/hyperlink" Target="about:blank" TargetMode="External"/><Relationship Id="rId288" Type="http://schemas.openxmlformats.org/officeDocument/2006/relationships/hyperlink" Target="about:blank" TargetMode="External"/><Relationship Id="rId15" Type="http://schemas.openxmlformats.org/officeDocument/2006/relationships/hyperlink" Target="about:blank" TargetMode="External"/><Relationship Id="rId36" Type="http://schemas.openxmlformats.org/officeDocument/2006/relationships/hyperlink" Target="about:blank" TargetMode="External"/><Relationship Id="rId57" Type="http://schemas.openxmlformats.org/officeDocument/2006/relationships/hyperlink" Target="about:blank" TargetMode="External"/><Relationship Id="rId106" Type="http://schemas.openxmlformats.org/officeDocument/2006/relationships/hyperlink" Target="about:blank" TargetMode="External"/><Relationship Id="rId127" Type="http://schemas.openxmlformats.org/officeDocument/2006/relationships/hyperlink" Target="about:blank" TargetMode="External"/><Relationship Id="rId262" Type="http://schemas.openxmlformats.org/officeDocument/2006/relationships/hyperlink" Target="about:blank" TargetMode="External"/><Relationship Id="rId283" Type="http://schemas.openxmlformats.org/officeDocument/2006/relationships/hyperlink" Target="about:blank" TargetMode="External"/><Relationship Id="rId10" Type="http://schemas.openxmlformats.org/officeDocument/2006/relationships/hyperlink" Target="about:blank" TargetMode="External"/><Relationship Id="rId31" Type="http://schemas.openxmlformats.org/officeDocument/2006/relationships/hyperlink" Target="about:blank" TargetMode="External"/><Relationship Id="rId52" Type="http://schemas.openxmlformats.org/officeDocument/2006/relationships/hyperlink" Target="about:blank" TargetMode="External"/><Relationship Id="rId73" Type="http://schemas.openxmlformats.org/officeDocument/2006/relationships/hyperlink" Target="about:blank" TargetMode="External"/><Relationship Id="rId78" Type="http://schemas.openxmlformats.org/officeDocument/2006/relationships/hyperlink" Target="about:blank" TargetMode="External"/><Relationship Id="rId94" Type="http://schemas.openxmlformats.org/officeDocument/2006/relationships/hyperlink" Target="about:blank" TargetMode="External"/><Relationship Id="rId99" Type="http://schemas.openxmlformats.org/officeDocument/2006/relationships/hyperlink" Target="about:blank" TargetMode="External"/><Relationship Id="rId101" Type="http://schemas.openxmlformats.org/officeDocument/2006/relationships/hyperlink" Target="about:blank" TargetMode="External"/><Relationship Id="rId122" Type="http://schemas.openxmlformats.org/officeDocument/2006/relationships/hyperlink" Target="about:blank" TargetMode="External"/><Relationship Id="rId143" Type="http://schemas.openxmlformats.org/officeDocument/2006/relationships/hyperlink" Target="about:blank" TargetMode="External"/><Relationship Id="rId148" Type="http://schemas.openxmlformats.org/officeDocument/2006/relationships/hyperlink" Target="about:blank" TargetMode="External"/><Relationship Id="rId164" Type="http://schemas.openxmlformats.org/officeDocument/2006/relationships/hyperlink" Target="about:blank" TargetMode="External"/><Relationship Id="rId169" Type="http://schemas.openxmlformats.org/officeDocument/2006/relationships/hyperlink" Target="http://www.sec.gov/Archives/edgar/data/1499494/000147793218002101/dxf_ex11.htm" TargetMode="External"/><Relationship Id="rId185" Type="http://schemas.openxmlformats.org/officeDocument/2006/relationships/hyperlink" Target="http://www.sec.gov/Archives/edgar/data/1499494/000147793217006007/xny_ex995.htm"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80" Type="http://schemas.openxmlformats.org/officeDocument/2006/relationships/hyperlink" Target="http://www.sec.gov/Archives/edgar/data/1471515/000119380518000348/e617760_ex99-a4.htm" TargetMode="External"/><Relationship Id="rId210" Type="http://schemas.openxmlformats.org/officeDocument/2006/relationships/hyperlink" Target="about:dxf_ex132.htm" TargetMode="External"/><Relationship Id="rId215" Type="http://schemas.openxmlformats.org/officeDocument/2006/relationships/hyperlink" Target="about:blank" TargetMode="External"/><Relationship Id="rId236" Type="http://schemas.openxmlformats.org/officeDocument/2006/relationships/hyperlink" Target="about:blank" TargetMode="External"/><Relationship Id="rId257" Type="http://schemas.openxmlformats.org/officeDocument/2006/relationships/hyperlink" Target="about:blank" TargetMode="External"/><Relationship Id="rId278" Type="http://schemas.openxmlformats.org/officeDocument/2006/relationships/hyperlink" Target="about:blank" TargetMode="External"/><Relationship Id="rId26" Type="http://schemas.openxmlformats.org/officeDocument/2006/relationships/hyperlink" Target="about:blank" TargetMode="External"/><Relationship Id="rId231" Type="http://schemas.openxmlformats.org/officeDocument/2006/relationships/hyperlink" Target="about:blank" TargetMode="External"/><Relationship Id="rId252" Type="http://schemas.openxmlformats.org/officeDocument/2006/relationships/hyperlink" Target="about:blank" TargetMode="External"/><Relationship Id="rId273" Type="http://schemas.openxmlformats.org/officeDocument/2006/relationships/hyperlink" Target="about:blank" TargetMode="External"/><Relationship Id="rId294" Type="http://schemas.openxmlformats.org/officeDocument/2006/relationships/image" Target="media/image1.wmf"/><Relationship Id="rId47" Type="http://schemas.openxmlformats.org/officeDocument/2006/relationships/hyperlink" Target="about:blank" TargetMode="External"/><Relationship Id="rId68" Type="http://schemas.openxmlformats.org/officeDocument/2006/relationships/hyperlink" Target="about:blank" TargetMode="External"/><Relationship Id="rId89" Type="http://schemas.openxmlformats.org/officeDocument/2006/relationships/hyperlink" Target="about:blank" TargetMode="External"/><Relationship Id="rId112" Type="http://schemas.openxmlformats.org/officeDocument/2006/relationships/hyperlink" Target="about:blank" TargetMode="External"/><Relationship Id="rId133" Type="http://schemas.openxmlformats.org/officeDocument/2006/relationships/hyperlink" Target="about:blank" TargetMode="External"/><Relationship Id="rId154" Type="http://schemas.openxmlformats.org/officeDocument/2006/relationships/hyperlink" Target="about:blank" TargetMode="External"/><Relationship Id="rId175" Type="http://schemas.openxmlformats.org/officeDocument/2006/relationships/hyperlink" Target="http://www.sec.gov/Archives/edgar/data/1471515/000119380514002283/e612928_ex99-a2.htm" TargetMode="External"/><Relationship Id="rId196" Type="http://schemas.openxmlformats.org/officeDocument/2006/relationships/hyperlink" Target="about:dxf_ex48.htm" TargetMode="External"/><Relationship Id="rId200" Type="http://schemas.openxmlformats.org/officeDocument/2006/relationships/hyperlink" Target="about:dxf_ex81.htm" TargetMode="External"/><Relationship Id="rId16" Type="http://schemas.openxmlformats.org/officeDocument/2006/relationships/hyperlink" Target="about:blank" TargetMode="External"/><Relationship Id="rId221" Type="http://schemas.openxmlformats.org/officeDocument/2006/relationships/hyperlink" Target="about:blank" TargetMode="External"/><Relationship Id="rId242" Type="http://schemas.openxmlformats.org/officeDocument/2006/relationships/hyperlink" Target="about:blank" TargetMode="External"/><Relationship Id="rId263" Type="http://schemas.openxmlformats.org/officeDocument/2006/relationships/hyperlink" Target="about:blank" TargetMode="External"/><Relationship Id="rId284" Type="http://schemas.openxmlformats.org/officeDocument/2006/relationships/hyperlink" Target="about:blank" TargetMode="External"/><Relationship Id="rId37" Type="http://schemas.openxmlformats.org/officeDocument/2006/relationships/hyperlink" Target="about:blank" TargetMode="External"/><Relationship Id="rId58" Type="http://schemas.openxmlformats.org/officeDocument/2006/relationships/hyperlink" Target="about:blank" TargetMode="External"/><Relationship Id="rId79" Type="http://schemas.openxmlformats.org/officeDocument/2006/relationships/hyperlink" Target="about:blank" TargetMode="External"/><Relationship Id="rId102" Type="http://schemas.openxmlformats.org/officeDocument/2006/relationships/hyperlink" Target="about:blank" TargetMode="External"/><Relationship Id="rId123" Type="http://schemas.openxmlformats.org/officeDocument/2006/relationships/hyperlink" Target="about:blank" TargetMode="External"/><Relationship Id="rId144" Type="http://schemas.openxmlformats.org/officeDocument/2006/relationships/hyperlink" Target="about:blank" TargetMode="External"/><Relationship Id="rId90" Type="http://schemas.openxmlformats.org/officeDocument/2006/relationships/hyperlink" Target="about:blank" TargetMode="External"/><Relationship Id="rId165" Type="http://schemas.openxmlformats.org/officeDocument/2006/relationships/hyperlink" Target="about:blank" TargetMode="External"/><Relationship Id="rId186" Type="http://schemas.openxmlformats.org/officeDocument/2006/relationships/hyperlink" Target="http://www.sec.gov/Archives/edgar/data/1499494/000147793217006007/xny_ex995.htm" TargetMode="External"/><Relationship Id="rId211" Type="http://schemas.openxmlformats.org/officeDocument/2006/relationships/hyperlink" Target="about:blank" TargetMode="External"/><Relationship Id="rId232" Type="http://schemas.openxmlformats.org/officeDocument/2006/relationships/hyperlink" Target="about:blank" TargetMode="External"/><Relationship Id="rId253" Type="http://schemas.openxmlformats.org/officeDocument/2006/relationships/hyperlink" Target="about:blank" TargetMode="External"/><Relationship Id="rId274" Type="http://schemas.openxmlformats.org/officeDocument/2006/relationships/hyperlink" Target="about:blank" TargetMode="External"/><Relationship Id="rId295" Type="http://schemas.openxmlformats.org/officeDocument/2006/relationships/control" Target="activeX/activeX1.xml"/><Relationship Id="rId27" Type="http://schemas.openxmlformats.org/officeDocument/2006/relationships/hyperlink" Target="about:blank" TargetMode="External"/><Relationship Id="rId48" Type="http://schemas.openxmlformats.org/officeDocument/2006/relationships/hyperlink" Target="about:blank" TargetMode="External"/><Relationship Id="rId69" Type="http://schemas.openxmlformats.org/officeDocument/2006/relationships/hyperlink" Target="about:blank" TargetMode="External"/><Relationship Id="rId113" Type="http://schemas.openxmlformats.org/officeDocument/2006/relationships/hyperlink" Target="about:blank" TargetMode="External"/><Relationship Id="rId134" Type="http://schemas.openxmlformats.org/officeDocument/2006/relationships/hyperlink" Target="about:blank" TargetMode="External"/><Relationship Id="rId80" Type="http://schemas.openxmlformats.org/officeDocument/2006/relationships/hyperlink" Target="about:blank" TargetMode="External"/><Relationship Id="rId155" Type="http://schemas.openxmlformats.org/officeDocument/2006/relationships/hyperlink" Target="about:blank" TargetMode="External"/><Relationship Id="rId176" Type="http://schemas.openxmlformats.org/officeDocument/2006/relationships/hyperlink" Target="http://www.sec.gov/Archives/edgar/data/1471515/000119380514002283/e612928_ex99-a2.htm" TargetMode="External"/><Relationship Id="rId197" Type="http://schemas.openxmlformats.org/officeDocument/2006/relationships/hyperlink" Target="about:dxf_ex49.htm" TargetMode="External"/><Relationship Id="rId201" Type="http://schemas.openxmlformats.org/officeDocument/2006/relationships/hyperlink" Target="http://www.sec.gov/Archives/edgar/data/1499494/000095012310100990/h04357exv99w1.htm" TargetMode="External"/><Relationship Id="rId222" Type="http://schemas.openxmlformats.org/officeDocument/2006/relationships/hyperlink" Target="about:blank" TargetMode="External"/><Relationship Id="rId243" Type="http://schemas.openxmlformats.org/officeDocument/2006/relationships/hyperlink" Target="about:blank" TargetMode="External"/><Relationship Id="rId264" Type="http://schemas.openxmlformats.org/officeDocument/2006/relationships/hyperlink" Target="about:blank" TargetMode="External"/><Relationship Id="rId285" Type="http://schemas.openxmlformats.org/officeDocument/2006/relationships/hyperlink" Target="about:blank" TargetMode="External"/><Relationship Id="rId17" Type="http://schemas.openxmlformats.org/officeDocument/2006/relationships/hyperlink" Target="about:blank" TargetMode="External"/><Relationship Id="rId38" Type="http://schemas.openxmlformats.org/officeDocument/2006/relationships/hyperlink" Target="about:blank" TargetMode="External"/><Relationship Id="rId59" Type="http://schemas.openxmlformats.org/officeDocument/2006/relationships/hyperlink" Target="about:blank" TargetMode="External"/><Relationship Id="rId103" Type="http://schemas.openxmlformats.org/officeDocument/2006/relationships/hyperlink" Target="about:blank" TargetMode="External"/><Relationship Id="rId124" Type="http://schemas.openxmlformats.org/officeDocument/2006/relationships/hyperlink" Target="about:blank" TargetMode="External"/><Relationship Id="rId70" Type="http://schemas.openxmlformats.org/officeDocument/2006/relationships/hyperlink" Target="about:blank" TargetMode="External"/><Relationship Id="rId91" Type="http://schemas.openxmlformats.org/officeDocument/2006/relationships/hyperlink" Target="about:blank" TargetMode="External"/><Relationship Id="rId145" Type="http://schemas.openxmlformats.org/officeDocument/2006/relationships/hyperlink" Target="about:blank" TargetMode="External"/><Relationship Id="rId166" Type="http://schemas.openxmlformats.org/officeDocument/2006/relationships/hyperlink" Target="about:blank" TargetMode="External"/><Relationship Id="rId187" Type="http://schemas.openxmlformats.org/officeDocument/2006/relationships/hyperlink" Target="http://www.sec.gov/Archives/edgar/data/1499494/000147793217006007/xny_ex996.htm" TargetMode="External"/><Relationship Id="rId1" Type="http://schemas.openxmlformats.org/officeDocument/2006/relationships/styles" Target="styles.xml"/><Relationship Id="rId212" Type="http://schemas.openxmlformats.org/officeDocument/2006/relationships/hyperlink" Target="about:blank" TargetMode="External"/><Relationship Id="rId233" Type="http://schemas.openxmlformats.org/officeDocument/2006/relationships/hyperlink" Target="about:blank" TargetMode="External"/><Relationship Id="rId254" Type="http://schemas.openxmlformats.org/officeDocument/2006/relationships/hyperlink" Target="about:blank" TargetMode="External"/><Relationship Id="rId28" Type="http://schemas.openxmlformats.org/officeDocument/2006/relationships/hyperlink" Target="about:blank" TargetMode="External"/><Relationship Id="rId49" Type="http://schemas.openxmlformats.org/officeDocument/2006/relationships/hyperlink" Target="about:blank" TargetMode="External"/><Relationship Id="rId114" Type="http://schemas.openxmlformats.org/officeDocument/2006/relationships/hyperlink" Target="about:blank" TargetMode="External"/><Relationship Id="rId275" Type="http://schemas.openxmlformats.org/officeDocument/2006/relationships/hyperlink" Target="about:blank" TargetMode="External"/><Relationship Id="rId296" Type="http://schemas.openxmlformats.org/officeDocument/2006/relationships/control" Target="activeX/activeX2.xml"/><Relationship Id="rId300" Type="http://schemas.openxmlformats.org/officeDocument/2006/relationships/theme" Target="theme/theme1.xml"/><Relationship Id="rId60" Type="http://schemas.openxmlformats.org/officeDocument/2006/relationships/hyperlink" Target="about:blank" TargetMode="External"/><Relationship Id="rId81" Type="http://schemas.openxmlformats.org/officeDocument/2006/relationships/hyperlink" Target="about:blank" TargetMode="External"/><Relationship Id="rId135" Type="http://schemas.openxmlformats.org/officeDocument/2006/relationships/hyperlink" Target="about:blank" TargetMode="External"/><Relationship Id="rId156" Type="http://schemas.openxmlformats.org/officeDocument/2006/relationships/hyperlink" Target="about:blank" TargetMode="External"/><Relationship Id="rId177" Type="http://schemas.openxmlformats.org/officeDocument/2006/relationships/hyperlink" Target="http://www.sec.gov/Archives/edgar/data/1471515/000119380517003602/e617551_ex99-a3.htm" TargetMode="External"/><Relationship Id="rId198" Type="http://schemas.openxmlformats.org/officeDocument/2006/relationships/hyperlink" Target="about:dxf_ex49.htm" TargetMode="External"/><Relationship Id="rId202" Type="http://schemas.openxmlformats.org/officeDocument/2006/relationships/hyperlink" Target="http://www.sec.gov/Archives/edgar/data/1499494/000095012310100990/h04357exv99w1.htm" TargetMode="External"/><Relationship Id="rId223" Type="http://schemas.openxmlformats.org/officeDocument/2006/relationships/hyperlink" Target="about:blank" TargetMode="External"/><Relationship Id="rId244"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 Id="rId265" Type="http://schemas.openxmlformats.org/officeDocument/2006/relationships/hyperlink" Target="about:blank" TargetMode="External"/><Relationship Id="rId286" Type="http://schemas.openxmlformats.org/officeDocument/2006/relationships/hyperlink" Target="about:blank" TargetMode="External"/><Relationship Id="rId50" Type="http://schemas.openxmlformats.org/officeDocument/2006/relationships/hyperlink" Target="about:blank" TargetMode="External"/><Relationship Id="rId104" Type="http://schemas.openxmlformats.org/officeDocument/2006/relationships/hyperlink" Target="about:blank" TargetMode="External"/><Relationship Id="rId125" Type="http://schemas.openxmlformats.org/officeDocument/2006/relationships/hyperlink" Target="about:blank" TargetMode="External"/><Relationship Id="rId146" Type="http://schemas.openxmlformats.org/officeDocument/2006/relationships/hyperlink" Target="about:blank" TargetMode="External"/><Relationship Id="rId167" Type="http://schemas.openxmlformats.org/officeDocument/2006/relationships/hyperlink" Target="about:blank" TargetMode="External"/><Relationship Id="rId188" Type="http://schemas.openxmlformats.org/officeDocument/2006/relationships/hyperlink" Target="http://www.sec.gov/Archives/edgar/data/1499494/000147793217006007/xny_ex996.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176</Pages>
  <Words>85278</Words>
  <Characters>493186</Characters>
  <Application>Microsoft Office Word</Application>
  <DocSecurity>0</DocSecurity>
  <Lines>4109</Lines>
  <Paragraphs>1154</Paragraphs>
  <ScaleCrop>false</ScaleCrop>
  <Company/>
  <LinksUpToDate>false</LinksUpToDate>
  <CharactersWithSpaces>577310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jim.discountedgar jim.discountedgar</dc:creator>
  <cp:keywords/>
  <dc:description/>
  <cp:lastModifiedBy>jim.discountedgar jim.discountedgar</cp:lastModifiedBy>
  <cp:revision>2</cp:revision>
  <dcterms:created xsi:type="dcterms:W3CDTF">2021-01-07T02:58:00Z</dcterms:created>
  <dcterms:modified xsi:type="dcterms:W3CDTF">2021-01-07T02:58:00Z</dcterms:modified>
</cp:coreProperties>
</file>